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034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4236"/>
        <w:gridCol w:w="2989"/>
      </w:tblGrid>
      <w:tr w:rsidR="000726C7" w:rsidRPr="001F0479" w14:paraId="71E9EEC3" w14:textId="77777777" w:rsidTr="00040F23">
        <w:tc>
          <w:tcPr>
            <w:tcW w:w="3119" w:type="dxa"/>
          </w:tcPr>
          <w:p w14:paraId="4E8941C5" w14:textId="77777777" w:rsidR="000726C7" w:rsidRPr="001F0479" w:rsidRDefault="000726C7" w:rsidP="00040F23">
            <w:pPr>
              <w:spacing w:after="120"/>
              <w:rPr>
                <w:rFonts w:ascii="Arial" w:hAnsi="Arial" w:cs="Arial"/>
                <w:b/>
                <w:color w:val="3CB6EC"/>
                <w:sz w:val="40"/>
                <w:szCs w:val="40"/>
              </w:rPr>
            </w:pPr>
            <w:r w:rsidRPr="001F0479">
              <w:rPr>
                <w:rFonts w:ascii="Arial" w:hAnsi="Arial" w:cs="Arial"/>
                <w:noProof/>
              </w:rPr>
              <w:drawing>
                <wp:anchor distT="0" distB="0" distL="114300" distR="114300" simplePos="0" relativeHeight="251659264" behindDoc="1" locked="0" layoutInCell="1" allowOverlap="1" wp14:anchorId="0E43F50D" wp14:editId="601CBC97">
                  <wp:simplePos x="0" y="0"/>
                  <wp:positionH relativeFrom="column">
                    <wp:posOffset>0</wp:posOffset>
                  </wp:positionH>
                  <wp:positionV relativeFrom="paragraph">
                    <wp:posOffset>2540</wp:posOffset>
                  </wp:positionV>
                  <wp:extent cx="1920240" cy="1097280"/>
                  <wp:effectExtent l="0" t="0" r="3810" b="7620"/>
                  <wp:wrapNone/>
                  <wp:docPr id="1" name="Image 1" descr="Gouvernement_RVB"/>
                  <wp:cNvGraphicFramePr/>
                  <a:graphic xmlns:a="http://schemas.openxmlformats.org/drawingml/2006/main">
                    <a:graphicData uri="http://schemas.openxmlformats.org/drawingml/2006/picture">
                      <pic:pic xmlns:pic="http://schemas.openxmlformats.org/drawingml/2006/picture">
                        <pic:nvPicPr>
                          <pic:cNvPr id="6" name="Image 6" descr="Gouvernement_RVB"/>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0240" cy="1097280"/>
                          </a:xfrm>
                          <a:prstGeom prst="rect">
                            <a:avLst/>
                          </a:prstGeom>
                          <a:noFill/>
                          <a:ln>
                            <a:noFill/>
                          </a:ln>
                        </pic:spPr>
                      </pic:pic>
                    </a:graphicData>
                  </a:graphic>
                </wp:anchor>
              </w:drawing>
            </w:r>
          </w:p>
        </w:tc>
        <w:tc>
          <w:tcPr>
            <w:tcW w:w="4236" w:type="dxa"/>
          </w:tcPr>
          <w:p w14:paraId="02ACF823" w14:textId="77777777" w:rsidR="000726C7" w:rsidRPr="001F0479" w:rsidRDefault="000726C7" w:rsidP="00040F23">
            <w:pPr>
              <w:spacing w:after="120"/>
              <w:rPr>
                <w:rFonts w:ascii="Arial" w:hAnsi="Arial" w:cs="Arial"/>
                <w:b/>
                <w:color w:val="3CB6EC"/>
                <w:sz w:val="40"/>
                <w:szCs w:val="40"/>
              </w:rPr>
            </w:pPr>
            <w:r w:rsidRPr="001F0479">
              <w:rPr>
                <w:rFonts w:ascii="Arial" w:hAnsi="Arial" w:cs="Arial"/>
                <w:noProof/>
                <w:sz w:val="10"/>
              </w:rPr>
              <w:drawing>
                <wp:anchor distT="0" distB="0" distL="114300" distR="114300" simplePos="0" relativeHeight="251660288" behindDoc="0" locked="0" layoutInCell="1" allowOverlap="1" wp14:anchorId="497BCC47" wp14:editId="60D00362">
                  <wp:simplePos x="0" y="0"/>
                  <wp:positionH relativeFrom="leftMargin">
                    <wp:posOffset>403629</wp:posOffset>
                  </wp:positionH>
                  <wp:positionV relativeFrom="paragraph">
                    <wp:posOffset>8478</wp:posOffset>
                  </wp:positionV>
                  <wp:extent cx="990000" cy="972000"/>
                  <wp:effectExtent l="0" t="0" r="635" b="0"/>
                  <wp:wrapNone/>
                  <wp:docPr id="55" name="logo" descr="Une image contenant Graphique, cercle, graphism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logo" descr="Une image contenant Graphique, cercle, graphisme, Polic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0000" cy="972000"/>
                          </a:xfrm>
                          <a:prstGeom prst="rect">
                            <a:avLst/>
                          </a:prstGeom>
                        </pic:spPr>
                      </pic:pic>
                    </a:graphicData>
                  </a:graphic>
                  <wp14:sizeRelH relativeFrom="margin">
                    <wp14:pctWidth>0</wp14:pctWidth>
                  </wp14:sizeRelH>
                  <wp14:sizeRelV relativeFrom="margin">
                    <wp14:pctHeight>0</wp14:pctHeight>
                  </wp14:sizeRelV>
                </wp:anchor>
              </w:drawing>
            </w:r>
          </w:p>
        </w:tc>
        <w:tc>
          <w:tcPr>
            <w:tcW w:w="2989" w:type="dxa"/>
          </w:tcPr>
          <w:p w14:paraId="40B81AD3" w14:textId="77777777" w:rsidR="000726C7" w:rsidRPr="001F0479" w:rsidRDefault="000726C7" w:rsidP="00040F23">
            <w:pPr>
              <w:spacing w:after="120"/>
              <w:rPr>
                <w:rFonts w:ascii="Arial" w:hAnsi="Arial" w:cs="Arial"/>
                <w:b/>
                <w:color w:val="3CB6EC"/>
                <w:sz w:val="40"/>
                <w:szCs w:val="40"/>
              </w:rPr>
            </w:pPr>
            <w:r w:rsidRPr="001F0479">
              <w:rPr>
                <w:rFonts w:ascii="Arial" w:hAnsi="Arial" w:cs="Arial"/>
                <w:noProof/>
              </w:rPr>
              <w:drawing>
                <wp:inline distT="0" distB="0" distL="0" distR="0" wp14:anchorId="39FF598D" wp14:editId="141B4F3E">
                  <wp:extent cx="900724" cy="1069671"/>
                  <wp:effectExtent l="0" t="0" r="0" b="0"/>
                  <wp:docPr id="7" name="Image 9" descr="ADEME Agence de la transition énerge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DEME Agence de la transition énergetique"/>
                          <pic:cNvPicPr>
                            <a:picLocks noChangeAspect="1"/>
                          </pic:cNvPicPr>
                        </pic:nvPicPr>
                        <pic:blipFill>
                          <a:blip r:embed="rId9"/>
                          <a:stretch/>
                        </pic:blipFill>
                        <pic:spPr bwMode="auto">
                          <a:xfrm>
                            <a:off x="0" y="0"/>
                            <a:ext cx="908801" cy="1079263"/>
                          </a:xfrm>
                          <a:prstGeom prst="rect">
                            <a:avLst/>
                          </a:prstGeom>
                          <a:noFill/>
                          <a:ln>
                            <a:noFill/>
                          </a:ln>
                        </pic:spPr>
                      </pic:pic>
                    </a:graphicData>
                  </a:graphic>
                </wp:inline>
              </w:drawing>
            </w:r>
          </w:p>
        </w:tc>
      </w:tr>
    </w:tbl>
    <w:p w14:paraId="3679A514" w14:textId="77777777" w:rsidR="000726C7" w:rsidRPr="001F0479" w:rsidRDefault="000726C7" w:rsidP="000726C7">
      <w:pPr>
        <w:spacing w:after="120"/>
        <w:jc w:val="center"/>
        <w:rPr>
          <w:rFonts w:ascii="Arial" w:hAnsi="Arial" w:cs="Arial"/>
          <w:b/>
          <w:color w:val="3CB6EC"/>
          <w:sz w:val="40"/>
          <w:szCs w:val="40"/>
        </w:rPr>
      </w:pPr>
      <w:bookmarkStart w:id="0" w:name="gjdgxs"/>
      <w:bookmarkEnd w:id="0"/>
    </w:p>
    <w:p w14:paraId="73BEBC04" w14:textId="77777777" w:rsidR="000726C7" w:rsidRPr="001F0479" w:rsidRDefault="000726C7" w:rsidP="000726C7">
      <w:pPr>
        <w:spacing w:after="120"/>
        <w:jc w:val="center"/>
        <w:rPr>
          <w:rFonts w:ascii="Arial" w:hAnsi="Arial" w:cs="Arial"/>
          <w:b/>
          <w:color w:val="3CB6EC"/>
          <w:sz w:val="24"/>
          <w:szCs w:val="24"/>
        </w:rPr>
      </w:pPr>
    </w:p>
    <w:p w14:paraId="773FD7CA" w14:textId="77777777" w:rsidR="000726C7" w:rsidRPr="001F0479" w:rsidRDefault="000726C7" w:rsidP="000726C7">
      <w:pPr>
        <w:spacing w:after="120"/>
        <w:jc w:val="center"/>
        <w:rPr>
          <w:rFonts w:ascii="Arial" w:hAnsi="Arial" w:cs="Arial"/>
          <w:b/>
          <w:color w:val="3CB6EC"/>
          <w:sz w:val="24"/>
          <w:szCs w:val="24"/>
        </w:rPr>
      </w:pPr>
      <w:r w:rsidRPr="001F0479">
        <w:rPr>
          <w:rFonts w:ascii="Arial" w:hAnsi="Arial" w:cs="Arial"/>
          <w:b/>
          <w:color w:val="3CB6EC"/>
          <w:sz w:val="24"/>
          <w:szCs w:val="24"/>
        </w:rPr>
        <w:t>Stratégie d’accélération « Technologies Avancées des Systèmes Energétiques »</w:t>
      </w:r>
    </w:p>
    <w:p w14:paraId="674667C7" w14:textId="77777777" w:rsidR="000726C7" w:rsidRPr="001F0479" w:rsidRDefault="000726C7" w:rsidP="000726C7">
      <w:pPr>
        <w:spacing w:after="120"/>
        <w:jc w:val="center"/>
        <w:rPr>
          <w:rFonts w:ascii="Arial" w:hAnsi="Arial" w:cs="Arial"/>
          <w:b/>
          <w:color w:val="3CB6EC"/>
          <w:sz w:val="24"/>
          <w:szCs w:val="24"/>
        </w:rPr>
      </w:pPr>
    </w:p>
    <w:p w14:paraId="13081FD4" w14:textId="1319E63E" w:rsidR="000726C7" w:rsidRPr="001F0479" w:rsidRDefault="000726C7" w:rsidP="000726C7">
      <w:pPr>
        <w:spacing w:after="120"/>
        <w:jc w:val="center"/>
        <w:rPr>
          <w:rFonts w:ascii="Arial" w:hAnsi="Arial" w:cs="Arial"/>
          <w:color w:val="3CB6EC"/>
          <w:sz w:val="32"/>
          <w:szCs w:val="40"/>
        </w:rPr>
      </w:pPr>
      <w:r w:rsidRPr="001F0479">
        <w:rPr>
          <w:rFonts w:ascii="Arial" w:hAnsi="Arial" w:cs="Arial"/>
          <w:color w:val="3CB6EC"/>
          <w:sz w:val="32"/>
          <w:szCs w:val="40"/>
        </w:rPr>
        <w:t>Appel à projets « TASE PME »</w:t>
      </w:r>
    </w:p>
    <w:p w14:paraId="39B9B606" w14:textId="77777777" w:rsidR="000726C7" w:rsidRPr="001F0479" w:rsidRDefault="000726C7" w:rsidP="000726C7">
      <w:pPr>
        <w:spacing w:after="120"/>
        <w:jc w:val="center"/>
        <w:rPr>
          <w:rFonts w:ascii="Arial" w:hAnsi="Arial" w:cs="Arial"/>
          <w:b/>
          <w:color w:val="3CB6EC"/>
          <w:sz w:val="24"/>
          <w:szCs w:val="24"/>
        </w:rPr>
      </w:pPr>
      <w:r w:rsidRPr="001F0479">
        <w:rPr>
          <w:rFonts w:ascii="Arial" w:hAnsi="Arial" w:cs="Arial"/>
          <w:b/>
          <w:color w:val="3CB6EC"/>
          <w:sz w:val="24"/>
          <w:szCs w:val="24"/>
        </w:rPr>
        <w:t>Développement de briques technologiques et services par des PME pour les systèmes énergétiques</w:t>
      </w:r>
    </w:p>
    <w:p w14:paraId="2488CBE3" w14:textId="77777777" w:rsidR="000726C7" w:rsidRPr="001F0479" w:rsidRDefault="000726C7" w:rsidP="000726C7">
      <w:pPr>
        <w:spacing w:after="120"/>
        <w:jc w:val="center"/>
        <w:rPr>
          <w:rFonts w:ascii="Arial" w:hAnsi="Arial" w:cs="Arial"/>
          <w:b/>
          <w:color w:val="3CB6EC"/>
          <w:sz w:val="24"/>
          <w:szCs w:val="24"/>
        </w:rPr>
      </w:pPr>
      <w:r w:rsidRPr="001F0479">
        <w:rPr>
          <w:rFonts w:ascii="Arial" w:hAnsi="Arial" w:cs="Arial"/>
          <w:b/>
          <w:color w:val="3CB6EC"/>
          <w:sz w:val="24"/>
          <w:szCs w:val="24"/>
        </w:rPr>
        <w:t xml:space="preserve">                  </w:t>
      </w:r>
    </w:p>
    <w:p w14:paraId="2F0296C9" w14:textId="77777777" w:rsidR="000726C7" w:rsidRPr="001F0479" w:rsidRDefault="000726C7" w:rsidP="000726C7">
      <w:pPr>
        <w:pStyle w:val="Default"/>
        <w:spacing w:after="120"/>
        <w:jc w:val="center"/>
        <w:rPr>
          <w:sz w:val="22"/>
          <w:szCs w:val="22"/>
        </w:rPr>
      </w:pPr>
    </w:p>
    <w:p w14:paraId="115F7643" w14:textId="33C47FFE" w:rsidR="000726C7" w:rsidRPr="001F0479" w:rsidRDefault="000726C7" w:rsidP="000726C7">
      <w:pPr>
        <w:pStyle w:val="Default"/>
        <w:spacing w:after="120"/>
        <w:jc w:val="center"/>
        <w:rPr>
          <w:sz w:val="22"/>
          <w:szCs w:val="22"/>
        </w:rPr>
      </w:pPr>
      <w:r w:rsidRPr="001F0479">
        <w:rPr>
          <w:sz w:val="22"/>
          <w:szCs w:val="22"/>
        </w:rPr>
        <w:t xml:space="preserve">Version </w:t>
      </w:r>
      <w:r w:rsidR="000F0F08">
        <w:rPr>
          <w:sz w:val="22"/>
          <w:szCs w:val="22"/>
        </w:rPr>
        <w:t>avril 2024</w:t>
      </w:r>
    </w:p>
    <w:p w14:paraId="1648A8A2" w14:textId="77777777" w:rsidR="000726C7" w:rsidRPr="001F0479" w:rsidRDefault="000726C7" w:rsidP="000726C7">
      <w:pPr>
        <w:pStyle w:val="En-ttedetabledesmatires1"/>
        <w:rPr>
          <w:rFonts w:ascii="Arial" w:hAnsi="Arial" w:cs="Arial"/>
          <w:color w:val="auto"/>
        </w:rPr>
      </w:pPr>
    </w:p>
    <w:p w14:paraId="7C79FC7B" w14:textId="77777777" w:rsidR="000726C7" w:rsidRPr="001F0479" w:rsidRDefault="000726C7" w:rsidP="000726C7">
      <w:pPr>
        <w:pStyle w:val="En-ttedetabledesmatires1"/>
        <w:rPr>
          <w:rFonts w:ascii="Arial" w:hAnsi="Arial" w:cs="Arial"/>
          <w:color w:val="auto"/>
        </w:rPr>
      </w:pPr>
      <w:r w:rsidRPr="001F0479">
        <w:rPr>
          <w:rFonts w:ascii="Arial" w:hAnsi="Arial" w:cs="Arial"/>
          <w:color w:val="auto"/>
        </w:rPr>
        <w:t>Calendrier de l’Appel à Projets</w:t>
      </w:r>
    </w:p>
    <w:p w14:paraId="6ED7EC46" w14:textId="77777777" w:rsidR="000726C7" w:rsidRPr="001F0479" w:rsidRDefault="000726C7" w:rsidP="000726C7">
      <w:pPr>
        <w:pStyle w:val="Normal11"/>
        <w:spacing w:line="276" w:lineRule="auto"/>
      </w:pPr>
    </w:p>
    <w:p w14:paraId="6C90215A" w14:textId="77777777" w:rsidR="000726C7" w:rsidRPr="001F0479" w:rsidRDefault="000726C7" w:rsidP="000726C7">
      <w:pPr>
        <w:spacing w:after="120"/>
        <w:rPr>
          <w:rFonts w:ascii="Arial" w:hAnsi="Arial" w:cs="Arial"/>
          <w:b/>
          <w:bCs/>
        </w:rPr>
      </w:pPr>
      <w:r w:rsidRPr="001F0479">
        <w:rPr>
          <w:rFonts w:ascii="Arial" w:hAnsi="Arial" w:cs="Arial"/>
          <w:b/>
          <w:bCs/>
        </w:rPr>
        <w:t>Cet appel à projets (ci-après « l’AAP ») est ouvert</w:t>
      </w:r>
      <w:r w:rsidRPr="001F0479">
        <w:rPr>
          <w:rFonts w:ascii="Arial" w:hAnsi="Arial" w:cs="Arial"/>
        </w:rPr>
        <w:t xml:space="preserve"> </w:t>
      </w:r>
      <w:r w:rsidRPr="001F0479">
        <w:rPr>
          <w:rFonts w:ascii="Arial" w:hAnsi="Arial" w:cs="Arial"/>
          <w:b/>
          <w:bCs/>
        </w:rPr>
        <w:t>et se clôture le 15/09/2024 à 15h00 (GMT +1). Il fera l’objet de plusieurs relèves intermédiaires et une définitive.</w:t>
      </w:r>
    </w:p>
    <w:tbl>
      <w:tblPr>
        <w:tblStyle w:val="Grilledutableau"/>
        <w:tblW w:w="9060" w:type="dxa"/>
        <w:tblInd w:w="0" w:type="dxa"/>
        <w:tblLayout w:type="fixed"/>
        <w:tblLook w:val="04A0" w:firstRow="1" w:lastRow="0" w:firstColumn="1" w:lastColumn="0" w:noHBand="0" w:noVBand="1"/>
      </w:tblPr>
      <w:tblGrid>
        <w:gridCol w:w="1129"/>
        <w:gridCol w:w="1246"/>
        <w:gridCol w:w="1337"/>
        <w:gridCol w:w="1337"/>
        <w:gridCol w:w="1337"/>
        <w:gridCol w:w="1337"/>
        <w:gridCol w:w="1337"/>
      </w:tblGrid>
      <w:tr w:rsidR="000726C7" w:rsidRPr="001F0479" w14:paraId="4C47ECF1" w14:textId="77777777" w:rsidTr="00040F23">
        <w:tc>
          <w:tcPr>
            <w:tcW w:w="1129" w:type="dxa"/>
            <w:shd w:val="clear" w:color="auto" w:fill="auto"/>
            <w:tcMar>
              <w:top w:w="0" w:type="auto"/>
              <w:left w:w="108" w:type="dxa"/>
              <w:bottom w:w="0" w:type="auto"/>
              <w:right w:w="0" w:type="auto"/>
            </w:tcMar>
          </w:tcPr>
          <w:p w14:paraId="705C777F" w14:textId="77777777" w:rsidR="000726C7" w:rsidRPr="001F0479" w:rsidRDefault="000726C7" w:rsidP="00040F23">
            <w:pPr>
              <w:spacing w:after="120" w:line="276" w:lineRule="auto"/>
              <w:jc w:val="center"/>
              <w:rPr>
                <w:rFonts w:ascii="Arial" w:hAnsi="Arial" w:cs="Arial"/>
                <w:b/>
                <w:bCs/>
                <w:sz w:val="16"/>
                <w:szCs w:val="16"/>
              </w:rPr>
            </w:pPr>
            <w:r w:rsidRPr="001F0479">
              <w:rPr>
                <w:rFonts w:ascii="Arial" w:hAnsi="Arial" w:cs="Arial"/>
                <w:b/>
                <w:bCs/>
                <w:sz w:val="16"/>
                <w:szCs w:val="16"/>
              </w:rPr>
              <w:t>Date ouverture</w:t>
            </w:r>
          </w:p>
        </w:tc>
        <w:tc>
          <w:tcPr>
            <w:tcW w:w="1246" w:type="dxa"/>
            <w:shd w:val="clear" w:color="auto" w:fill="auto"/>
            <w:tcMar>
              <w:top w:w="0" w:type="auto"/>
              <w:left w:w="108" w:type="dxa"/>
              <w:bottom w:w="0" w:type="auto"/>
              <w:right w:w="0" w:type="auto"/>
            </w:tcMar>
          </w:tcPr>
          <w:p w14:paraId="26614271" w14:textId="77777777" w:rsidR="000726C7" w:rsidRPr="001F0479" w:rsidRDefault="000726C7" w:rsidP="00040F23">
            <w:pPr>
              <w:spacing w:after="120" w:line="276" w:lineRule="auto"/>
              <w:jc w:val="center"/>
              <w:rPr>
                <w:rFonts w:ascii="Arial" w:hAnsi="Arial" w:cs="Arial"/>
                <w:b/>
                <w:bCs/>
                <w:sz w:val="16"/>
                <w:szCs w:val="16"/>
              </w:rPr>
            </w:pPr>
            <w:r w:rsidRPr="001F0479">
              <w:rPr>
                <w:rFonts w:ascii="Arial" w:hAnsi="Arial" w:cs="Arial"/>
                <w:b/>
                <w:bCs/>
                <w:sz w:val="16"/>
                <w:szCs w:val="16"/>
              </w:rPr>
              <w:t>Clôture intermédiaire 1</w:t>
            </w:r>
          </w:p>
        </w:tc>
        <w:tc>
          <w:tcPr>
            <w:tcW w:w="1337" w:type="dxa"/>
            <w:shd w:val="clear" w:color="auto" w:fill="auto"/>
            <w:tcMar>
              <w:top w:w="0" w:type="auto"/>
              <w:left w:w="108" w:type="dxa"/>
              <w:bottom w:w="0" w:type="auto"/>
              <w:right w:w="0" w:type="auto"/>
            </w:tcMar>
          </w:tcPr>
          <w:p w14:paraId="7C3EB3E7" w14:textId="77777777" w:rsidR="000726C7" w:rsidRPr="001F0479" w:rsidRDefault="000726C7" w:rsidP="00040F23">
            <w:pPr>
              <w:spacing w:after="120" w:line="276" w:lineRule="auto"/>
              <w:jc w:val="center"/>
              <w:rPr>
                <w:rFonts w:ascii="Arial" w:hAnsi="Arial" w:cs="Arial"/>
                <w:b/>
                <w:bCs/>
                <w:sz w:val="16"/>
                <w:szCs w:val="16"/>
              </w:rPr>
            </w:pPr>
            <w:r w:rsidRPr="001F0479">
              <w:rPr>
                <w:rFonts w:ascii="Arial" w:hAnsi="Arial" w:cs="Arial"/>
                <w:b/>
                <w:bCs/>
                <w:sz w:val="16"/>
                <w:szCs w:val="16"/>
              </w:rPr>
              <w:t>Clôture intermédiaire 2</w:t>
            </w:r>
          </w:p>
        </w:tc>
        <w:tc>
          <w:tcPr>
            <w:tcW w:w="1337" w:type="dxa"/>
            <w:shd w:val="clear" w:color="auto" w:fill="auto"/>
            <w:tcMar>
              <w:top w:w="0" w:type="auto"/>
              <w:left w:w="108" w:type="dxa"/>
              <w:bottom w:w="0" w:type="auto"/>
              <w:right w:w="0" w:type="auto"/>
            </w:tcMar>
          </w:tcPr>
          <w:p w14:paraId="0C88905E" w14:textId="77777777" w:rsidR="000726C7" w:rsidRPr="001F0479" w:rsidRDefault="000726C7" w:rsidP="00040F23">
            <w:pPr>
              <w:spacing w:after="120" w:line="276" w:lineRule="auto"/>
              <w:jc w:val="center"/>
              <w:rPr>
                <w:rFonts w:ascii="Arial" w:hAnsi="Arial" w:cs="Arial"/>
                <w:b/>
                <w:bCs/>
                <w:sz w:val="16"/>
                <w:szCs w:val="16"/>
              </w:rPr>
            </w:pPr>
            <w:r w:rsidRPr="001F0479">
              <w:rPr>
                <w:rFonts w:ascii="Arial" w:hAnsi="Arial" w:cs="Arial"/>
                <w:b/>
                <w:bCs/>
                <w:sz w:val="16"/>
                <w:szCs w:val="16"/>
              </w:rPr>
              <w:t>Clôture intermédiaire 3</w:t>
            </w:r>
          </w:p>
        </w:tc>
        <w:tc>
          <w:tcPr>
            <w:tcW w:w="1337" w:type="dxa"/>
            <w:shd w:val="clear" w:color="auto" w:fill="auto"/>
            <w:tcMar>
              <w:top w:w="0" w:type="auto"/>
              <w:left w:w="108" w:type="dxa"/>
              <w:bottom w:w="0" w:type="auto"/>
              <w:right w:w="0" w:type="auto"/>
            </w:tcMar>
          </w:tcPr>
          <w:p w14:paraId="6E172BE7" w14:textId="77777777" w:rsidR="000726C7" w:rsidRPr="001F0479" w:rsidRDefault="000726C7" w:rsidP="00040F23">
            <w:pPr>
              <w:spacing w:after="120" w:line="276" w:lineRule="auto"/>
              <w:jc w:val="center"/>
              <w:rPr>
                <w:rFonts w:ascii="Arial" w:hAnsi="Arial" w:cs="Arial"/>
                <w:b/>
                <w:bCs/>
                <w:sz w:val="16"/>
                <w:szCs w:val="16"/>
              </w:rPr>
            </w:pPr>
            <w:r w:rsidRPr="001F0479">
              <w:rPr>
                <w:rFonts w:ascii="Arial" w:hAnsi="Arial" w:cs="Arial"/>
                <w:b/>
                <w:bCs/>
                <w:sz w:val="16"/>
                <w:szCs w:val="16"/>
              </w:rPr>
              <w:t>Clôture intermédiaire 4</w:t>
            </w:r>
          </w:p>
        </w:tc>
        <w:tc>
          <w:tcPr>
            <w:tcW w:w="1337" w:type="dxa"/>
          </w:tcPr>
          <w:p w14:paraId="09FC413F" w14:textId="77777777" w:rsidR="000726C7" w:rsidRPr="001F0479" w:rsidRDefault="000726C7" w:rsidP="00040F23">
            <w:pPr>
              <w:spacing w:after="120" w:line="276" w:lineRule="auto"/>
              <w:jc w:val="center"/>
              <w:rPr>
                <w:rFonts w:ascii="Arial" w:hAnsi="Arial" w:cs="Arial"/>
                <w:b/>
                <w:bCs/>
                <w:sz w:val="16"/>
                <w:szCs w:val="16"/>
              </w:rPr>
            </w:pPr>
            <w:r w:rsidRPr="001F0479">
              <w:rPr>
                <w:rFonts w:ascii="Arial" w:hAnsi="Arial" w:cs="Arial"/>
                <w:b/>
                <w:bCs/>
                <w:sz w:val="16"/>
                <w:szCs w:val="16"/>
              </w:rPr>
              <w:t>Clôture intermédiaire 5</w:t>
            </w:r>
          </w:p>
        </w:tc>
        <w:tc>
          <w:tcPr>
            <w:tcW w:w="1337" w:type="dxa"/>
          </w:tcPr>
          <w:p w14:paraId="2D5FB8F9" w14:textId="77777777" w:rsidR="000726C7" w:rsidRPr="001F0479" w:rsidRDefault="000726C7" w:rsidP="00040F23">
            <w:pPr>
              <w:spacing w:after="120" w:line="276" w:lineRule="auto"/>
              <w:jc w:val="center"/>
              <w:rPr>
                <w:rFonts w:ascii="Arial" w:hAnsi="Arial" w:cs="Arial"/>
                <w:b/>
                <w:bCs/>
                <w:sz w:val="16"/>
                <w:szCs w:val="16"/>
              </w:rPr>
            </w:pPr>
            <w:r w:rsidRPr="001F0479">
              <w:rPr>
                <w:rFonts w:ascii="Arial" w:hAnsi="Arial" w:cs="Arial"/>
                <w:b/>
                <w:bCs/>
                <w:sz w:val="16"/>
                <w:szCs w:val="16"/>
              </w:rPr>
              <w:t>Clôture définitive</w:t>
            </w:r>
          </w:p>
        </w:tc>
      </w:tr>
      <w:tr w:rsidR="000726C7" w:rsidRPr="001F0479" w14:paraId="0A4481D8" w14:textId="77777777" w:rsidTr="00040F23">
        <w:tc>
          <w:tcPr>
            <w:tcW w:w="1129" w:type="dxa"/>
            <w:shd w:val="clear" w:color="auto" w:fill="auto"/>
            <w:tcMar>
              <w:top w:w="0" w:type="auto"/>
              <w:left w:w="108" w:type="dxa"/>
              <w:bottom w:w="0" w:type="auto"/>
              <w:right w:w="0" w:type="auto"/>
            </w:tcMar>
          </w:tcPr>
          <w:p w14:paraId="7E59B423" w14:textId="77777777" w:rsidR="000726C7" w:rsidRPr="001F0479" w:rsidRDefault="000726C7" w:rsidP="00040F23">
            <w:pPr>
              <w:spacing w:after="120" w:line="276" w:lineRule="auto"/>
              <w:jc w:val="center"/>
              <w:rPr>
                <w:rFonts w:ascii="Arial" w:hAnsi="Arial" w:cs="Arial"/>
                <w:b/>
                <w:bCs/>
                <w:sz w:val="16"/>
                <w:szCs w:val="16"/>
              </w:rPr>
            </w:pPr>
            <w:r w:rsidRPr="001F0479">
              <w:rPr>
                <w:rFonts w:ascii="Arial" w:hAnsi="Arial" w:cs="Arial"/>
                <w:b/>
                <w:bCs/>
                <w:sz w:val="16"/>
                <w:szCs w:val="16"/>
              </w:rPr>
              <w:t>10 février 2022</w:t>
            </w:r>
          </w:p>
        </w:tc>
        <w:tc>
          <w:tcPr>
            <w:tcW w:w="1246" w:type="dxa"/>
            <w:shd w:val="clear" w:color="auto" w:fill="auto"/>
            <w:tcMar>
              <w:top w:w="0" w:type="auto"/>
              <w:left w:w="108" w:type="dxa"/>
              <w:bottom w:w="0" w:type="auto"/>
              <w:right w:w="0" w:type="auto"/>
            </w:tcMar>
          </w:tcPr>
          <w:p w14:paraId="526093B5" w14:textId="77777777" w:rsidR="000726C7" w:rsidRPr="001F0479" w:rsidRDefault="000726C7" w:rsidP="00040F23">
            <w:pPr>
              <w:spacing w:after="120" w:line="276" w:lineRule="auto"/>
              <w:jc w:val="center"/>
              <w:rPr>
                <w:rFonts w:ascii="Arial" w:hAnsi="Arial" w:cs="Arial"/>
                <w:b/>
                <w:bCs/>
                <w:sz w:val="16"/>
                <w:szCs w:val="16"/>
              </w:rPr>
            </w:pPr>
            <w:r w:rsidRPr="001F0479">
              <w:rPr>
                <w:rFonts w:ascii="Arial" w:hAnsi="Arial" w:cs="Arial"/>
                <w:b/>
                <w:bCs/>
                <w:sz w:val="16"/>
                <w:szCs w:val="16"/>
              </w:rPr>
              <w:t xml:space="preserve">28 avril </w:t>
            </w:r>
            <w:r w:rsidRPr="001F0479">
              <w:rPr>
                <w:rFonts w:ascii="Arial" w:hAnsi="Arial" w:cs="Arial"/>
                <w:b/>
                <w:bCs/>
                <w:sz w:val="16"/>
                <w:szCs w:val="16"/>
              </w:rPr>
              <w:br/>
              <w:t>2022</w:t>
            </w:r>
          </w:p>
        </w:tc>
        <w:tc>
          <w:tcPr>
            <w:tcW w:w="1337" w:type="dxa"/>
            <w:shd w:val="clear" w:color="auto" w:fill="auto"/>
            <w:tcMar>
              <w:top w:w="0" w:type="auto"/>
              <w:left w:w="108" w:type="dxa"/>
              <w:bottom w:w="0" w:type="auto"/>
              <w:right w:w="0" w:type="auto"/>
            </w:tcMar>
          </w:tcPr>
          <w:p w14:paraId="5E0F5D4B" w14:textId="77777777" w:rsidR="000726C7" w:rsidRPr="001F0479" w:rsidRDefault="000726C7" w:rsidP="00040F23">
            <w:pPr>
              <w:spacing w:after="120" w:line="276" w:lineRule="auto"/>
              <w:jc w:val="center"/>
              <w:rPr>
                <w:rFonts w:ascii="Arial" w:hAnsi="Arial" w:cs="Arial"/>
                <w:b/>
                <w:bCs/>
                <w:sz w:val="16"/>
                <w:szCs w:val="16"/>
              </w:rPr>
            </w:pPr>
            <w:r w:rsidRPr="001F0479">
              <w:rPr>
                <w:rFonts w:ascii="Arial" w:hAnsi="Arial" w:cs="Arial"/>
                <w:b/>
                <w:bCs/>
                <w:sz w:val="16"/>
                <w:szCs w:val="16"/>
              </w:rPr>
              <w:t>29 septembre 2022</w:t>
            </w:r>
          </w:p>
        </w:tc>
        <w:tc>
          <w:tcPr>
            <w:tcW w:w="1337" w:type="dxa"/>
            <w:shd w:val="clear" w:color="auto" w:fill="auto"/>
            <w:tcMar>
              <w:top w:w="0" w:type="auto"/>
              <w:left w:w="108" w:type="dxa"/>
              <w:bottom w:w="0" w:type="auto"/>
              <w:right w:w="0" w:type="auto"/>
            </w:tcMar>
          </w:tcPr>
          <w:p w14:paraId="0E7AFE96" w14:textId="77777777" w:rsidR="000726C7" w:rsidRPr="001F0479" w:rsidRDefault="000726C7" w:rsidP="00040F23">
            <w:pPr>
              <w:spacing w:after="120" w:line="276" w:lineRule="auto"/>
              <w:jc w:val="center"/>
              <w:rPr>
                <w:rFonts w:ascii="Arial" w:hAnsi="Arial" w:cs="Arial"/>
                <w:b/>
                <w:bCs/>
                <w:sz w:val="16"/>
                <w:szCs w:val="16"/>
              </w:rPr>
            </w:pPr>
            <w:r w:rsidRPr="001F0479">
              <w:rPr>
                <w:rFonts w:ascii="Arial" w:hAnsi="Arial" w:cs="Arial"/>
                <w:b/>
                <w:bCs/>
                <w:sz w:val="16"/>
                <w:szCs w:val="16"/>
              </w:rPr>
              <w:t xml:space="preserve">01 mars </w:t>
            </w:r>
            <w:r w:rsidRPr="001F0479">
              <w:rPr>
                <w:rFonts w:ascii="Arial" w:hAnsi="Arial" w:cs="Arial"/>
                <w:b/>
                <w:bCs/>
                <w:sz w:val="16"/>
                <w:szCs w:val="16"/>
              </w:rPr>
              <w:br/>
              <w:t>2023</w:t>
            </w:r>
          </w:p>
        </w:tc>
        <w:tc>
          <w:tcPr>
            <w:tcW w:w="1337" w:type="dxa"/>
            <w:shd w:val="clear" w:color="auto" w:fill="auto"/>
            <w:tcMar>
              <w:top w:w="0" w:type="auto"/>
              <w:left w:w="108" w:type="dxa"/>
              <w:bottom w:w="0" w:type="auto"/>
              <w:right w:w="0" w:type="auto"/>
            </w:tcMar>
          </w:tcPr>
          <w:p w14:paraId="1F856908" w14:textId="77777777" w:rsidR="000726C7" w:rsidRPr="001F0479" w:rsidRDefault="000726C7" w:rsidP="00040F23">
            <w:pPr>
              <w:spacing w:after="120" w:line="276" w:lineRule="auto"/>
              <w:jc w:val="center"/>
              <w:rPr>
                <w:rFonts w:ascii="Arial" w:hAnsi="Arial" w:cs="Arial"/>
                <w:b/>
                <w:bCs/>
                <w:sz w:val="16"/>
                <w:szCs w:val="16"/>
              </w:rPr>
            </w:pPr>
            <w:r w:rsidRPr="001F0479">
              <w:rPr>
                <w:rFonts w:ascii="Arial" w:hAnsi="Arial" w:cs="Arial"/>
                <w:b/>
                <w:bCs/>
                <w:sz w:val="16"/>
                <w:szCs w:val="16"/>
              </w:rPr>
              <w:t>01 octobre 2023</w:t>
            </w:r>
          </w:p>
        </w:tc>
        <w:tc>
          <w:tcPr>
            <w:tcW w:w="1337" w:type="dxa"/>
          </w:tcPr>
          <w:p w14:paraId="5C1B15A5" w14:textId="77777777" w:rsidR="000726C7" w:rsidRPr="001F0479" w:rsidRDefault="000726C7" w:rsidP="00040F23">
            <w:pPr>
              <w:spacing w:after="120" w:line="276" w:lineRule="auto"/>
              <w:jc w:val="center"/>
              <w:rPr>
                <w:rFonts w:ascii="Arial" w:hAnsi="Arial" w:cs="Arial"/>
                <w:b/>
                <w:bCs/>
                <w:sz w:val="16"/>
                <w:szCs w:val="16"/>
              </w:rPr>
            </w:pPr>
            <w:r w:rsidRPr="001F0479">
              <w:rPr>
                <w:rFonts w:ascii="Arial" w:hAnsi="Arial" w:cs="Arial"/>
                <w:b/>
                <w:bCs/>
                <w:sz w:val="16"/>
                <w:szCs w:val="16"/>
              </w:rPr>
              <w:t>01 mars</w:t>
            </w:r>
            <w:r w:rsidRPr="001F0479">
              <w:rPr>
                <w:rFonts w:ascii="Arial" w:hAnsi="Arial" w:cs="Arial"/>
                <w:b/>
                <w:bCs/>
                <w:sz w:val="16"/>
                <w:szCs w:val="16"/>
              </w:rPr>
              <w:br/>
              <w:t>2024</w:t>
            </w:r>
          </w:p>
        </w:tc>
        <w:tc>
          <w:tcPr>
            <w:tcW w:w="1337" w:type="dxa"/>
          </w:tcPr>
          <w:p w14:paraId="161A4E8F" w14:textId="77777777" w:rsidR="000726C7" w:rsidRPr="001F0479" w:rsidRDefault="000726C7" w:rsidP="00040F23">
            <w:pPr>
              <w:spacing w:after="120" w:line="276" w:lineRule="auto"/>
              <w:jc w:val="center"/>
              <w:rPr>
                <w:rFonts w:ascii="Arial" w:hAnsi="Arial" w:cs="Arial"/>
                <w:b/>
                <w:bCs/>
                <w:sz w:val="16"/>
                <w:szCs w:val="16"/>
              </w:rPr>
            </w:pPr>
            <w:r w:rsidRPr="001F0479">
              <w:rPr>
                <w:rFonts w:ascii="Arial" w:hAnsi="Arial" w:cs="Arial"/>
                <w:b/>
                <w:bCs/>
                <w:sz w:val="16"/>
                <w:szCs w:val="16"/>
              </w:rPr>
              <w:t>15 septembre</w:t>
            </w:r>
            <w:r w:rsidRPr="001F0479">
              <w:rPr>
                <w:rFonts w:ascii="Arial" w:hAnsi="Arial" w:cs="Arial"/>
                <w:b/>
                <w:bCs/>
                <w:sz w:val="16"/>
                <w:szCs w:val="16"/>
              </w:rPr>
              <w:br/>
              <w:t>2024</w:t>
            </w:r>
          </w:p>
        </w:tc>
      </w:tr>
    </w:tbl>
    <w:p w14:paraId="0135F04C" w14:textId="77777777" w:rsidR="000726C7" w:rsidRPr="001F0479" w:rsidRDefault="000726C7" w:rsidP="000726C7">
      <w:pPr>
        <w:spacing w:after="120"/>
        <w:rPr>
          <w:rFonts w:ascii="Arial" w:hAnsi="Arial" w:cs="Arial"/>
          <w:b/>
          <w:bCs/>
        </w:rPr>
      </w:pPr>
    </w:p>
    <w:p w14:paraId="0D504943" w14:textId="77777777" w:rsidR="000726C7" w:rsidRPr="001F0479" w:rsidRDefault="000726C7" w:rsidP="000726C7">
      <w:pPr>
        <w:rPr>
          <w:rFonts w:ascii="Arial" w:hAnsi="Arial" w:cs="Arial"/>
          <w:i/>
          <w:iCs/>
          <w:color w:val="10253F"/>
        </w:rPr>
      </w:pPr>
      <w:r w:rsidRPr="001F0479">
        <w:rPr>
          <w:rFonts w:ascii="Arial" w:hAnsi="Arial" w:cs="Arial"/>
          <w:i/>
          <w:iCs/>
          <w:color w:val="10253F"/>
        </w:rPr>
        <w:t>L’ADEME se réserve le droit de clore l’appel à projets avant cette date, notamment en raison du niveau de consommation de l’enveloppe allouée, en application d’un arrêté du Premier ministre pris sur avis du Secrétariat général pour l’investissement (SGPI). Les informations actualisées seront publiées sur le site de l’AAP.</w:t>
      </w:r>
    </w:p>
    <w:p w14:paraId="5C1744EA" w14:textId="77777777" w:rsidR="000726C7" w:rsidRPr="001F0479" w:rsidRDefault="000726C7" w:rsidP="000726C7">
      <w:pPr>
        <w:rPr>
          <w:rFonts w:ascii="Arial" w:hAnsi="Arial" w:cs="Arial"/>
        </w:rPr>
      </w:pPr>
    </w:p>
    <w:bookmarkStart w:id="1" w:name="_Toc499646225" w:displacedByCustomXml="next"/>
    <w:bookmarkEnd w:id="1" w:displacedByCustomXml="next"/>
    <w:bookmarkStart w:id="2" w:name="_Toc429412715" w:displacedByCustomXml="next"/>
    <w:bookmarkEnd w:id="2" w:displacedByCustomXml="next"/>
    <w:bookmarkStart w:id="3" w:name="_Toc498017358" w:displacedByCustomXml="next"/>
    <w:bookmarkEnd w:id="3" w:displacedByCustomXml="next"/>
    <w:bookmarkStart w:id="4" w:name="_Toc500319818" w:displacedByCustomXml="next"/>
    <w:bookmarkEnd w:id="4" w:displacedByCustomXml="next"/>
    <w:bookmarkStart w:id="5" w:name="_Toc61343082" w:displacedByCustomXml="next"/>
    <w:bookmarkStart w:id="6" w:name="_Toc59527581" w:displacedByCustomXml="next"/>
    <w:bookmarkStart w:id="7" w:name="_Toc283273" w:displacedByCustomXml="next"/>
    <w:bookmarkStart w:id="8" w:name="_Toc283257" w:displacedByCustomXml="next"/>
    <w:sdt>
      <w:sdtPr>
        <w:rPr>
          <w:rFonts w:ascii="Arial" w:eastAsiaTheme="minorHAnsi" w:hAnsi="Arial" w:cs="Arial"/>
          <w:color w:val="auto"/>
          <w:sz w:val="22"/>
          <w:szCs w:val="22"/>
          <w:lang w:eastAsia="en-US"/>
        </w:rPr>
        <w:id w:val="-1682040644"/>
        <w:docPartObj>
          <w:docPartGallery w:val="Table of Contents"/>
          <w:docPartUnique/>
        </w:docPartObj>
      </w:sdtPr>
      <w:sdtEndPr>
        <w:rPr>
          <w:b/>
          <w:bCs/>
        </w:rPr>
      </w:sdtEndPr>
      <w:sdtContent>
        <w:p w14:paraId="03BBA57B" w14:textId="77777777" w:rsidR="000726C7" w:rsidRPr="001F0479" w:rsidRDefault="000726C7" w:rsidP="000726C7">
          <w:pPr>
            <w:pStyle w:val="En-ttedetabledesmatires"/>
            <w:rPr>
              <w:rFonts w:ascii="Arial" w:eastAsiaTheme="minorHAnsi" w:hAnsi="Arial" w:cs="Arial"/>
              <w:color w:val="auto"/>
              <w:sz w:val="22"/>
              <w:szCs w:val="22"/>
              <w:lang w:eastAsia="en-US"/>
            </w:rPr>
          </w:pPr>
        </w:p>
        <w:p w14:paraId="50C82105" w14:textId="77777777" w:rsidR="000726C7" w:rsidRPr="001F0479" w:rsidRDefault="000726C7" w:rsidP="000726C7">
          <w:pPr>
            <w:rPr>
              <w:rFonts w:ascii="Arial" w:hAnsi="Arial" w:cs="Arial"/>
            </w:rPr>
          </w:pPr>
          <w:r w:rsidRPr="001F0479">
            <w:rPr>
              <w:rFonts w:ascii="Arial" w:hAnsi="Arial" w:cs="Arial"/>
            </w:rPr>
            <w:br w:type="page"/>
          </w:r>
        </w:p>
        <w:p w14:paraId="28A7A5A5" w14:textId="77777777" w:rsidR="000726C7" w:rsidRPr="001F0479" w:rsidRDefault="000726C7" w:rsidP="000726C7">
          <w:pPr>
            <w:pStyle w:val="En-ttedetabledesmatires"/>
            <w:rPr>
              <w:rFonts w:ascii="Arial" w:hAnsi="Arial" w:cs="Arial"/>
            </w:rPr>
          </w:pPr>
          <w:r w:rsidRPr="001F0479">
            <w:rPr>
              <w:rFonts w:ascii="Arial" w:hAnsi="Arial" w:cs="Arial"/>
            </w:rPr>
            <w:lastRenderedPageBreak/>
            <w:t>Table des matières</w:t>
          </w:r>
        </w:p>
        <w:p w14:paraId="428A62D7" w14:textId="0E95953C" w:rsidR="000726C7" w:rsidRPr="001F0479" w:rsidRDefault="000726C7" w:rsidP="000726C7">
          <w:pPr>
            <w:pStyle w:val="TM1"/>
            <w:rPr>
              <w:rFonts w:eastAsiaTheme="minorEastAsia" w:cs="Arial"/>
              <w:noProof/>
              <w:color w:val="auto"/>
              <w:szCs w:val="22"/>
            </w:rPr>
          </w:pPr>
          <w:r w:rsidRPr="001F0479">
            <w:rPr>
              <w:rFonts w:cs="Arial"/>
              <w:b/>
              <w:bCs/>
            </w:rPr>
            <w:fldChar w:fldCharType="begin"/>
          </w:r>
          <w:r w:rsidRPr="001F0479">
            <w:rPr>
              <w:rFonts w:cs="Arial"/>
              <w:b/>
              <w:bCs/>
            </w:rPr>
            <w:instrText xml:space="preserve"> TOC \o "1-6" \h \z \u </w:instrText>
          </w:r>
          <w:r w:rsidRPr="001F0479">
            <w:rPr>
              <w:rFonts w:cs="Arial"/>
              <w:b/>
              <w:bCs/>
            </w:rPr>
            <w:fldChar w:fldCharType="separate"/>
          </w:r>
          <w:hyperlink w:anchor="_Toc95323571" w:history="1">
            <w:r w:rsidRPr="001F0479">
              <w:rPr>
                <w:rStyle w:val="Lienhypertexte"/>
                <w:rFonts w:eastAsiaTheme="majorEastAsia" w:cs="Arial"/>
                <w:noProof/>
              </w:rPr>
              <w:t>I.</w:t>
            </w:r>
            <w:r w:rsidRPr="001F0479">
              <w:rPr>
                <w:rFonts w:eastAsiaTheme="minorEastAsia" w:cs="Arial"/>
                <w:noProof/>
                <w:color w:val="auto"/>
                <w:szCs w:val="22"/>
              </w:rPr>
              <w:tab/>
            </w:r>
            <w:r w:rsidRPr="001F0479">
              <w:rPr>
                <w:rStyle w:val="Lienhypertexte"/>
                <w:rFonts w:eastAsiaTheme="majorEastAsia" w:cs="Arial"/>
                <w:noProof/>
              </w:rPr>
              <w:t>CADRE GENERAL DE L’AAP</w:t>
            </w:r>
            <w:r w:rsidRPr="001F0479">
              <w:rPr>
                <w:rFonts w:cs="Arial"/>
                <w:noProof/>
                <w:webHidden/>
              </w:rPr>
              <w:tab/>
            </w:r>
            <w:r w:rsidRPr="001F0479">
              <w:rPr>
                <w:rFonts w:cs="Arial"/>
                <w:noProof/>
                <w:webHidden/>
              </w:rPr>
              <w:fldChar w:fldCharType="begin"/>
            </w:r>
            <w:r w:rsidRPr="001F0479">
              <w:rPr>
                <w:rFonts w:cs="Arial"/>
                <w:noProof/>
                <w:webHidden/>
              </w:rPr>
              <w:instrText xml:space="preserve"> PAGEREF _Toc95323571 \h </w:instrText>
            </w:r>
            <w:r w:rsidRPr="001F0479">
              <w:rPr>
                <w:rFonts w:cs="Arial"/>
                <w:noProof/>
                <w:webHidden/>
              </w:rPr>
            </w:r>
            <w:r w:rsidRPr="001F0479">
              <w:rPr>
                <w:rFonts w:cs="Arial"/>
                <w:noProof/>
                <w:webHidden/>
              </w:rPr>
              <w:fldChar w:fldCharType="separate"/>
            </w:r>
            <w:r w:rsidR="002177E7">
              <w:rPr>
                <w:rFonts w:cs="Arial"/>
                <w:noProof/>
                <w:webHidden/>
              </w:rPr>
              <w:t>3</w:t>
            </w:r>
            <w:r w:rsidRPr="001F0479">
              <w:rPr>
                <w:rFonts w:cs="Arial"/>
                <w:noProof/>
                <w:webHidden/>
              </w:rPr>
              <w:fldChar w:fldCharType="end"/>
            </w:r>
          </w:hyperlink>
        </w:p>
        <w:p w14:paraId="51FE98E9" w14:textId="71D46F76" w:rsidR="000726C7" w:rsidRPr="001F0479" w:rsidRDefault="003B4F4C" w:rsidP="000726C7">
          <w:pPr>
            <w:pStyle w:val="TM2"/>
            <w:tabs>
              <w:tab w:val="left" w:pos="660"/>
              <w:tab w:val="right" w:leader="dot" w:pos="9062"/>
            </w:tabs>
            <w:rPr>
              <w:rFonts w:ascii="Arial" w:hAnsi="Arial" w:cs="Arial"/>
              <w:noProof/>
            </w:rPr>
          </w:pPr>
          <w:hyperlink w:anchor="_Toc95323572" w:history="1">
            <w:r w:rsidR="000726C7" w:rsidRPr="001F0479">
              <w:rPr>
                <w:rStyle w:val="Lienhypertexte"/>
                <w:rFonts w:ascii="Arial" w:hAnsi="Arial" w:cs="Arial"/>
                <w:noProof/>
              </w:rPr>
              <w:t>1.</w:t>
            </w:r>
            <w:r w:rsidR="000726C7" w:rsidRPr="001F0479">
              <w:rPr>
                <w:rFonts w:ascii="Arial" w:hAnsi="Arial" w:cs="Arial"/>
                <w:noProof/>
              </w:rPr>
              <w:tab/>
            </w:r>
            <w:r w:rsidR="000726C7" w:rsidRPr="001F0479">
              <w:rPr>
                <w:rStyle w:val="Lienhypertexte"/>
                <w:rFonts w:ascii="Arial" w:hAnsi="Arial" w:cs="Arial"/>
                <w:noProof/>
              </w:rPr>
              <w:t>Contexte et objectifs de l’AAP</w:t>
            </w:r>
            <w:r w:rsidR="000726C7" w:rsidRPr="001F0479">
              <w:rPr>
                <w:rFonts w:ascii="Arial" w:hAnsi="Arial" w:cs="Arial"/>
                <w:noProof/>
                <w:webHidden/>
              </w:rPr>
              <w:tab/>
            </w:r>
            <w:r w:rsidR="000726C7" w:rsidRPr="001F0479">
              <w:rPr>
                <w:rFonts w:ascii="Arial" w:hAnsi="Arial" w:cs="Arial"/>
                <w:noProof/>
                <w:webHidden/>
              </w:rPr>
              <w:fldChar w:fldCharType="begin"/>
            </w:r>
            <w:r w:rsidR="000726C7" w:rsidRPr="001F0479">
              <w:rPr>
                <w:rFonts w:ascii="Arial" w:hAnsi="Arial" w:cs="Arial"/>
                <w:noProof/>
                <w:webHidden/>
              </w:rPr>
              <w:instrText xml:space="preserve"> PAGEREF _Toc95323572 \h </w:instrText>
            </w:r>
            <w:r w:rsidR="000726C7" w:rsidRPr="001F0479">
              <w:rPr>
                <w:rFonts w:ascii="Arial" w:hAnsi="Arial" w:cs="Arial"/>
                <w:noProof/>
                <w:webHidden/>
              </w:rPr>
            </w:r>
            <w:r w:rsidR="000726C7" w:rsidRPr="001F0479">
              <w:rPr>
                <w:rFonts w:ascii="Arial" w:hAnsi="Arial" w:cs="Arial"/>
                <w:noProof/>
                <w:webHidden/>
              </w:rPr>
              <w:fldChar w:fldCharType="separate"/>
            </w:r>
            <w:r w:rsidR="002177E7">
              <w:rPr>
                <w:rFonts w:ascii="Arial" w:hAnsi="Arial" w:cs="Arial"/>
                <w:noProof/>
                <w:webHidden/>
              </w:rPr>
              <w:t>3</w:t>
            </w:r>
            <w:r w:rsidR="000726C7" w:rsidRPr="001F0479">
              <w:rPr>
                <w:rFonts w:ascii="Arial" w:hAnsi="Arial" w:cs="Arial"/>
                <w:noProof/>
                <w:webHidden/>
              </w:rPr>
              <w:fldChar w:fldCharType="end"/>
            </w:r>
          </w:hyperlink>
        </w:p>
        <w:p w14:paraId="2F3D1570" w14:textId="0A185C6D" w:rsidR="000726C7" w:rsidRPr="001F0479" w:rsidRDefault="003B4F4C" w:rsidP="000726C7">
          <w:pPr>
            <w:pStyle w:val="TM2"/>
            <w:tabs>
              <w:tab w:val="left" w:pos="660"/>
              <w:tab w:val="right" w:leader="dot" w:pos="9062"/>
            </w:tabs>
            <w:rPr>
              <w:rFonts w:ascii="Arial" w:hAnsi="Arial" w:cs="Arial"/>
              <w:noProof/>
            </w:rPr>
          </w:pPr>
          <w:hyperlink w:anchor="_Toc95323573" w:history="1">
            <w:r w:rsidR="000726C7" w:rsidRPr="001F0479">
              <w:rPr>
                <w:rStyle w:val="Lienhypertexte"/>
                <w:rFonts w:ascii="Arial" w:eastAsia="SimSun" w:hAnsi="Arial" w:cs="Arial"/>
                <w:noProof/>
                <w:lang w:eastAsia="ar-SA"/>
              </w:rPr>
              <w:t>2.</w:t>
            </w:r>
            <w:r w:rsidR="000726C7" w:rsidRPr="001F0479">
              <w:rPr>
                <w:rFonts w:ascii="Arial" w:hAnsi="Arial" w:cs="Arial"/>
                <w:noProof/>
              </w:rPr>
              <w:tab/>
            </w:r>
            <w:r w:rsidR="000726C7" w:rsidRPr="001F0479">
              <w:rPr>
                <w:rStyle w:val="Lienhypertexte"/>
                <w:rFonts w:ascii="Arial" w:eastAsia="SimSun" w:hAnsi="Arial" w:cs="Arial"/>
                <w:noProof/>
                <w:lang w:eastAsia="ar-SA"/>
              </w:rPr>
              <w:t>Priorités thématiques</w:t>
            </w:r>
            <w:r w:rsidR="000726C7" w:rsidRPr="001F0479">
              <w:rPr>
                <w:rFonts w:ascii="Arial" w:hAnsi="Arial" w:cs="Arial"/>
                <w:noProof/>
                <w:webHidden/>
              </w:rPr>
              <w:tab/>
            </w:r>
            <w:r w:rsidR="000726C7" w:rsidRPr="001F0479">
              <w:rPr>
                <w:rFonts w:ascii="Arial" w:hAnsi="Arial" w:cs="Arial"/>
                <w:noProof/>
                <w:webHidden/>
              </w:rPr>
              <w:fldChar w:fldCharType="begin"/>
            </w:r>
            <w:r w:rsidR="000726C7" w:rsidRPr="001F0479">
              <w:rPr>
                <w:rFonts w:ascii="Arial" w:hAnsi="Arial" w:cs="Arial"/>
                <w:noProof/>
                <w:webHidden/>
              </w:rPr>
              <w:instrText xml:space="preserve"> PAGEREF _Toc95323573 \h </w:instrText>
            </w:r>
            <w:r w:rsidR="000726C7" w:rsidRPr="001F0479">
              <w:rPr>
                <w:rFonts w:ascii="Arial" w:hAnsi="Arial" w:cs="Arial"/>
                <w:noProof/>
                <w:webHidden/>
              </w:rPr>
            </w:r>
            <w:r w:rsidR="000726C7" w:rsidRPr="001F0479">
              <w:rPr>
                <w:rFonts w:ascii="Arial" w:hAnsi="Arial" w:cs="Arial"/>
                <w:noProof/>
                <w:webHidden/>
              </w:rPr>
              <w:fldChar w:fldCharType="separate"/>
            </w:r>
            <w:r w:rsidR="002177E7">
              <w:rPr>
                <w:rFonts w:ascii="Arial" w:hAnsi="Arial" w:cs="Arial"/>
                <w:noProof/>
                <w:webHidden/>
              </w:rPr>
              <w:t>4</w:t>
            </w:r>
            <w:r w:rsidR="000726C7" w:rsidRPr="001F0479">
              <w:rPr>
                <w:rFonts w:ascii="Arial" w:hAnsi="Arial" w:cs="Arial"/>
                <w:noProof/>
                <w:webHidden/>
              </w:rPr>
              <w:fldChar w:fldCharType="end"/>
            </w:r>
          </w:hyperlink>
        </w:p>
        <w:p w14:paraId="556C27A7" w14:textId="4F82BCA5" w:rsidR="000726C7" w:rsidRPr="001F0479" w:rsidRDefault="003B4F4C" w:rsidP="000726C7">
          <w:pPr>
            <w:pStyle w:val="TM2"/>
            <w:tabs>
              <w:tab w:val="left" w:pos="660"/>
              <w:tab w:val="right" w:leader="dot" w:pos="9062"/>
            </w:tabs>
            <w:rPr>
              <w:rFonts w:ascii="Arial" w:hAnsi="Arial" w:cs="Arial"/>
              <w:noProof/>
            </w:rPr>
          </w:pPr>
          <w:hyperlink w:anchor="_Toc95323574" w:history="1">
            <w:r w:rsidR="000726C7" w:rsidRPr="001F0479">
              <w:rPr>
                <w:rStyle w:val="Lienhypertexte"/>
                <w:rFonts w:ascii="Arial" w:eastAsia="Times New Roman" w:hAnsi="Arial" w:cs="Arial"/>
                <w:noProof/>
                <w:lang w:eastAsia="ar-SA"/>
              </w:rPr>
              <w:t>3.</w:t>
            </w:r>
            <w:r w:rsidR="000726C7" w:rsidRPr="001F0479">
              <w:rPr>
                <w:rFonts w:ascii="Arial" w:hAnsi="Arial" w:cs="Arial"/>
                <w:noProof/>
              </w:rPr>
              <w:tab/>
            </w:r>
            <w:r w:rsidR="000726C7" w:rsidRPr="001F0479">
              <w:rPr>
                <w:rStyle w:val="Lienhypertexte"/>
                <w:rFonts w:ascii="Arial" w:eastAsia="Times New Roman" w:hAnsi="Arial" w:cs="Arial"/>
                <w:noProof/>
                <w:lang w:eastAsia="ar-SA"/>
              </w:rPr>
              <w:t>Articulation avec la stratégie « Techniques Avancées pour les Systèmes Energétiques »</w:t>
            </w:r>
            <w:r w:rsidR="000726C7" w:rsidRPr="001F0479">
              <w:rPr>
                <w:rFonts w:ascii="Arial" w:hAnsi="Arial" w:cs="Arial"/>
                <w:noProof/>
                <w:webHidden/>
              </w:rPr>
              <w:tab/>
            </w:r>
            <w:r w:rsidR="000726C7" w:rsidRPr="001F0479">
              <w:rPr>
                <w:rFonts w:ascii="Arial" w:hAnsi="Arial" w:cs="Arial"/>
                <w:noProof/>
                <w:webHidden/>
              </w:rPr>
              <w:fldChar w:fldCharType="begin"/>
            </w:r>
            <w:r w:rsidR="000726C7" w:rsidRPr="001F0479">
              <w:rPr>
                <w:rFonts w:ascii="Arial" w:hAnsi="Arial" w:cs="Arial"/>
                <w:noProof/>
                <w:webHidden/>
              </w:rPr>
              <w:instrText xml:space="preserve"> PAGEREF _Toc95323574 \h </w:instrText>
            </w:r>
            <w:r w:rsidR="000726C7" w:rsidRPr="001F0479">
              <w:rPr>
                <w:rFonts w:ascii="Arial" w:hAnsi="Arial" w:cs="Arial"/>
                <w:noProof/>
                <w:webHidden/>
              </w:rPr>
            </w:r>
            <w:r w:rsidR="000726C7" w:rsidRPr="001F0479">
              <w:rPr>
                <w:rFonts w:ascii="Arial" w:hAnsi="Arial" w:cs="Arial"/>
                <w:noProof/>
                <w:webHidden/>
              </w:rPr>
              <w:fldChar w:fldCharType="separate"/>
            </w:r>
            <w:r w:rsidR="002177E7">
              <w:rPr>
                <w:rFonts w:ascii="Arial" w:hAnsi="Arial" w:cs="Arial"/>
                <w:noProof/>
                <w:webHidden/>
              </w:rPr>
              <w:t>5</w:t>
            </w:r>
            <w:r w:rsidR="000726C7" w:rsidRPr="001F0479">
              <w:rPr>
                <w:rFonts w:ascii="Arial" w:hAnsi="Arial" w:cs="Arial"/>
                <w:noProof/>
                <w:webHidden/>
              </w:rPr>
              <w:fldChar w:fldCharType="end"/>
            </w:r>
          </w:hyperlink>
        </w:p>
        <w:p w14:paraId="313A13D3" w14:textId="430C0235" w:rsidR="000726C7" w:rsidRPr="001F0479" w:rsidRDefault="003B4F4C" w:rsidP="000726C7">
          <w:pPr>
            <w:pStyle w:val="TM1"/>
            <w:rPr>
              <w:rFonts w:eastAsiaTheme="minorEastAsia" w:cs="Arial"/>
              <w:noProof/>
              <w:color w:val="auto"/>
              <w:szCs w:val="22"/>
            </w:rPr>
          </w:pPr>
          <w:hyperlink w:anchor="_Toc95323575" w:history="1">
            <w:r w:rsidR="000726C7" w:rsidRPr="001F0479">
              <w:rPr>
                <w:rStyle w:val="Lienhypertexte"/>
                <w:rFonts w:eastAsiaTheme="majorEastAsia" w:cs="Arial"/>
                <w:noProof/>
              </w:rPr>
              <w:t>II.</w:t>
            </w:r>
            <w:r w:rsidR="000726C7" w:rsidRPr="001F0479">
              <w:rPr>
                <w:rFonts w:eastAsiaTheme="minorEastAsia" w:cs="Arial"/>
                <w:noProof/>
                <w:color w:val="auto"/>
                <w:szCs w:val="22"/>
              </w:rPr>
              <w:tab/>
            </w:r>
            <w:r w:rsidR="000726C7" w:rsidRPr="001F0479">
              <w:rPr>
                <w:rStyle w:val="Lienhypertexte"/>
                <w:rFonts w:eastAsiaTheme="majorEastAsia" w:cs="Arial"/>
                <w:noProof/>
              </w:rPr>
              <w:t>CRITERES D’ELIGIBILITE</w:t>
            </w:r>
            <w:r w:rsidR="000726C7" w:rsidRPr="001F0479">
              <w:rPr>
                <w:rFonts w:cs="Arial"/>
                <w:noProof/>
                <w:webHidden/>
              </w:rPr>
              <w:tab/>
            </w:r>
            <w:r w:rsidR="000726C7" w:rsidRPr="001F0479">
              <w:rPr>
                <w:rFonts w:cs="Arial"/>
                <w:noProof/>
                <w:webHidden/>
              </w:rPr>
              <w:fldChar w:fldCharType="begin"/>
            </w:r>
            <w:r w:rsidR="000726C7" w:rsidRPr="001F0479">
              <w:rPr>
                <w:rFonts w:cs="Arial"/>
                <w:noProof/>
                <w:webHidden/>
              </w:rPr>
              <w:instrText xml:space="preserve"> PAGEREF _Toc95323575 \h </w:instrText>
            </w:r>
            <w:r w:rsidR="000726C7" w:rsidRPr="001F0479">
              <w:rPr>
                <w:rFonts w:cs="Arial"/>
                <w:noProof/>
                <w:webHidden/>
              </w:rPr>
            </w:r>
            <w:r w:rsidR="000726C7" w:rsidRPr="001F0479">
              <w:rPr>
                <w:rFonts w:cs="Arial"/>
                <w:noProof/>
                <w:webHidden/>
              </w:rPr>
              <w:fldChar w:fldCharType="separate"/>
            </w:r>
            <w:r w:rsidR="002177E7">
              <w:rPr>
                <w:rFonts w:cs="Arial"/>
                <w:noProof/>
                <w:webHidden/>
              </w:rPr>
              <w:t>6</w:t>
            </w:r>
            <w:r w:rsidR="000726C7" w:rsidRPr="001F0479">
              <w:rPr>
                <w:rFonts w:cs="Arial"/>
                <w:noProof/>
                <w:webHidden/>
              </w:rPr>
              <w:fldChar w:fldCharType="end"/>
            </w:r>
          </w:hyperlink>
        </w:p>
        <w:p w14:paraId="1C175D8C" w14:textId="0637CBF3" w:rsidR="000726C7" w:rsidRPr="001F0479" w:rsidRDefault="003B4F4C" w:rsidP="000726C7">
          <w:pPr>
            <w:pStyle w:val="TM1"/>
            <w:rPr>
              <w:rFonts w:eastAsiaTheme="minorEastAsia" w:cs="Arial"/>
              <w:noProof/>
              <w:color w:val="auto"/>
              <w:szCs w:val="22"/>
            </w:rPr>
          </w:pPr>
          <w:hyperlink w:anchor="_Toc95323576" w:history="1">
            <w:r w:rsidR="000726C7" w:rsidRPr="001F0479">
              <w:rPr>
                <w:rStyle w:val="Lienhypertexte"/>
                <w:rFonts w:eastAsiaTheme="majorEastAsia" w:cs="Arial"/>
                <w:noProof/>
              </w:rPr>
              <w:t>III.</w:t>
            </w:r>
            <w:r w:rsidR="000726C7" w:rsidRPr="001F0479">
              <w:rPr>
                <w:rFonts w:eastAsiaTheme="minorEastAsia" w:cs="Arial"/>
                <w:noProof/>
                <w:color w:val="auto"/>
                <w:szCs w:val="22"/>
              </w:rPr>
              <w:tab/>
            </w:r>
            <w:r w:rsidR="000726C7" w:rsidRPr="001F0479">
              <w:rPr>
                <w:rStyle w:val="Lienhypertexte"/>
                <w:rFonts w:eastAsiaTheme="majorEastAsia" w:cs="Arial"/>
                <w:noProof/>
              </w:rPr>
              <w:t>CRITERES DE SELECTION</w:t>
            </w:r>
            <w:r w:rsidR="000726C7" w:rsidRPr="001F0479">
              <w:rPr>
                <w:rFonts w:cs="Arial"/>
                <w:noProof/>
                <w:webHidden/>
              </w:rPr>
              <w:tab/>
            </w:r>
            <w:r w:rsidR="000726C7" w:rsidRPr="001F0479">
              <w:rPr>
                <w:rFonts w:cs="Arial"/>
                <w:noProof/>
                <w:webHidden/>
              </w:rPr>
              <w:fldChar w:fldCharType="begin"/>
            </w:r>
            <w:r w:rsidR="000726C7" w:rsidRPr="001F0479">
              <w:rPr>
                <w:rFonts w:cs="Arial"/>
                <w:noProof/>
                <w:webHidden/>
              </w:rPr>
              <w:instrText xml:space="preserve"> PAGEREF _Toc95323576 \h </w:instrText>
            </w:r>
            <w:r w:rsidR="000726C7" w:rsidRPr="001F0479">
              <w:rPr>
                <w:rFonts w:cs="Arial"/>
                <w:noProof/>
                <w:webHidden/>
              </w:rPr>
            </w:r>
            <w:r w:rsidR="000726C7" w:rsidRPr="001F0479">
              <w:rPr>
                <w:rFonts w:cs="Arial"/>
                <w:noProof/>
                <w:webHidden/>
              </w:rPr>
              <w:fldChar w:fldCharType="separate"/>
            </w:r>
            <w:r w:rsidR="002177E7">
              <w:rPr>
                <w:rFonts w:cs="Arial"/>
                <w:noProof/>
                <w:webHidden/>
              </w:rPr>
              <w:t>7</w:t>
            </w:r>
            <w:r w:rsidR="000726C7" w:rsidRPr="001F0479">
              <w:rPr>
                <w:rFonts w:cs="Arial"/>
                <w:noProof/>
                <w:webHidden/>
              </w:rPr>
              <w:fldChar w:fldCharType="end"/>
            </w:r>
          </w:hyperlink>
        </w:p>
        <w:p w14:paraId="476C79CF" w14:textId="4C7B7B1D" w:rsidR="000726C7" w:rsidRPr="001F0479" w:rsidRDefault="003B4F4C" w:rsidP="000726C7">
          <w:pPr>
            <w:pStyle w:val="TM1"/>
            <w:rPr>
              <w:rFonts w:eastAsiaTheme="minorEastAsia" w:cs="Arial"/>
              <w:noProof/>
              <w:color w:val="auto"/>
              <w:szCs w:val="22"/>
            </w:rPr>
          </w:pPr>
          <w:hyperlink w:anchor="_Toc95323577" w:history="1">
            <w:r w:rsidR="000726C7" w:rsidRPr="001F0479">
              <w:rPr>
                <w:rStyle w:val="Lienhypertexte"/>
                <w:rFonts w:eastAsiaTheme="majorEastAsia" w:cs="Arial"/>
                <w:noProof/>
              </w:rPr>
              <w:t>IV.</w:t>
            </w:r>
            <w:r w:rsidR="000726C7" w:rsidRPr="001F0479">
              <w:rPr>
                <w:rFonts w:eastAsiaTheme="minorEastAsia" w:cs="Arial"/>
                <w:noProof/>
                <w:color w:val="auto"/>
                <w:szCs w:val="22"/>
              </w:rPr>
              <w:tab/>
            </w:r>
            <w:r w:rsidR="000726C7" w:rsidRPr="001F0479">
              <w:rPr>
                <w:rStyle w:val="Lienhypertexte"/>
                <w:rFonts w:eastAsiaTheme="majorEastAsia" w:cs="Arial"/>
                <w:noProof/>
              </w:rPr>
              <w:t>LABEL POLE DE COMPETITIVITE</w:t>
            </w:r>
            <w:r w:rsidR="000726C7" w:rsidRPr="001F0479">
              <w:rPr>
                <w:rFonts w:cs="Arial"/>
                <w:noProof/>
                <w:webHidden/>
              </w:rPr>
              <w:tab/>
            </w:r>
            <w:r w:rsidR="000726C7" w:rsidRPr="001F0479">
              <w:rPr>
                <w:rFonts w:cs="Arial"/>
                <w:noProof/>
                <w:webHidden/>
              </w:rPr>
              <w:fldChar w:fldCharType="begin"/>
            </w:r>
            <w:r w:rsidR="000726C7" w:rsidRPr="001F0479">
              <w:rPr>
                <w:rFonts w:cs="Arial"/>
                <w:noProof/>
                <w:webHidden/>
              </w:rPr>
              <w:instrText xml:space="preserve"> PAGEREF _Toc95323577 \h </w:instrText>
            </w:r>
            <w:r w:rsidR="000726C7" w:rsidRPr="001F0479">
              <w:rPr>
                <w:rFonts w:cs="Arial"/>
                <w:noProof/>
                <w:webHidden/>
              </w:rPr>
            </w:r>
            <w:r w:rsidR="000726C7" w:rsidRPr="001F0479">
              <w:rPr>
                <w:rFonts w:cs="Arial"/>
                <w:noProof/>
                <w:webHidden/>
              </w:rPr>
              <w:fldChar w:fldCharType="separate"/>
            </w:r>
            <w:r w:rsidR="002177E7">
              <w:rPr>
                <w:rFonts w:cs="Arial"/>
                <w:noProof/>
                <w:webHidden/>
              </w:rPr>
              <w:t>9</w:t>
            </w:r>
            <w:r w:rsidR="000726C7" w:rsidRPr="001F0479">
              <w:rPr>
                <w:rFonts w:cs="Arial"/>
                <w:noProof/>
                <w:webHidden/>
              </w:rPr>
              <w:fldChar w:fldCharType="end"/>
            </w:r>
          </w:hyperlink>
        </w:p>
        <w:p w14:paraId="2789CBA6" w14:textId="7BBC5832" w:rsidR="000726C7" w:rsidRPr="001F0479" w:rsidRDefault="003B4F4C" w:rsidP="000726C7">
          <w:pPr>
            <w:pStyle w:val="TM1"/>
            <w:rPr>
              <w:rFonts w:eastAsiaTheme="minorEastAsia" w:cs="Arial"/>
              <w:noProof/>
              <w:color w:val="auto"/>
              <w:szCs w:val="22"/>
            </w:rPr>
          </w:pPr>
          <w:hyperlink w:anchor="_Toc95323578" w:history="1">
            <w:r w:rsidR="000726C7" w:rsidRPr="001F0479">
              <w:rPr>
                <w:rStyle w:val="Lienhypertexte"/>
                <w:rFonts w:eastAsiaTheme="majorEastAsia" w:cs="Arial"/>
                <w:noProof/>
              </w:rPr>
              <w:t>V.</w:t>
            </w:r>
            <w:r w:rsidR="000726C7" w:rsidRPr="001F0479">
              <w:rPr>
                <w:rFonts w:eastAsiaTheme="minorEastAsia" w:cs="Arial"/>
                <w:noProof/>
                <w:color w:val="auto"/>
                <w:szCs w:val="22"/>
              </w:rPr>
              <w:tab/>
            </w:r>
            <w:r w:rsidR="000726C7" w:rsidRPr="001F0479">
              <w:rPr>
                <w:rStyle w:val="Lienhypertexte"/>
                <w:rFonts w:eastAsiaTheme="majorEastAsia" w:cs="Arial"/>
                <w:noProof/>
              </w:rPr>
              <w:t>FINANCEMENT OCTROYE</w:t>
            </w:r>
            <w:r w:rsidR="000726C7" w:rsidRPr="001F0479">
              <w:rPr>
                <w:rFonts w:cs="Arial"/>
                <w:noProof/>
                <w:webHidden/>
              </w:rPr>
              <w:tab/>
            </w:r>
            <w:r w:rsidR="000726C7" w:rsidRPr="001F0479">
              <w:rPr>
                <w:rFonts w:cs="Arial"/>
                <w:noProof/>
                <w:webHidden/>
              </w:rPr>
              <w:fldChar w:fldCharType="begin"/>
            </w:r>
            <w:r w:rsidR="000726C7" w:rsidRPr="001F0479">
              <w:rPr>
                <w:rFonts w:cs="Arial"/>
                <w:noProof/>
                <w:webHidden/>
              </w:rPr>
              <w:instrText xml:space="preserve"> PAGEREF _Toc95323578 \h </w:instrText>
            </w:r>
            <w:r w:rsidR="000726C7" w:rsidRPr="001F0479">
              <w:rPr>
                <w:rFonts w:cs="Arial"/>
                <w:noProof/>
                <w:webHidden/>
              </w:rPr>
            </w:r>
            <w:r w:rsidR="000726C7" w:rsidRPr="001F0479">
              <w:rPr>
                <w:rFonts w:cs="Arial"/>
                <w:noProof/>
                <w:webHidden/>
              </w:rPr>
              <w:fldChar w:fldCharType="separate"/>
            </w:r>
            <w:r w:rsidR="002177E7">
              <w:rPr>
                <w:rFonts w:cs="Arial"/>
                <w:noProof/>
                <w:webHidden/>
              </w:rPr>
              <w:t>10</w:t>
            </w:r>
            <w:r w:rsidR="000726C7" w:rsidRPr="001F0479">
              <w:rPr>
                <w:rFonts w:cs="Arial"/>
                <w:noProof/>
                <w:webHidden/>
              </w:rPr>
              <w:fldChar w:fldCharType="end"/>
            </w:r>
          </w:hyperlink>
        </w:p>
        <w:p w14:paraId="6C5663C9" w14:textId="57B80A4B" w:rsidR="000726C7" w:rsidRPr="001F0479" w:rsidRDefault="003B4F4C" w:rsidP="000726C7">
          <w:pPr>
            <w:pStyle w:val="TM1"/>
            <w:rPr>
              <w:rFonts w:eastAsiaTheme="minorEastAsia" w:cs="Arial"/>
              <w:noProof/>
              <w:color w:val="auto"/>
              <w:szCs w:val="22"/>
            </w:rPr>
          </w:pPr>
          <w:hyperlink w:anchor="_Toc95323579" w:history="1">
            <w:r w:rsidR="000726C7" w:rsidRPr="001F0479">
              <w:rPr>
                <w:rStyle w:val="Lienhypertexte"/>
                <w:rFonts w:eastAsiaTheme="majorEastAsia" w:cs="Arial"/>
                <w:noProof/>
              </w:rPr>
              <w:t>VI.</w:t>
            </w:r>
            <w:r w:rsidR="000726C7" w:rsidRPr="001F0479">
              <w:rPr>
                <w:rFonts w:eastAsiaTheme="minorEastAsia" w:cs="Arial"/>
                <w:noProof/>
                <w:color w:val="auto"/>
                <w:szCs w:val="22"/>
              </w:rPr>
              <w:tab/>
            </w:r>
            <w:r w:rsidR="000726C7" w:rsidRPr="001F0479">
              <w:rPr>
                <w:rStyle w:val="Lienhypertexte"/>
                <w:rFonts w:eastAsiaTheme="majorEastAsia" w:cs="Arial"/>
                <w:noProof/>
              </w:rPr>
              <w:t>CONFIDENTIALITE ET COMMUNICATION</w:t>
            </w:r>
            <w:r w:rsidR="000726C7" w:rsidRPr="001F0479">
              <w:rPr>
                <w:rFonts w:cs="Arial"/>
                <w:noProof/>
                <w:webHidden/>
              </w:rPr>
              <w:tab/>
            </w:r>
            <w:r w:rsidR="000726C7" w:rsidRPr="001F0479">
              <w:rPr>
                <w:rFonts w:cs="Arial"/>
                <w:noProof/>
                <w:webHidden/>
              </w:rPr>
              <w:fldChar w:fldCharType="begin"/>
            </w:r>
            <w:r w:rsidR="000726C7" w:rsidRPr="001F0479">
              <w:rPr>
                <w:rFonts w:cs="Arial"/>
                <w:noProof/>
                <w:webHidden/>
              </w:rPr>
              <w:instrText xml:space="preserve"> PAGEREF _Toc95323579 \h </w:instrText>
            </w:r>
            <w:r w:rsidR="000726C7" w:rsidRPr="001F0479">
              <w:rPr>
                <w:rFonts w:cs="Arial"/>
                <w:noProof/>
                <w:webHidden/>
              </w:rPr>
            </w:r>
            <w:r w:rsidR="000726C7" w:rsidRPr="001F0479">
              <w:rPr>
                <w:rFonts w:cs="Arial"/>
                <w:noProof/>
                <w:webHidden/>
              </w:rPr>
              <w:fldChar w:fldCharType="separate"/>
            </w:r>
            <w:r w:rsidR="002177E7">
              <w:rPr>
                <w:rFonts w:cs="Arial"/>
                <w:noProof/>
                <w:webHidden/>
              </w:rPr>
              <w:t>12</w:t>
            </w:r>
            <w:r w:rsidR="000726C7" w:rsidRPr="001F0479">
              <w:rPr>
                <w:rFonts w:cs="Arial"/>
                <w:noProof/>
                <w:webHidden/>
              </w:rPr>
              <w:fldChar w:fldCharType="end"/>
            </w:r>
          </w:hyperlink>
        </w:p>
        <w:p w14:paraId="493F16F9" w14:textId="3A16BE6F" w:rsidR="000726C7" w:rsidRPr="001F0479" w:rsidRDefault="003B4F4C" w:rsidP="000726C7">
          <w:pPr>
            <w:pStyle w:val="TM1"/>
            <w:rPr>
              <w:rFonts w:eastAsiaTheme="minorEastAsia" w:cs="Arial"/>
              <w:noProof/>
              <w:color w:val="auto"/>
              <w:szCs w:val="22"/>
            </w:rPr>
          </w:pPr>
          <w:hyperlink w:anchor="_Toc95323580" w:history="1">
            <w:r w:rsidR="000726C7" w:rsidRPr="001F0479">
              <w:rPr>
                <w:rStyle w:val="Lienhypertexte"/>
                <w:rFonts w:eastAsiaTheme="majorEastAsia" w:cs="Arial"/>
                <w:noProof/>
              </w:rPr>
              <w:t>VII.</w:t>
            </w:r>
            <w:r w:rsidR="000726C7" w:rsidRPr="001F0479">
              <w:rPr>
                <w:rFonts w:eastAsiaTheme="minorEastAsia" w:cs="Arial"/>
                <w:noProof/>
                <w:color w:val="auto"/>
                <w:szCs w:val="22"/>
              </w:rPr>
              <w:tab/>
            </w:r>
            <w:r w:rsidR="000726C7" w:rsidRPr="001F0479">
              <w:rPr>
                <w:rStyle w:val="Lienhypertexte"/>
                <w:rFonts w:eastAsiaTheme="majorEastAsia" w:cs="Arial"/>
                <w:noProof/>
              </w:rPr>
              <w:t>SOUMISSION DES PROJETS</w:t>
            </w:r>
            <w:r w:rsidR="000726C7" w:rsidRPr="001F0479">
              <w:rPr>
                <w:rFonts w:cs="Arial"/>
                <w:noProof/>
                <w:webHidden/>
              </w:rPr>
              <w:tab/>
            </w:r>
            <w:r w:rsidR="000726C7" w:rsidRPr="001F0479">
              <w:rPr>
                <w:rFonts w:cs="Arial"/>
                <w:noProof/>
                <w:webHidden/>
              </w:rPr>
              <w:fldChar w:fldCharType="begin"/>
            </w:r>
            <w:r w:rsidR="000726C7" w:rsidRPr="001F0479">
              <w:rPr>
                <w:rFonts w:cs="Arial"/>
                <w:noProof/>
                <w:webHidden/>
              </w:rPr>
              <w:instrText xml:space="preserve"> PAGEREF _Toc95323580 \h </w:instrText>
            </w:r>
            <w:r w:rsidR="000726C7" w:rsidRPr="001F0479">
              <w:rPr>
                <w:rFonts w:cs="Arial"/>
                <w:noProof/>
                <w:webHidden/>
              </w:rPr>
            </w:r>
            <w:r w:rsidR="000726C7" w:rsidRPr="001F0479">
              <w:rPr>
                <w:rFonts w:cs="Arial"/>
                <w:noProof/>
                <w:webHidden/>
              </w:rPr>
              <w:fldChar w:fldCharType="separate"/>
            </w:r>
            <w:r w:rsidR="002177E7">
              <w:rPr>
                <w:rFonts w:cs="Arial"/>
                <w:noProof/>
                <w:webHidden/>
              </w:rPr>
              <w:t>13</w:t>
            </w:r>
            <w:r w:rsidR="000726C7" w:rsidRPr="001F0479">
              <w:rPr>
                <w:rFonts w:cs="Arial"/>
                <w:noProof/>
                <w:webHidden/>
              </w:rPr>
              <w:fldChar w:fldCharType="end"/>
            </w:r>
          </w:hyperlink>
        </w:p>
        <w:p w14:paraId="1461192A" w14:textId="77777777" w:rsidR="000726C7" w:rsidRPr="001F0479" w:rsidRDefault="000726C7" w:rsidP="000726C7">
          <w:pPr>
            <w:rPr>
              <w:rFonts w:ascii="Arial" w:hAnsi="Arial" w:cs="Arial"/>
            </w:rPr>
          </w:pPr>
          <w:r w:rsidRPr="001F0479">
            <w:rPr>
              <w:rFonts w:ascii="Arial" w:eastAsia="Times New Roman" w:hAnsi="Arial" w:cs="Arial"/>
              <w:b/>
              <w:bCs/>
              <w:color w:val="00000A"/>
              <w:szCs w:val="20"/>
              <w:lang w:eastAsia="fr-FR"/>
            </w:rPr>
            <w:fldChar w:fldCharType="end"/>
          </w:r>
        </w:p>
      </w:sdtContent>
    </w:sdt>
    <w:p w14:paraId="6C0F1767" w14:textId="77777777" w:rsidR="000726C7" w:rsidRPr="001F0479" w:rsidRDefault="000726C7" w:rsidP="000726C7">
      <w:pPr>
        <w:pStyle w:val="Titre1"/>
        <w:numPr>
          <w:ilvl w:val="0"/>
          <w:numId w:val="9"/>
        </w:numPr>
        <w:tabs>
          <w:tab w:val="num" w:pos="360"/>
        </w:tabs>
        <w:spacing w:before="0" w:line="276" w:lineRule="auto"/>
        <w:ind w:left="0" w:firstLine="0"/>
        <w:rPr>
          <w:rFonts w:cs="Arial"/>
          <w:bCs w:val="0"/>
          <w:caps w:val="0"/>
          <w:color w:val="auto"/>
          <w:sz w:val="24"/>
          <w:szCs w:val="24"/>
        </w:rPr>
      </w:pPr>
      <w:bookmarkStart w:id="9" w:name="_Toc95323571"/>
      <w:bookmarkEnd w:id="8"/>
      <w:bookmarkEnd w:id="7"/>
      <w:bookmarkEnd w:id="6"/>
      <w:bookmarkEnd w:id="5"/>
      <w:r w:rsidRPr="001F0479">
        <w:rPr>
          <w:rFonts w:cs="Arial"/>
          <w:color w:val="auto"/>
          <w:sz w:val="24"/>
          <w:szCs w:val="24"/>
        </w:rPr>
        <w:t>CADRE GENERAL DE L’AAP</w:t>
      </w:r>
      <w:bookmarkEnd w:id="9"/>
    </w:p>
    <w:p w14:paraId="1A01BEA2" w14:textId="77777777" w:rsidR="000726C7" w:rsidRPr="001F0479" w:rsidRDefault="000726C7" w:rsidP="000726C7">
      <w:pPr>
        <w:pStyle w:val="Titre2"/>
        <w:numPr>
          <w:ilvl w:val="0"/>
          <w:numId w:val="10"/>
        </w:numPr>
        <w:tabs>
          <w:tab w:val="num" w:pos="360"/>
        </w:tabs>
        <w:ind w:left="0" w:firstLine="0"/>
        <w:rPr>
          <w:rFonts w:ascii="Arial" w:hAnsi="Arial" w:cs="Arial"/>
        </w:rPr>
      </w:pPr>
      <w:bookmarkStart w:id="10" w:name="_Toc85030985"/>
      <w:bookmarkStart w:id="11" w:name="_Toc136593154"/>
      <w:bookmarkStart w:id="12" w:name="_Toc95323572"/>
      <w:bookmarkEnd w:id="10"/>
      <w:r w:rsidRPr="001F0479">
        <w:rPr>
          <w:rFonts w:ascii="Arial" w:hAnsi="Arial" w:cs="Arial"/>
        </w:rPr>
        <w:t>Le plan d’investissement France 2030</w:t>
      </w:r>
      <w:bookmarkEnd w:id="11"/>
    </w:p>
    <w:p w14:paraId="4FFB1C33" w14:textId="77777777" w:rsidR="000726C7" w:rsidRPr="001F0479" w:rsidRDefault="000726C7" w:rsidP="000726C7">
      <w:pPr>
        <w:rPr>
          <w:rFonts w:ascii="Arial" w:hAnsi="Arial" w:cs="Arial"/>
        </w:rPr>
      </w:pPr>
    </w:p>
    <w:p w14:paraId="6F75B813" w14:textId="77777777" w:rsidR="000726C7" w:rsidRPr="008F1CF4" w:rsidRDefault="000726C7" w:rsidP="000726C7">
      <w:pPr>
        <w:pStyle w:val="Pucesbleus"/>
        <w:ind w:left="567" w:hanging="360"/>
        <w:jc w:val="both"/>
        <w:rPr>
          <w:rFonts w:ascii="Arial" w:hAnsi="Arial" w:cs="Arial"/>
          <w:sz w:val="22"/>
        </w:rPr>
      </w:pPr>
      <w:r w:rsidRPr="008F1CF4">
        <w:rPr>
          <w:rStyle w:val="TableParagraphCar"/>
          <w:rFonts w:ascii="Arial" w:hAnsi="Arial"/>
          <w:noProof w:val="0"/>
          <w:sz w:val="22"/>
        </w:rPr>
        <w:t>Traduit une double ambition</w:t>
      </w:r>
      <w:r w:rsidRPr="008F1CF4">
        <w:rPr>
          <w:rFonts w:ascii="Arial" w:hAnsi="Arial" w:cs="Arial"/>
          <w:sz w:val="22"/>
        </w:rPr>
        <w:t xml:space="preserve"> : transformer durablement des secteurs clefs de notre économie (énergie, automobile, aéronautique ou encore espace) par l’innovation technologique, et positionner la France non pas seulement en acteur, mais bien en leader du monde de demain. De la recherche fondamentale, à l’émergence d’une idée jusqu’à la production d’un produit ou service nouveau, France 2030 soutient tout le cycle de vie de l’innovation jusqu’à son industrialisation.</w:t>
      </w:r>
    </w:p>
    <w:p w14:paraId="1223B228" w14:textId="77777777" w:rsidR="000726C7" w:rsidRPr="008F1CF4" w:rsidRDefault="000726C7" w:rsidP="000726C7">
      <w:pPr>
        <w:pStyle w:val="Pucesbleus"/>
        <w:ind w:left="567" w:hanging="360"/>
        <w:jc w:val="both"/>
        <w:rPr>
          <w:rFonts w:ascii="Arial" w:hAnsi="Arial" w:cs="Arial"/>
          <w:sz w:val="22"/>
        </w:rPr>
      </w:pPr>
      <w:r w:rsidRPr="008F1CF4">
        <w:rPr>
          <w:rStyle w:val="TableParagraphCar"/>
          <w:rFonts w:ascii="Arial" w:hAnsi="Arial"/>
          <w:noProof w:val="0"/>
          <w:sz w:val="22"/>
        </w:rPr>
        <w:t>Est inédit par son ampleur</w:t>
      </w:r>
      <w:r w:rsidRPr="008F1CF4">
        <w:rPr>
          <w:rFonts w:ascii="Arial" w:hAnsi="Arial" w:cs="Arial"/>
          <w:sz w:val="22"/>
        </w:rPr>
        <w:t xml:space="preserve"> : 54 Md€ seront investis pour que nos entreprises, nos universités, nos organismes de recherche, réussissent pleinement leurs transitions dans ces filières stratégiques. L’enjeu est de leur permettre de répondre de manière compétitive aux défis écologiques et d’attractivité du monde qui vient, et faire émerger les futurs champions de nos filières d’excellence. France 2030 est défini par deux objectifs transversaux consistant à consacrer 50 % de ses dépenses à la décarbonation de l’économie et 50% à des acteurs émergents porteurs d’innovation, et à intervenir sans engager de dépenses défavorables à l’environnement (au sens du principe Do No Significant Harm).</w:t>
      </w:r>
    </w:p>
    <w:p w14:paraId="7E7668BE" w14:textId="77777777" w:rsidR="000726C7" w:rsidRPr="008F1CF4" w:rsidRDefault="000726C7" w:rsidP="000726C7">
      <w:pPr>
        <w:pStyle w:val="Pucesbleus"/>
        <w:ind w:left="567" w:hanging="360"/>
        <w:jc w:val="both"/>
        <w:rPr>
          <w:rFonts w:ascii="Arial" w:hAnsi="Arial" w:cs="Arial"/>
          <w:sz w:val="22"/>
        </w:rPr>
      </w:pPr>
      <w:r w:rsidRPr="008F1CF4">
        <w:rPr>
          <w:rStyle w:val="TableParagraphCar"/>
          <w:rFonts w:ascii="Arial" w:hAnsi="Arial"/>
          <w:noProof w:val="0"/>
          <w:sz w:val="22"/>
        </w:rPr>
        <w:t>Sera mis en œuvre collectivement</w:t>
      </w:r>
      <w:r w:rsidRPr="008F1CF4">
        <w:rPr>
          <w:rFonts w:ascii="Arial" w:hAnsi="Arial" w:cs="Arial"/>
          <w:sz w:val="22"/>
        </w:rPr>
        <w:t xml:space="preserve"> : pensé et déployé en concertation avec les acteurs économiques, académiques, locaux et européens pour en déterminer les orientations stratégiques et les actions phares. Les porteurs de projets sont invités à déposer leur dossier via des procédures ouvertes, exigeantes et sélectives pour bénéficier de l’accompagnement de l’Etat.</w:t>
      </w:r>
    </w:p>
    <w:p w14:paraId="1F9D346A" w14:textId="77777777" w:rsidR="000726C7" w:rsidRPr="008F1CF4" w:rsidRDefault="000726C7" w:rsidP="000726C7">
      <w:pPr>
        <w:pStyle w:val="Pucesbleus"/>
        <w:ind w:left="567" w:hanging="360"/>
        <w:jc w:val="both"/>
        <w:rPr>
          <w:rFonts w:ascii="Arial" w:hAnsi="Arial" w:cs="Arial"/>
          <w:sz w:val="22"/>
        </w:rPr>
      </w:pPr>
      <w:r w:rsidRPr="008F1CF4">
        <w:rPr>
          <w:rStyle w:val="TableParagraphCar"/>
          <w:rFonts w:ascii="Arial" w:hAnsi="Arial"/>
          <w:noProof w:val="0"/>
          <w:sz w:val="22"/>
        </w:rPr>
        <w:t>Est piloté par le Secrétariat général pour l’investissement</w:t>
      </w:r>
      <w:r w:rsidRPr="008F1CF4">
        <w:rPr>
          <w:rFonts w:ascii="Arial" w:hAnsi="Arial" w:cs="Arial"/>
          <w:sz w:val="22"/>
        </w:rPr>
        <w:t xml:space="preserve"> pour le compte de la Première ministre et mis en œuvre par l’Agence de la transition écologique (ADEME), l’Agence nationale de la recherche (ANR), la Banque publique d’investissement (Bpifrance) et la Caisse des dépôts et consignations (CDC).</w:t>
      </w:r>
    </w:p>
    <w:p w14:paraId="6CF095DB" w14:textId="77777777" w:rsidR="000726C7" w:rsidRPr="001F0479" w:rsidRDefault="000726C7" w:rsidP="000726C7">
      <w:pPr>
        <w:pStyle w:val="Pucesbleus"/>
        <w:numPr>
          <w:ilvl w:val="0"/>
          <w:numId w:val="0"/>
        </w:numPr>
        <w:ind w:left="284" w:hanging="284"/>
        <w:jc w:val="both"/>
        <w:rPr>
          <w:rFonts w:ascii="Arial" w:hAnsi="Arial" w:cs="Arial"/>
        </w:rPr>
      </w:pPr>
    </w:p>
    <w:p w14:paraId="64B1DA1C" w14:textId="77777777" w:rsidR="000726C7" w:rsidRPr="001F0479" w:rsidRDefault="000726C7" w:rsidP="000726C7">
      <w:pPr>
        <w:pStyle w:val="Titre2"/>
        <w:numPr>
          <w:ilvl w:val="0"/>
          <w:numId w:val="10"/>
        </w:numPr>
        <w:tabs>
          <w:tab w:val="num" w:pos="360"/>
        </w:tabs>
        <w:ind w:left="0" w:firstLine="0"/>
        <w:rPr>
          <w:rFonts w:ascii="Arial" w:hAnsi="Arial" w:cs="Arial"/>
        </w:rPr>
      </w:pPr>
      <w:r w:rsidRPr="001F0479">
        <w:rPr>
          <w:rFonts w:ascii="Arial" w:hAnsi="Arial" w:cs="Arial"/>
        </w:rPr>
        <w:t>Contexte et objectifs de l’AAP</w:t>
      </w:r>
      <w:bookmarkEnd w:id="12"/>
    </w:p>
    <w:p w14:paraId="16093F36" w14:textId="77777777" w:rsidR="000726C7" w:rsidRPr="001F0479" w:rsidRDefault="000726C7" w:rsidP="000726C7">
      <w:pPr>
        <w:spacing w:line="276" w:lineRule="auto"/>
        <w:jc w:val="both"/>
        <w:rPr>
          <w:rFonts w:ascii="Arial" w:hAnsi="Arial" w:cs="Arial"/>
        </w:rPr>
      </w:pPr>
    </w:p>
    <w:p w14:paraId="7BCAC8B0" w14:textId="77777777" w:rsidR="000726C7" w:rsidRPr="001F0479" w:rsidRDefault="000726C7" w:rsidP="000726C7">
      <w:pPr>
        <w:spacing w:after="120"/>
        <w:jc w:val="both"/>
        <w:rPr>
          <w:rFonts w:ascii="Arial" w:hAnsi="Arial" w:cs="Arial"/>
        </w:rPr>
      </w:pPr>
      <w:r w:rsidRPr="001F0479">
        <w:rPr>
          <w:rFonts w:ascii="Arial" w:hAnsi="Arial" w:cs="Arial"/>
        </w:rPr>
        <w:t xml:space="preserve">L’AAP « PME Innovations » s’inscrit dans le cadre de la </w:t>
      </w:r>
      <w:r w:rsidRPr="001F0479">
        <w:rPr>
          <w:rFonts w:ascii="Arial" w:hAnsi="Arial" w:cs="Arial"/>
          <w:b/>
        </w:rPr>
        <w:t>stratégie d’accélération « Technologies Avancées des Systèmes Energétiques »</w:t>
      </w:r>
      <w:r w:rsidRPr="001F0479">
        <w:rPr>
          <w:rFonts w:ascii="Arial" w:hAnsi="Arial" w:cs="Arial"/>
        </w:rPr>
        <w:t>, dont un des objectifs est de soutenir l’innovation en ciblant tout particulièrement les PME. La stratégie d’accélération identifie trois secteurs ayant un fort potentiel de transformation de notre économie et de notre société et la capacité à devenir des relais robustes de croissance économique pour notre pays : photovoltaïque, éolien flottant et réseaux énergétiques.</w:t>
      </w:r>
    </w:p>
    <w:p w14:paraId="2D82127B" w14:textId="77777777" w:rsidR="000726C7" w:rsidRPr="001F0479" w:rsidRDefault="000726C7" w:rsidP="000726C7">
      <w:pPr>
        <w:spacing w:after="0"/>
        <w:jc w:val="both"/>
        <w:rPr>
          <w:rFonts w:ascii="Arial" w:eastAsia="Times New Roman" w:hAnsi="Arial" w:cs="Arial"/>
          <w:iCs/>
          <w:color w:val="000000"/>
          <w:lang w:eastAsia="ar-SA" w:bidi="hi-IN"/>
        </w:rPr>
      </w:pPr>
      <w:r w:rsidRPr="001F0479">
        <w:rPr>
          <w:rFonts w:ascii="Arial" w:eastAsia="Times New Roman" w:hAnsi="Arial" w:cs="Arial"/>
          <w:iCs/>
          <w:color w:val="000000"/>
          <w:lang w:eastAsia="ar-SA" w:bidi="hi-IN"/>
        </w:rPr>
        <w:t>Il s’inscrit dans un contexte de forte augmentation des capacités de production des énergies renouvelables à l’échelle mondiale et européenne. Au sein de l’Union Européenne, leur part du mix énergétique global, qui est de l’ordre de 20% en 2020, pourrait atteindre 32% en 2030.</w:t>
      </w:r>
    </w:p>
    <w:p w14:paraId="720BCCFA" w14:textId="77777777" w:rsidR="000726C7" w:rsidRPr="001F0479" w:rsidRDefault="000726C7" w:rsidP="000726C7">
      <w:pPr>
        <w:spacing w:after="0"/>
        <w:jc w:val="both"/>
        <w:rPr>
          <w:rFonts w:ascii="Arial" w:eastAsia="Times New Roman" w:hAnsi="Arial" w:cs="Arial"/>
          <w:iCs/>
          <w:color w:val="000000"/>
          <w:lang w:eastAsia="ar-SA" w:bidi="hi-IN"/>
        </w:rPr>
      </w:pPr>
      <w:r w:rsidRPr="001F0479">
        <w:rPr>
          <w:rFonts w:ascii="Arial" w:eastAsia="Times New Roman" w:hAnsi="Arial" w:cs="Arial"/>
          <w:iCs/>
          <w:color w:val="000000"/>
          <w:lang w:eastAsia="ar-SA" w:bidi="hi-IN"/>
        </w:rPr>
        <w:t xml:space="preserve">Au niveau national, l’objectif à l’horizon 2028, prévu dans le cadre de la programmation pluriannuelle de l’énergie (PPE), vise un </w:t>
      </w:r>
      <w:r w:rsidRPr="001F0479">
        <w:rPr>
          <w:rFonts w:ascii="Arial" w:eastAsia="Times New Roman" w:hAnsi="Arial" w:cs="Arial"/>
          <w:b/>
          <w:iCs/>
          <w:color w:val="000000"/>
          <w:lang w:eastAsia="ar-SA" w:bidi="hi-IN"/>
        </w:rPr>
        <w:t>doublement des capacités des</w:t>
      </w:r>
      <w:r w:rsidRPr="001F0479">
        <w:rPr>
          <w:rFonts w:ascii="Arial" w:eastAsia="Times New Roman" w:hAnsi="Arial" w:cs="Arial"/>
          <w:iCs/>
          <w:color w:val="000000"/>
          <w:lang w:eastAsia="ar-SA" w:bidi="hi-IN"/>
        </w:rPr>
        <w:t xml:space="preserve"> </w:t>
      </w:r>
      <w:r w:rsidRPr="001F0479">
        <w:rPr>
          <w:rFonts w:ascii="Arial" w:eastAsia="Times New Roman" w:hAnsi="Arial" w:cs="Arial"/>
          <w:b/>
          <w:iCs/>
          <w:color w:val="000000"/>
          <w:lang w:eastAsia="ar-SA" w:bidi="hi-IN"/>
        </w:rPr>
        <w:t>énergies renouvelables</w:t>
      </w:r>
      <w:r w:rsidRPr="001F0479">
        <w:rPr>
          <w:rFonts w:ascii="Arial" w:eastAsia="Times New Roman" w:hAnsi="Arial" w:cs="Arial"/>
          <w:iCs/>
          <w:color w:val="000000"/>
          <w:lang w:eastAsia="ar-SA" w:bidi="hi-IN"/>
        </w:rPr>
        <w:t xml:space="preserve"> installées par rapport à 2017 (110 GW).</w:t>
      </w:r>
    </w:p>
    <w:p w14:paraId="49C379EC" w14:textId="77777777" w:rsidR="000726C7" w:rsidRPr="001F0479" w:rsidRDefault="000726C7" w:rsidP="000726C7">
      <w:pPr>
        <w:spacing w:after="120"/>
        <w:jc w:val="both"/>
        <w:rPr>
          <w:rFonts w:ascii="Arial" w:eastAsia="Times New Roman" w:hAnsi="Arial" w:cs="Arial"/>
          <w:iCs/>
          <w:color w:val="000000"/>
          <w:lang w:eastAsia="ar-SA" w:bidi="hi-IN"/>
        </w:rPr>
      </w:pPr>
      <w:r w:rsidRPr="001F0479">
        <w:rPr>
          <w:rFonts w:ascii="Arial" w:eastAsia="Times New Roman" w:hAnsi="Arial" w:cs="Arial"/>
          <w:iCs/>
          <w:color w:val="000000"/>
          <w:lang w:eastAsia="ar-SA" w:bidi="hi-IN"/>
        </w:rPr>
        <w:t xml:space="preserve">Les réseaux énergétiques sont aujourd’hui confrontés au développement des nouveaux moyens de production d’énergie renouvelable, décentralisés et fluctuants, ainsi qu’à une </w:t>
      </w:r>
      <w:r w:rsidRPr="001F0479">
        <w:rPr>
          <w:rFonts w:ascii="Arial" w:eastAsia="Times New Roman" w:hAnsi="Arial" w:cs="Arial"/>
          <w:b/>
          <w:iCs/>
          <w:color w:val="000000"/>
          <w:lang w:eastAsia="ar-SA" w:bidi="hi-IN"/>
        </w:rPr>
        <w:t>évolution des usages</w:t>
      </w:r>
      <w:r w:rsidRPr="001F0479">
        <w:rPr>
          <w:rFonts w:ascii="Arial" w:eastAsia="Times New Roman" w:hAnsi="Arial" w:cs="Arial"/>
          <w:iCs/>
          <w:color w:val="000000"/>
          <w:lang w:eastAsia="ar-SA" w:bidi="hi-IN"/>
        </w:rPr>
        <w:t xml:space="preserve"> (accroissement des consommations électriques liées aux nouveaux usages, insertion des véhicules électriques). Face à ces tendances de fond, les réseaux bénéficient aujourd’hui des avancées récentes et continues des technologies de communication qui permettent aux systèmes énergétiques d’associer de façon complémentaire les énergies disponibles et les usages.</w:t>
      </w:r>
    </w:p>
    <w:p w14:paraId="6B292A2C" w14:textId="77777777" w:rsidR="000726C7" w:rsidRPr="001F0479" w:rsidRDefault="000726C7" w:rsidP="000726C7">
      <w:pPr>
        <w:spacing w:after="0"/>
        <w:jc w:val="both"/>
        <w:rPr>
          <w:rFonts w:ascii="Arial" w:eastAsia="Times New Roman" w:hAnsi="Arial" w:cs="Arial"/>
          <w:iCs/>
          <w:color w:val="000000"/>
          <w:lang w:eastAsia="ar-SA" w:bidi="hi-IN"/>
        </w:rPr>
      </w:pPr>
      <w:r w:rsidRPr="001F0479">
        <w:rPr>
          <w:rFonts w:ascii="Arial" w:eastAsia="Times New Roman" w:hAnsi="Arial" w:cs="Arial"/>
          <w:iCs/>
          <w:color w:val="000000"/>
          <w:lang w:eastAsia="ar-SA" w:bidi="hi-IN"/>
        </w:rPr>
        <w:t xml:space="preserve">Fort de ces constats, il apparaît qu’un positionnement renforcé sur les marchés des nouvelles technologies de l’énergie les plus prometteuses devient un enjeu fondamental de souveraineté pour la France et plus largement l’Europe et doit permettre une </w:t>
      </w:r>
      <w:r w:rsidRPr="001F0479">
        <w:rPr>
          <w:rFonts w:ascii="Arial" w:eastAsia="Times New Roman" w:hAnsi="Arial" w:cs="Arial"/>
          <w:b/>
          <w:iCs/>
          <w:color w:val="000000"/>
          <w:lang w:eastAsia="ar-SA" w:bidi="hi-IN"/>
        </w:rPr>
        <w:t>indépendance énergétique</w:t>
      </w:r>
      <w:r w:rsidRPr="001F0479">
        <w:rPr>
          <w:rFonts w:ascii="Arial" w:eastAsia="Times New Roman" w:hAnsi="Arial" w:cs="Arial"/>
          <w:iCs/>
          <w:color w:val="000000"/>
          <w:lang w:eastAsia="ar-SA" w:bidi="hi-IN"/>
        </w:rPr>
        <w:t xml:space="preserve"> accrue. Plus encore, l’excellence technologique de la France dans ces domaines lui confère un avantage certain pour développer une industrie de l’énergie innovante, pérenne et compétitive au niveau international, en mesure de répondre aux ambitions de la transition énergétique. </w:t>
      </w:r>
    </w:p>
    <w:p w14:paraId="2543D937" w14:textId="77777777" w:rsidR="000726C7" w:rsidRPr="001F0479" w:rsidRDefault="000726C7" w:rsidP="000726C7">
      <w:pPr>
        <w:spacing w:after="120"/>
        <w:jc w:val="both"/>
        <w:rPr>
          <w:rFonts w:ascii="Arial" w:eastAsia="Times New Roman" w:hAnsi="Arial" w:cs="Arial"/>
          <w:iCs/>
          <w:color w:val="000000"/>
          <w:lang w:eastAsia="ar-SA" w:bidi="hi-IN"/>
        </w:rPr>
      </w:pPr>
    </w:p>
    <w:p w14:paraId="36F0D6F1" w14:textId="77777777" w:rsidR="000726C7" w:rsidRPr="001F0479" w:rsidRDefault="000726C7" w:rsidP="000726C7">
      <w:pPr>
        <w:jc w:val="both"/>
        <w:rPr>
          <w:rFonts w:ascii="Arial" w:eastAsia="Times New Roman" w:hAnsi="Arial" w:cs="Arial"/>
          <w:iCs/>
          <w:color w:val="000000"/>
          <w:lang w:eastAsia="ar-SA" w:bidi="hi-IN"/>
        </w:rPr>
      </w:pPr>
      <w:r w:rsidRPr="001F0479">
        <w:rPr>
          <w:rFonts w:ascii="Arial" w:eastAsia="Times New Roman" w:hAnsi="Arial" w:cs="Arial"/>
          <w:iCs/>
          <w:color w:val="000000"/>
          <w:lang w:eastAsia="ar-SA" w:bidi="hi-IN"/>
        </w:rPr>
        <w:t xml:space="preserve">Par ailleurs, </w:t>
      </w:r>
      <w:r w:rsidRPr="001F0479">
        <w:rPr>
          <w:rFonts w:ascii="Arial" w:eastAsia="Times New Roman" w:hAnsi="Arial" w:cs="Arial"/>
          <w:b/>
          <w:iCs/>
          <w:color w:val="000000"/>
          <w:lang w:eastAsia="ar-SA" w:bidi="hi-IN"/>
        </w:rPr>
        <w:t>les PME constituent un maillon essentiel</w:t>
      </w:r>
      <w:r w:rsidRPr="001F0479">
        <w:rPr>
          <w:rFonts w:ascii="Arial" w:eastAsia="Times New Roman" w:hAnsi="Arial" w:cs="Arial"/>
          <w:iCs/>
          <w:color w:val="000000"/>
          <w:lang w:eastAsia="ar-SA" w:bidi="hi-IN"/>
        </w:rPr>
        <w:t xml:space="preserve"> au sein de l’écosystème d’innovation des énergies renouvelables (EnR) et jouent un rôle fondamental dans la structuration des filières de production EnR.</w:t>
      </w:r>
    </w:p>
    <w:p w14:paraId="5072ABB9" w14:textId="77777777" w:rsidR="000726C7" w:rsidRPr="001F0479" w:rsidRDefault="000726C7" w:rsidP="000726C7">
      <w:pPr>
        <w:jc w:val="both"/>
        <w:rPr>
          <w:rFonts w:ascii="Arial" w:eastAsia="Times New Roman" w:hAnsi="Arial" w:cs="Arial"/>
          <w:iCs/>
          <w:color w:val="000000"/>
          <w:lang w:eastAsia="ar-SA" w:bidi="hi-IN"/>
        </w:rPr>
      </w:pPr>
      <w:r w:rsidRPr="001F0479">
        <w:rPr>
          <w:rFonts w:ascii="Arial" w:eastAsia="Times New Roman" w:hAnsi="Arial" w:cs="Arial"/>
          <w:iCs/>
          <w:color w:val="000000"/>
          <w:lang w:eastAsia="ar-SA" w:bidi="hi-IN"/>
        </w:rPr>
        <w:t xml:space="preserve">Dans ce contexte, l’AAP vise à financer des projets d’innovation portés par des petites et moyennes entreprises (PME) au potentiel particulièrement fort pour l’économie française. Il permet de cofinancer </w:t>
      </w:r>
      <w:r w:rsidRPr="001F0479">
        <w:rPr>
          <w:rFonts w:ascii="Arial" w:eastAsia="Times New Roman" w:hAnsi="Arial" w:cs="Arial"/>
          <w:b/>
          <w:iCs/>
          <w:color w:val="000000"/>
          <w:lang w:eastAsia="ar-SA" w:bidi="hi-IN"/>
        </w:rPr>
        <w:t>des projets de recherche, développement et innovation,</w:t>
      </w:r>
      <w:r w:rsidRPr="001F0479">
        <w:rPr>
          <w:rFonts w:ascii="Arial" w:eastAsia="Times New Roman" w:hAnsi="Arial" w:cs="Arial"/>
          <w:iCs/>
          <w:color w:val="000000"/>
          <w:lang w:eastAsia="ar-SA" w:bidi="hi-IN"/>
        </w:rPr>
        <w:t xml:space="preserve"> dont les coûts totaux sont</w:t>
      </w:r>
      <w:r w:rsidRPr="001F0479">
        <w:rPr>
          <w:rFonts w:ascii="Arial" w:eastAsia="Times New Roman" w:hAnsi="Arial" w:cs="Arial"/>
          <w:b/>
          <w:iCs/>
          <w:color w:val="000000"/>
          <w:lang w:eastAsia="ar-SA" w:bidi="hi-IN"/>
        </w:rPr>
        <w:t xml:space="preserve"> inférieurs à 1,5 M€,</w:t>
      </w:r>
      <w:r w:rsidRPr="001F0479">
        <w:rPr>
          <w:rFonts w:ascii="Arial" w:eastAsia="Times New Roman" w:hAnsi="Arial" w:cs="Arial"/>
          <w:iCs/>
          <w:color w:val="000000"/>
          <w:lang w:eastAsia="ar-SA" w:bidi="hi-IN"/>
        </w:rPr>
        <w:t xml:space="preserve"> et contribue à accélérer le développement et la mise sur le marché de solutions et technologies innovantes.</w:t>
      </w:r>
    </w:p>
    <w:p w14:paraId="5A32BFAF" w14:textId="77777777" w:rsidR="000726C7" w:rsidRPr="001F0479" w:rsidRDefault="000726C7" w:rsidP="000726C7">
      <w:pPr>
        <w:autoSpaceDE w:val="0"/>
        <w:autoSpaceDN w:val="0"/>
        <w:adjustRightInd w:val="0"/>
        <w:spacing w:after="0" w:line="240" w:lineRule="auto"/>
        <w:jc w:val="both"/>
        <w:rPr>
          <w:rFonts w:ascii="Arial" w:eastAsia="Times New Roman" w:hAnsi="Arial" w:cs="Arial"/>
          <w:iCs/>
          <w:color w:val="000000"/>
          <w:lang w:eastAsia="ar-SA" w:bidi="hi-IN"/>
        </w:rPr>
      </w:pPr>
      <w:r w:rsidRPr="001F0479">
        <w:rPr>
          <w:rFonts w:ascii="Arial" w:eastAsia="Times New Roman" w:hAnsi="Arial" w:cs="Arial"/>
          <w:iCs/>
          <w:color w:val="000000"/>
          <w:lang w:eastAsia="ar-SA" w:bidi="hi-IN"/>
        </w:rPr>
        <w:t>Il a pour objectif de soutenir des projets développant des méthodologies, des technologies, des solutions industrielles et des services innovants, compétitifs et durables dans les domaines de la production, et de la gestion des énergies renouvelables, et des réseaux énergétiques.</w:t>
      </w:r>
    </w:p>
    <w:p w14:paraId="67F0707E" w14:textId="77777777" w:rsidR="000726C7" w:rsidRPr="001F0479" w:rsidRDefault="000726C7" w:rsidP="000726C7">
      <w:pPr>
        <w:autoSpaceDE w:val="0"/>
        <w:autoSpaceDN w:val="0"/>
        <w:adjustRightInd w:val="0"/>
        <w:spacing w:after="0" w:line="240" w:lineRule="auto"/>
        <w:jc w:val="both"/>
        <w:rPr>
          <w:rFonts w:ascii="Arial" w:eastAsia="Times New Roman" w:hAnsi="Arial" w:cs="Arial"/>
          <w:iCs/>
          <w:color w:val="000000"/>
          <w:lang w:eastAsia="ar-SA" w:bidi="hi-IN"/>
        </w:rPr>
      </w:pPr>
      <w:r w:rsidRPr="001F0479">
        <w:rPr>
          <w:rFonts w:ascii="Arial" w:eastAsia="Times New Roman" w:hAnsi="Arial" w:cs="Arial"/>
          <w:iCs/>
          <w:color w:val="000000"/>
          <w:lang w:eastAsia="ar-SA" w:bidi="hi-IN"/>
        </w:rPr>
        <w:t>Les projets attendus devront démontrer les impacts de l’innovation sur la réduction de l’empreinte écologique et sociétale, les marchés visés, en France et/ou à l’international, la compétitivité par rapport aux solutions concurrentes. Ils doivent conduire à un développement industriel et économique ambitieux des entreprises lauréates et à la création d’emplois directs et indirects.</w:t>
      </w:r>
    </w:p>
    <w:p w14:paraId="0E187C66" w14:textId="77777777" w:rsidR="000726C7" w:rsidRPr="001F0479" w:rsidRDefault="000726C7" w:rsidP="000726C7">
      <w:pPr>
        <w:autoSpaceDE w:val="0"/>
        <w:autoSpaceDN w:val="0"/>
        <w:adjustRightInd w:val="0"/>
        <w:spacing w:after="0" w:line="240" w:lineRule="auto"/>
        <w:jc w:val="both"/>
        <w:rPr>
          <w:rFonts w:ascii="Arial" w:eastAsia="Times New Roman" w:hAnsi="Arial" w:cs="Arial"/>
          <w:iCs/>
          <w:color w:val="000000"/>
          <w:lang w:eastAsia="ar-SA" w:bidi="hi-IN"/>
        </w:rPr>
      </w:pPr>
    </w:p>
    <w:p w14:paraId="5C691ABD" w14:textId="77777777" w:rsidR="000726C7" w:rsidRPr="001F0479" w:rsidRDefault="000726C7" w:rsidP="000726C7">
      <w:pPr>
        <w:jc w:val="both"/>
        <w:rPr>
          <w:rFonts w:ascii="Arial" w:eastAsia="Times New Roman" w:hAnsi="Arial" w:cs="Arial"/>
          <w:iCs/>
          <w:color w:val="000000"/>
          <w:lang w:eastAsia="ar-SA" w:bidi="hi-IN"/>
        </w:rPr>
      </w:pPr>
      <w:r w:rsidRPr="001F0479">
        <w:rPr>
          <w:rFonts w:ascii="Arial" w:eastAsia="Times New Roman" w:hAnsi="Arial" w:cs="Arial"/>
          <w:iCs/>
          <w:color w:val="000000"/>
          <w:lang w:eastAsia="ar-SA" w:bidi="hi-IN"/>
        </w:rPr>
        <w:t xml:space="preserve">Les projets soutenus dans le cadre de cette action sont portés par une </w:t>
      </w:r>
      <w:r w:rsidRPr="001F0479">
        <w:rPr>
          <w:rFonts w:ascii="Arial" w:eastAsia="Times New Roman" w:hAnsi="Arial" w:cs="Arial"/>
          <w:b/>
          <w:iCs/>
          <w:color w:val="000000"/>
          <w:lang w:eastAsia="ar-SA" w:bidi="hi-IN"/>
        </w:rPr>
        <w:t>entreprise unique</w:t>
      </w:r>
      <w:r w:rsidRPr="001F0479">
        <w:rPr>
          <w:rFonts w:ascii="Arial" w:eastAsia="Times New Roman" w:hAnsi="Arial" w:cs="Arial"/>
          <w:iCs/>
          <w:color w:val="000000"/>
          <w:lang w:eastAsia="ar-SA" w:bidi="hi-IN"/>
        </w:rPr>
        <w:t xml:space="preserve"> et sont non collaboratifs.</w:t>
      </w:r>
    </w:p>
    <w:p w14:paraId="47339BA7" w14:textId="77777777" w:rsidR="000726C7" w:rsidRPr="001F0479" w:rsidRDefault="000726C7" w:rsidP="000726C7">
      <w:pPr>
        <w:jc w:val="both"/>
        <w:rPr>
          <w:rFonts w:ascii="Arial" w:eastAsia="Times New Roman" w:hAnsi="Arial" w:cs="Arial"/>
          <w:iCs/>
          <w:color w:val="000000"/>
          <w:lang w:eastAsia="ar-SA" w:bidi="hi-IN"/>
        </w:rPr>
      </w:pPr>
    </w:p>
    <w:p w14:paraId="21E72B17" w14:textId="77777777" w:rsidR="000726C7" w:rsidRPr="001F0479" w:rsidRDefault="000726C7" w:rsidP="000726C7">
      <w:pPr>
        <w:pStyle w:val="Titre2"/>
        <w:numPr>
          <w:ilvl w:val="0"/>
          <w:numId w:val="10"/>
        </w:numPr>
        <w:tabs>
          <w:tab w:val="num" w:pos="360"/>
        </w:tabs>
        <w:ind w:left="0" w:firstLine="0"/>
        <w:rPr>
          <w:rFonts w:ascii="Arial" w:eastAsia="SimSun" w:hAnsi="Arial" w:cs="Arial"/>
          <w:lang w:eastAsia="ar-SA"/>
        </w:rPr>
      </w:pPr>
      <w:bookmarkStart w:id="13" w:name="_Toc95323573"/>
      <w:r w:rsidRPr="001F0479">
        <w:rPr>
          <w:rFonts w:ascii="Arial" w:eastAsia="SimSun" w:hAnsi="Arial" w:cs="Arial"/>
          <w:lang w:eastAsia="ar-SA"/>
        </w:rPr>
        <w:t>Priorités thématiques</w:t>
      </w:r>
      <w:bookmarkEnd w:id="13"/>
    </w:p>
    <w:p w14:paraId="3C6CC787" w14:textId="77777777" w:rsidR="000726C7" w:rsidRPr="001F0479" w:rsidRDefault="000726C7" w:rsidP="000726C7">
      <w:pPr>
        <w:spacing w:after="120"/>
        <w:rPr>
          <w:rFonts w:ascii="Arial" w:eastAsia="SimSun" w:hAnsi="Arial" w:cs="Arial"/>
          <w:szCs w:val="24"/>
          <w:lang w:eastAsia="ar-SA"/>
        </w:rPr>
      </w:pPr>
    </w:p>
    <w:p w14:paraId="342F6C65" w14:textId="77777777" w:rsidR="000726C7" w:rsidRPr="001F0479" w:rsidRDefault="000726C7" w:rsidP="000726C7">
      <w:pPr>
        <w:spacing w:after="120"/>
        <w:jc w:val="both"/>
        <w:rPr>
          <w:rFonts w:ascii="Arial" w:eastAsia="SimSun" w:hAnsi="Arial" w:cs="Arial"/>
          <w:color w:val="000000"/>
          <w:szCs w:val="24"/>
          <w:lang w:eastAsia="ar-SA" w:bidi="hi-IN"/>
        </w:rPr>
      </w:pPr>
      <w:r w:rsidRPr="001F0479">
        <w:rPr>
          <w:rFonts w:ascii="Arial" w:eastAsia="SimSun" w:hAnsi="Arial" w:cs="Arial"/>
          <w:color w:val="000000"/>
          <w:szCs w:val="24"/>
          <w:lang w:eastAsia="ar-SA" w:bidi="hi-IN"/>
        </w:rPr>
        <w:t>Les projets devront s’inscrire dans une des 3 thématiques portées par la stratégie d’accélération :</w:t>
      </w:r>
    </w:p>
    <w:p w14:paraId="1A5E3D2E" w14:textId="77777777" w:rsidR="000726C7" w:rsidRPr="001F0479" w:rsidRDefault="000726C7" w:rsidP="000726C7">
      <w:pPr>
        <w:pStyle w:val="Paragraphedeliste"/>
        <w:numPr>
          <w:ilvl w:val="0"/>
          <w:numId w:val="8"/>
        </w:numPr>
        <w:spacing w:after="120"/>
        <w:jc w:val="both"/>
        <w:rPr>
          <w:rFonts w:ascii="Arial" w:eastAsia="SimSun" w:hAnsi="Arial" w:cs="Arial"/>
          <w:szCs w:val="24"/>
          <w:lang w:eastAsia="ar-SA"/>
        </w:rPr>
      </w:pPr>
      <w:r w:rsidRPr="001F0479">
        <w:rPr>
          <w:rFonts w:ascii="Arial" w:eastAsia="SimSun" w:hAnsi="Arial" w:cs="Arial"/>
          <w:b/>
          <w:sz w:val="22"/>
          <w:szCs w:val="24"/>
          <w:lang w:eastAsia="ar-SA"/>
        </w:rPr>
        <w:t>Le</w:t>
      </w:r>
      <w:r w:rsidRPr="001F0479">
        <w:rPr>
          <w:rFonts w:ascii="Arial" w:eastAsia="SimSun" w:hAnsi="Arial" w:cs="Arial"/>
          <w:sz w:val="22"/>
          <w:szCs w:val="24"/>
          <w:lang w:eastAsia="ar-SA"/>
        </w:rPr>
        <w:t xml:space="preserve"> </w:t>
      </w:r>
      <w:r w:rsidRPr="001F0479">
        <w:rPr>
          <w:rFonts w:ascii="Arial" w:eastAsia="SimSun" w:hAnsi="Arial" w:cs="Arial"/>
          <w:b/>
          <w:sz w:val="22"/>
          <w:szCs w:val="24"/>
          <w:lang w:eastAsia="ar-SA"/>
        </w:rPr>
        <w:t>photovoltaïque</w:t>
      </w:r>
      <w:r w:rsidRPr="001F0479">
        <w:rPr>
          <w:rFonts w:ascii="Arial" w:eastAsia="SimSun" w:hAnsi="Arial" w:cs="Arial"/>
          <w:sz w:val="22"/>
          <w:szCs w:val="24"/>
          <w:lang w:eastAsia="ar-SA"/>
        </w:rPr>
        <w:t xml:space="preserve"> dont les prévisions de croissance sont très élevées pour la prochaine décennie ;</w:t>
      </w:r>
    </w:p>
    <w:p w14:paraId="2C5DC310" w14:textId="77777777" w:rsidR="000726C7" w:rsidRPr="001F0479" w:rsidRDefault="000726C7" w:rsidP="000726C7">
      <w:pPr>
        <w:pStyle w:val="Paragraphedeliste"/>
        <w:numPr>
          <w:ilvl w:val="0"/>
          <w:numId w:val="8"/>
        </w:numPr>
        <w:spacing w:after="120"/>
        <w:jc w:val="both"/>
        <w:rPr>
          <w:rFonts w:ascii="Arial" w:eastAsia="SimSun" w:hAnsi="Arial" w:cs="Arial"/>
          <w:szCs w:val="24"/>
          <w:lang w:eastAsia="ar-SA"/>
        </w:rPr>
      </w:pPr>
      <w:r w:rsidRPr="001F0479">
        <w:rPr>
          <w:rFonts w:ascii="Arial" w:eastAsia="SimSun" w:hAnsi="Arial" w:cs="Arial"/>
          <w:b/>
          <w:sz w:val="22"/>
          <w:szCs w:val="24"/>
          <w:lang w:eastAsia="ar-SA"/>
        </w:rPr>
        <w:t xml:space="preserve">L’éolien flottant </w:t>
      </w:r>
      <w:r w:rsidRPr="001F0479">
        <w:rPr>
          <w:rFonts w:ascii="Arial" w:eastAsia="SimSun" w:hAnsi="Arial" w:cs="Arial"/>
          <w:sz w:val="22"/>
          <w:szCs w:val="24"/>
          <w:lang w:eastAsia="ar-SA"/>
        </w:rPr>
        <w:t>qui est un marché émergent prometteur, pour lequel la France possède un savoir-faire technologique fort et un potentiel de développement significatif ;</w:t>
      </w:r>
    </w:p>
    <w:p w14:paraId="2410FCE1" w14:textId="77777777" w:rsidR="000726C7" w:rsidRPr="001F0479" w:rsidRDefault="000726C7" w:rsidP="000726C7">
      <w:pPr>
        <w:pStyle w:val="Paragraphedeliste"/>
        <w:numPr>
          <w:ilvl w:val="0"/>
          <w:numId w:val="8"/>
        </w:numPr>
        <w:spacing w:after="120"/>
        <w:jc w:val="both"/>
        <w:rPr>
          <w:rFonts w:ascii="Arial" w:eastAsia="SimSun" w:hAnsi="Arial" w:cs="Arial"/>
          <w:szCs w:val="24"/>
          <w:lang w:eastAsia="ar-SA"/>
        </w:rPr>
      </w:pPr>
      <w:r w:rsidRPr="001F0479">
        <w:rPr>
          <w:rFonts w:ascii="Arial" w:eastAsia="SimSun" w:hAnsi="Arial" w:cs="Arial"/>
          <w:b/>
          <w:sz w:val="22"/>
          <w:szCs w:val="24"/>
          <w:lang w:eastAsia="ar-SA"/>
        </w:rPr>
        <w:t>Les</w:t>
      </w:r>
      <w:r w:rsidRPr="001F0479">
        <w:rPr>
          <w:rFonts w:ascii="Arial" w:eastAsia="SimSun" w:hAnsi="Arial" w:cs="Arial"/>
          <w:sz w:val="22"/>
          <w:szCs w:val="24"/>
          <w:lang w:eastAsia="ar-SA"/>
        </w:rPr>
        <w:t xml:space="preserve"> </w:t>
      </w:r>
      <w:r w:rsidRPr="001F0479">
        <w:rPr>
          <w:rFonts w:ascii="Arial" w:eastAsia="SimSun" w:hAnsi="Arial" w:cs="Arial"/>
          <w:b/>
          <w:sz w:val="22"/>
          <w:szCs w:val="24"/>
          <w:lang w:eastAsia="ar-SA"/>
        </w:rPr>
        <w:t>réseaux énergétiques</w:t>
      </w:r>
      <w:r w:rsidRPr="001F0479">
        <w:rPr>
          <w:rFonts w:ascii="Arial" w:eastAsia="SimSun" w:hAnsi="Arial" w:cs="Arial"/>
          <w:sz w:val="22"/>
          <w:szCs w:val="24"/>
          <w:lang w:eastAsia="ar-SA"/>
        </w:rPr>
        <w:t>, qui vont connaître des transformations importantes et pour lesquels la France possède un savoir-faire technologique reconnu mondialement.</w:t>
      </w:r>
    </w:p>
    <w:p w14:paraId="36B68F1D" w14:textId="60C66BBF" w:rsidR="004556B7" w:rsidRPr="003B1847" w:rsidRDefault="004556B7" w:rsidP="003B1847">
      <w:pPr>
        <w:spacing w:after="120"/>
        <w:rPr>
          <w:rFonts w:ascii="Arial" w:eastAsia="SimSun" w:hAnsi="Arial" w:cs="Arial"/>
          <w:szCs w:val="24"/>
          <w:lang w:eastAsia="ar-SA"/>
        </w:rPr>
      </w:pPr>
      <w:r w:rsidRPr="003B4F4C">
        <w:rPr>
          <w:rFonts w:ascii="Arial" w:eastAsia="SimSun" w:hAnsi="Arial" w:cs="Arial"/>
          <w:szCs w:val="24"/>
          <w:highlight w:val="yellow"/>
          <w:lang w:eastAsia="ar-SA"/>
          <w:rPrChange w:id="14" w:author="BUSTROS Elodie" w:date="2024-04-12T12:07:00Z">
            <w:rPr>
              <w:rFonts w:ascii="Arial" w:eastAsia="SimSun" w:hAnsi="Arial" w:cs="Arial"/>
              <w:szCs w:val="24"/>
              <w:lang w:eastAsia="ar-SA"/>
            </w:rPr>
          </w:rPrChange>
        </w:rPr>
        <w:t xml:space="preserve">Dans ce dernier secteur, </w:t>
      </w:r>
      <w:r w:rsidRPr="003B4F4C">
        <w:rPr>
          <w:rFonts w:ascii="Arial" w:eastAsia="SimSun" w:hAnsi="Arial" w:cs="Arial"/>
          <w:b/>
          <w:bCs/>
          <w:szCs w:val="24"/>
          <w:highlight w:val="yellow"/>
          <w:lang w:eastAsia="ar-SA"/>
          <w:rPrChange w:id="15" w:author="BUSTROS Elodie" w:date="2024-04-12T12:07:00Z">
            <w:rPr>
              <w:rFonts w:ascii="Arial" w:eastAsia="SimSun" w:hAnsi="Arial" w:cs="Arial"/>
              <w:b/>
              <w:bCs/>
              <w:szCs w:val="24"/>
              <w:lang w:eastAsia="ar-SA"/>
            </w:rPr>
          </w:rPrChange>
        </w:rPr>
        <w:t>les pompes à chaleur (PAC) seront également soutenues</w:t>
      </w:r>
      <w:r w:rsidRPr="003B4F4C">
        <w:rPr>
          <w:rFonts w:ascii="Arial" w:eastAsia="SimSun" w:hAnsi="Arial" w:cs="Arial"/>
          <w:szCs w:val="24"/>
          <w:highlight w:val="yellow"/>
          <w:lang w:eastAsia="ar-SA"/>
          <w:rPrChange w:id="16" w:author="BUSTROS Elodie" w:date="2024-04-12T12:07:00Z">
            <w:rPr>
              <w:rFonts w:ascii="Arial" w:eastAsia="SimSun" w:hAnsi="Arial" w:cs="Arial"/>
              <w:szCs w:val="24"/>
              <w:lang w:eastAsia="ar-SA"/>
            </w:rPr>
          </w:rPrChange>
        </w:rPr>
        <w:t>, en tant qu’elles constituent un levier d’optimisation des réseaux, et dans la mesure où leur déploiement en Europe doit être accéléré pour atteindre les objectifs de décarbonation fixés pour 2030 et réduire les importations de combustibles fossiles.</w:t>
      </w:r>
    </w:p>
    <w:p w14:paraId="662048C8" w14:textId="77777777" w:rsidR="004556B7" w:rsidRPr="001F0479" w:rsidRDefault="004556B7" w:rsidP="000726C7">
      <w:pPr>
        <w:spacing w:after="120"/>
        <w:rPr>
          <w:rFonts w:ascii="Arial" w:eastAsia="SimSun" w:hAnsi="Arial" w:cs="Arial"/>
          <w:color w:val="000000"/>
          <w:szCs w:val="24"/>
          <w:lang w:eastAsia="ar-SA" w:bidi="hi-IN"/>
        </w:rPr>
      </w:pPr>
    </w:p>
    <w:p w14:paraId="3FF3569B" w14:textId="77777777" w:rsidR="000726C7" w:rsidRPr="001F0479" w:rsidRDefault="000726C7" w:rsidP="000726C7">
      <w:pPr>
        <w:spacing w:after="120"/>
        <w:jc w:val="both"/>
        <w:rPr>
          <w:rFonts w:ascii="Arial" w:eastAsia="SimSun" w:hAnsi="Arial" w:cs="Arial"/>
          <w:color w:val="000000"/>
          <w:szCs w:val="24"/>
          <w:lang w:eastAsia="ar-SA" w:bidi="hi-IN"/>
        </w:rPr>
      </w:pPr>
      <w:r w:rsidRPr="001F0479">
        <w:rPr>
          <w:rFonts w:ascii="Arial" w:eastAsia="SimSun" w:hAnsi="Arial" w:cs="Arial"/>
          <w:color w:val="000000"/>
          <w:szCs w:val="24"/>
          <w:lang w:eastAsia="ar-SA" w:bidi="hi-IN"/>
        </w:rPr>
        <w:t>Cet AAP a pour objet de soutenir le développement d’innovations portées par les PME et de faire émerger une offre française innovante sur les marchés nationaux et mondiaux, permettant de :</w:t>
      </w:r>
    </w:p>
    <w:p w14:paraId="754E5F1B" w14:textId="2C9EB2DC" w:rsidR="000726C7" w:rsidRPr="001F0479" w:rsidRDefault="000726C7" w:rsidP="000726C7">
      <w:pPr>
        <w:pStyle w:val="Paragraphedeliste"/>
        <w:numPr>
          <w:ilvl w:val="0"/>
          <w:numId w:val="8"/>
        </w:numPr>
        <w:spacing w:after="120"/>
        <w:jc w:val="both"/>
        <w:rPr>
          <w:rFonts w:ascii="Arial" w:eastAsia="SimSun" w:hAnsi="Arial" w:cs="Arial"/>
          <w:sz w:val="22"/>
          <w:szCs w:val="24"/>
          <w:lang w:eastAsia="ar-SA"/>
        </w:rPr>
      </w:pPr>
      <w:r w:rsidRPr="001F0479">
        <w:rPr>
          <w:rFonts w:ascii="Arial" w:eastAsia="SimSun" w:hAnsi="Arial" w:cs="Arial"/>
          <w:sz w:val="22"/>
          <w:szCs w:val="24"/>
          <w:lang w:eastAsia="ar-SA"/>
        </w:rPr>
        <w:t>réduire l’empreinte environnementale et le coût des technologies de production d’énergies renouvelables (éolien flottant</w:t>
      </w:r>
      <w:r w:rsidR="004556B7">
        <w:rPr>
          <w:rFonts w:ascii="Arial" w:eastAsia="SimSun" w:hAnsi="Arial" w:cs="Arial"/>
          <w:sz w:val="22"/>
          <w:szCs w:val="24"/>
          <w:lang w:eastAsia="ar-SA"/>
        </w:rPr>
        <w:t xml:space="preserve">, </w:t>
      </w:r>
      <w:r w:rsidRPr="001F0479">
        <w:rPr>
          <w:rFonts w:ascii="Arial" w:eastAsia="SimSun" w:hAnsi="Arial" w:cs="Arial"/>
          <w:sz w:val="22"/>
          <w:szCs w:val="24"/>
          <w:lang w:eastAsia="ar-SA"/>
        </w:rPr>
        <w:t>PV</w:t>
      </w:r>
      <w:r w:rsidR="004556B7">
        <w:rPr>
          <w:rFonts w:ascii="Arial" w:eastAsia="SimSun" w:hAnsi="Arial" w:cs="Arial"/>
          <w:sz w:val="22"/>
          <w:szCs w:val="24"/>
          <w:lang w:eastAsia="ar-SA"/>
        </w:rPr>
        <w:t xml:space="preserve"> et PAC</w:t>
      </w:r>
      <w:r w:rsidRPr="001F0479">
        <w:rPr>
          <w:rFonts w:ascii="Arial" w:eastAsia="SimSun" w:hAnsi="Arial" w:cs="Arial"/>
          <w:sz w:val="22"/>
          <w:szCs w:val="24"/>
          <w:lang w:eastAsia="ar-SA"/>
        </w:rPr>
        <w:t>) ;</w:t>
      </w:r>
    </w:p>
    <w:p w14:paraId="5AA3971A" w14:textId="77777777" w:rsidR="000726C7" w:rsidRPr="001F0479" w:rsidRDefault="000726C7" w:rsidP="000726C7">
      <w:pPr>
        <w:pStyle w:val="Paragraphedeliste"/>
        <w:numPr>
          <w:ilvl w:val="0"/>
          <w:numId w:val="8"/>
        </w:numPr>
        <w:spacing w:after="120"/>
        <w:jc w:val="both"/>
        <w:rPr>
          <w:rFonts w:ascii="Arial" w:eastAsia="SimSun" w:hAnsi="Arial" w:cs="Arial"/>
          <w:sz w:val="22"/>
          <w:szCs w:val="24"/>
          <w:lang w:eastAsia="ar-SA"/>
        </w:rPr>
      </w:pPr>
      <w:r w:rsidRPr="001F0479">
        <w:rPr>
          <w:rFonts w:ascii="Arial" w:eastAsia="SimSun" w:hAnsi="Arial" w:cs="Arial"/>
          <w:sz w:val="22"/>
          <w:szCs w:val="24"/>
          <w:lang w:eastAsia="ar-SA"/>
        </w:rPr>
        <w:t>favoriser l’insertion massive des systèmes de production d’énergies renouvelables au sein des réseaux énergétiques.</w:t>
      </w:r>
    </w:p>
    <w:p w14:paraId="50E8A9DE" w14:textId="77777777" w:rsidR="000726C7" w:rsidRPr="001F0479" w:rsidRDefault="000726C7" w:rsidP="000726C7">
      <w:pPr>
        <w:rPr>
          <w:rFonts w:ascii="Arial" w:eastAsia="Times New Roman" w:hAnsi="Arial" w:cs="Arial"/>
          <w:color w:val="2F5496" w:themeColor="accent1" w:themeShade="BF"/>
          <w:sz w:val="26"/>
          <w:szCs w:val="26"/>
          <w:highlight w:val="lightGray"/>
          <w:lang w:eastAsia="ar-SA"/>
        </w:rPr>
      </w:pPr>
    </w:p>
    <w:p w14:paraId="08C9994C" w14:textId="77777777" w:rsidR="000726C7" w:rsidRPr="001F0479" w:rsidRDefault="000726C7" w:rsidP="000726C7">
      <w:pPr>
        <w:pStyle w:val="Titre2"/>
        <w:numPr>
          <w:ilvl w:val="0"/>
          <w:numId w:val="10"/>
        </w:numPr>
        <w:tabs>
          <w:tab w:val="num" w:pos="360"/>
        </w:tabs>
        <w:ind w:left="0" w:firstLine="0"/>
        <w:rPr>
          <w:rFonts w:ascii="Arial" w:eastAsia="Times New Roman" w:hAnsi="Arial" w:cs="Arial"/>
          <w:lang w:eastAsia="ar-SA"/>
        </w:rPr>
      </w:pPr>
      <w:bookmarkStart w:id="17" w:name="_Toc95323574"/>
      <w:r w:rsidRPr="001F0479">
        <w:rPr>
          <w:rFonts w:ascii="Arial" w:eastAsia="Times New Roman" w:hAnsi="Arial" w:cs="Arial"/>
          <w:lang w:eastAsia="ar-SA"/>
        </w:rPr>
        <w:t>Articulation avec la stratégie « Techniques Avancées pour les Systèmes Energétiques »</w:t>
      </w:r>
      <w:bookmarkEnd w:id="17"/>
    </w:p>
    <w:p w14:paraId="390A9E73" w14:textId="77777777" w:rsidR="000726C7" w:rsidRPr="001F0479" w:rsidRDefault="000726C7" w:rsidP="000726C7">
      <w:pPr>
        <w:jc w:val="both"/>
        <w:rPr>
          <w:rFonts w:ascii="Arial" w:eastAsia="Times New Roman" w:hAnsi="Arial" w:cs="Arial"/>
          <w:iCs/>
          <w:lang w:eastAsia="ar-SA"/>
        </w:rPr>
      </w:pPr>
    </w:p>
    <w:p w14:paraId="676D7133" w14:textId="77777777" w:rsidR="000726C7" w:rsidRPr="001F0479" w:rsidRDefault="000726C7" w:rsidP="000726C7">
      <w:pPr>
        <w:spacing w:after="120"/>
        <w:jc w:val="both"/>
        <w:rPr>
          <w:rFonts w:ascii="Arial" w:eastAsia="Times New Roman" w:hAnsi="Arial" w:cs="Arial"/>
          <w:iCs/>
        </w:rPr>
      </w:pPr>
      <w:r w:rsidRPr="001F0479">
        <w:rPr>
          <w:rFonts w:ascii="Arial" w:eastAsia="Times New Roman" w:hAnsi="Arial" w:cs="Arial"/>
          <w:iCs/>
          <w:color w:val="000000"/>
          <w:lang w:eastAsia="ar-SA" w:bidi="hi-IN"/>
        </w:rPr>
        <w:t>Cet AAP s’inscrit dans le cadre de la stratégie d’accélération « Technologies Avancées des Systèmes Energétiques ». Il vise plus particulièrement à soutenir les deux actions suivantes identifiées par cette stratégie :</w:t>
      </w:r>
    </w:p>
    <w:p w14:paraId="6C9CA00B" w14:textId="77777777" w:rsidR="000726C7" w:rsidRPr="001F0479" w:rsidRDefault="000726C7" w:rsidP="000726C7">
      <w:pPr>
        <w:pStyle w:val="Normal11"/>
        <w:spacing w:line="276" w:lineRule="auto"/>
        <w:jc w:val="both"/>
        <w:rPr>
          <w:rFonts w:eastAsia="Times New Roman"/>
          <w:iCs/>
          <w:sz w:val="22"/>
          <w:szCs w:val="22"/>
        </w:rPr>
      </w:pPr>
    </w:p>
    <w:p w14:paraId="4FB4C320" w14:textId="77777777" w:rsidR="000726C7" w:rsidRPr="001F0479" w:rsidRDefault="000726C7" w:rsidP="000726C7">
      <w:pPr>
        <w:pStyle w:val="Paragraphedeliste"/>
        <w:numPr>
          <w:ilvl w:val="0"/>
          <w:numId w:val="11"/>
        </w:numPr>
        <w:autoSpaceDE w:val="0"/>
        <w:autoSpaceDN w:val="0"/>
        <w:adjustRightInd w:val="0"/>
        <w:jc w:val="both"/>
        <w:rPr>
          <w:rFonts w:ascii="Arial" w:eastAsia="Times New Roman" w:hAnsi="Arial" w:cs="Arial"/>
          <w:b/>
          <w:iCs/>
          <w:lang w:eastAsia="ar-SA"/>
        </w:rPr>
      </w:pPr>
      <w:r w:rsidRPr="001F0479">
        <w:rPr>
          <w:rFonts w:ascii="Arial" w:eastAsia="Times New Roman" w:hAnsi="Arial" w:cs="Arial"/>
          <w:b/>
          <w:iCs/>
          <w:lang w:eastAsia="ar-SA"/>
        </w:rPr>
        <w:t>L’innovation pour le développement d’instruments de mesures environnementales et les méthodologies associées à destination des start-ups et PME</w:t>
      </w:r>
    </w:p>
    <w:p w14:paraId="64AE89A6" w14:textId="77777777" w:rsidR="000726C7" w:rsidRPr="001F0479" w:rsidRDefault="000726C7" w:rsidP="000726C7">
      <w:pPr>
        <w:autoSpaceDE w:val="0"/>
        <w:autoSpaceDN w:val="0"/>
        <w:adjustRightInd w:val="0"/>
        <w:spacing w:after="0" w:line="240" w:lineRule="auto"/>
        <w:jc w:val="both"/>
        <w:rPr>
          <w:rFonts w:ascii="Arial" w:eastAsia="Times New Roman" w:hAnsi="Arial" w:cs="Arial"/>
          <w:iCs/>
          <w:color w:val="000000"/>
          <w:lang w:eastAsia="ar-SA" w:bidi="hi-IN"/>
        </w:rPr>
      </w:pPr>
      <w:r w:rsidRPr="001F0479">
        <w:rPr>
          <w:rFonts w:ascii="Arial" w:eastAsia="Times New Roman" w:hAnsi="Arial" w:cs="Arial"/>
          <w:iCs/>
          <w:color w:val="000000"/>
          <w:lang w:eastAsia="ar-SA" w:bidi="hi-IN"/>
        </w:rPr>
        <w:t>Cette action vise à soutenir le développement des outils permettant l’évaluation précise de l’impact environnemental réel des nouvelles technologies mises en œuvre pour la transition énergétique. Les dispositifs (instruments de mesure, capteurs, solutions numériques, …) qui pourront être développés sont un complément indispensable aux actions qui seront menées dans le cadre du volet environnemental du Programme et Equipements Prioritaires de Recherche (PEPR). La connaissance des milieux naturels et des interactions avec les autres usages nécessite, en effet, l’acquisition de données précises et en temps réel. Cette action favorisera le développement de solutions de rupture au sein de startups ou PME françaises.</w:t>
      </w:r>
    </w:p>
    <w:p w14:paraId="16E39C25" w14:textId="77777777" w:rsidR="000726C7" w:rsidRPr="001F0479" w:rsidRDefault="000726C7" w:rsidP="000726C7">
      <w:pPr>
        <w:autoSpaceDE w:val="0"/>
        <w:autoSpaceDN w:val="0"/>
        <w:adjustRightInd w:val="0"/>
        <w:spacing w:after="0" w:line="240" w:lineRule="auto"/>
        <w:jc w:val="both"/>
        <w:rPr>
          <w:rFonts w:ascii="Arial" w:eastAsia="Times New Roman" w:hAnsi="Arial" w:cs="Arial"/>
          <w:iCs/>
          <w:color w:val="000000"/>
          <w:lang w:eastAsia="ar-SA" w:bidi="hi-IN"/>
        </w:rPr>
      </w:pPr>
    </w:p>
    <w:p w14:paraId="34E9EE11" w14:textId="77777777" w:rsidR="000726C7" w:rsidRPr="001F0479" w:rsidRDefault="000726C7" w:rsidP="000726C7">
      <w:pPr>
        <w:pStyle w:val="Paragraphedeliste"/>
        <w:numPr>
          <w:ilvl w:val="0"/>
          <w:numId w:val="11"/>
        </w:numPr>
        <w:autoSpaceDE w:val="0"/>
        <w:autoSpaceDN w:val="0"/>
        <w:adjustRightInd w:val="0"/>
        <w:jc w:val="both"/>
        <w:rPr>
          <w:rFonts w:ascii="Arial" w:eastAsia="Times New Roman" w:hAnsi="Arial" w:cs="Arial"/>
          <w:b/>
          <w:iCs/>
          <w:lang w:eastAsia="ar-SA"/>
        </w:rPr>
      </w:pPr>
      <w:r w:rsidRPr="001F0479">
        <w:rPr>
          <w:rFonts w:ascii="Arial" w:eastAsia="Times New Roman" w:hAnsi="Arial" w:cs="Arial"/>
          <w:b/>
          <w:iCs/>
          <w:lang w:eastAsia="ar-SA"/>
        </w:rPr>
        <w:t>L’innovation technologique au sein des start-up et des PME</w:t>
      </w:r>
    </w:p>
    <w:p w14:paraId="0D5EC59D" w14:textId="77777777" w:rsidR="000726C7" w:rsidRPr="001F0479" w:rsidRDefault="000726C7" w:rsidP="000726C7">
      <w:pPr>
        <w:autoSpaceDE w:val="0"/>
        <w:autoSpaceDN w:val="0"/>
        <w:adjustRightInd w:val="0"/>
        <w:spacing w:after="0" w:line="240" w:lineRule="auto"/>
        <w:jc w:val="both"/>
        <w:rPr>
          <w:rFonts w:ascii="Arial" w:eastAsia="Times New Roman" w:hAnsi="Arial" w:cs="Arial"/>
          <w:iCs/>
          <w:color w:val="000000"/>
          <w:lang w:eastAsia="ar-SA" w:bidi="hi-IN"/>
        </w:rPr>
      </w:pPr>
      <w:r w:rsidRPr="001F0479">
        <w:rPr>
          <w:rFonts w:ascii="Arial" w:eastAsia="Times New Roman" w:hAnsi="Arial" w:cs="Arial"/>
          <w:iCs/>
          <w:color w:val="000000"/>
          <w:lang w:eastAsia="ar-SA" w:bidi="hi-IN"/>
        </w:rPr>
        <w:t>La mobilisation des TPE et PME des secteurs des EnR, des réseaux et des systèmes énergétiques reste forte en matière l’innovation. Elles contribuent pleinement au dynamisme des écosystèmes industriels à travers le développement de nouveaux composants et sous-systèmes, de produits et services innovants permettant l’amélioration des performances, de la flexibilité et de la supervision des systèmes énergétiques.</w:t>
      </w:r>
    </w:p>
    <w:p w14:paraId="07CFDDCC" w14:textId="77777777" w:rsidR="000726C7" w:rsidRPr="001F0479" w:rsidRDefault="000726C7" w:rsidP="000726C7">
      <w:pPr>
        <w:autoSpaceDE w:val="0"/>
        <w:autoSpaceDN w:val="0"/>
        <w:adjustRightInd w:val="0"/>
        <w:spacing w:after="0" w:line="240" w:lineRule="auto"/>
        <w:jc w:val="both"/>
        <w:rPr>
          <w:rFonts w:ascii="Arial" w:hAnsi="Arial" w:cs="Arial"/>
        </w:rPr>
      </w:pPr>
      <w:r w:rsidRPr="001F0479">
        <w:rPr>
          <w:rFonts w:ascii="Arial" w:eastAsia="Times New Roman" w:hAnsi="Arial" w:cs="Arial"/>
          <w:iCs/>
          <w:color w:val="000000"/>
          <w:lang w:eastAsia="ar-SA" w:bidi="hi-IN"/>
        </w:rPr>
        <w:t>Le potentiel d’innovation, de rupture ou incrémentale, reste fort avec notamment le développement important des solutions numériques (internet des objets, utilisation des données massives, intelligence artificielle, interopérabilité des données et des outils, maquette numérique, etc.), l’augmentation des performances énergétiques et environnementales des systèmes de production d’énergies renouvelables, le développement des solutions de pilotage de la demande, l’hybridation des technologies de production d’énergie et l’insertion massive des EnR au sein des réseaux énergétiques.</w:t>
      </w:r>
      <w:bookmarkStart w:id="18" w:name="_Toc500319819"/>
      <w:bookmarkStart w:id="19" w:name="_Toc499646226"/>
      <w:bookmarkEnd w:id="18"/>
      <w:bookmarkEnd w:id="19"/>
    </w:p>
    <w:p w14:paraId="4C7C92B5" w14:textId="77777777" w:rsidR="000726C7" w:rsidRPr="001F0479" w:rsidRDefault="000726C7" w:rsidP="000726C7">
      <w:pPr>
        <w:spacing w:after="120"/>
        <w:rPr>
          <w:rFonts w:ascii="Arial" w:eastAsia="SimSun" w:hAnsi="Arial" w:cs="Arial"/>
          <w:color w:val="000000"/>
          <w:szCs w:val="24"/>
          <w:lang w:eastAsia="ar-SA" w:bidi="hi-IN"/>
        </w:rPr>
      </w:pPr>
    </w:p>
    <w:p w14:paraId="6214FB0D" w14:textId="77777777" w:rsidR="000726C7" w:rsidRPr="001F0479" w:rsidRDefault="000726C7" w:rsidP="000726C7">
      <w:pPr>
        <w:spacing w:after="120"/>
        <w:rPr>
          <w:rFonts w:ascii="Arial" w:eastAsia="SimSun" w:hAnsi="Arial" w:cs="Arial"/>
          <w:color w:val="000000"/>
          <w:szCs w:val="24"/>
          <w:lang w:eastAsia="ar-SA" w:bidi="hi-IN"/>
        </w:rPr>
      </w:pPr>
    </w:p>
    <w:p w14:paraId="59EFFEA2" w14:textId="77777777" w:rsidR="000726C7" w:rsidRPr="001F0479" w:rsidRDefault="000726C7" w:rsidP="000726C7">
      <w:pPr>
        <w:pStyle w:val="Normal11"/>
        <w:spacing w:line="276" w:lineRule="auto"/>
        <w:jc w:val="both"/>
        <w:rPr>
          <w:sz w:val="22"/>
        </w:rPr>
      </w:pPr>
    </w:p>
    <w:p w14:paraId="67086FAE" w14:textId="77777777" w:rsidR="000726C7" w:rsidRPr="001F0479" w:rsidRDefault="000726C7" w:rsidP="000726C7">
      <w:pPr>
        <w:pStyle w:val="Titre1"/>
        <w:numPr>
          <w:ilvl w:val="0"/>
          <w:numId w:val="9"/>
        </w:numPr>
        <w:tabs>
          <w:tab w:val="num" w:pos="360"/>
        </w:tabs>
        <w:spacing w:line="276" w:lineRule="auto"/>
        <w:ind w:left="0" w:firstLine="0"/>
        <w:rPr>
          <w:rFonts w:cs="Arial"/>
          <w:color w:val="auto"/>
        </w:rPr>
      </w:pPr>
      <w:bookmarkStart w:id="20" w:name="_Toc500319820"/>
      <w:bookmarkStart w:id="21" w:name="_Toc499646227"/>
      <w:bookmarkStart w:id="22" w:name="_Toc283260"/>
      <w:bookmarkStart w:id="23" w:name="_Toc283276"/>
      <w:bookmarkStart w:id="24" w:name="_Toc59527584"/>
      <w:bookmarkStart w:id="25" w:name="_Toc61343085"/>
      <w:bookmarkStart w:id="26" w:name="_Toc95323575"/>
      <w:bookmarkEnd w:id="20"/>
      <w:bookmarkEnd w:id="21"/>
      <w:r w:rsidRPr="001F0479">
        <w:rPr>
          <w:rFonts w:cs="Arial"/>
          <w:color w:val="auto"/>
          <w:sz w:val="24"/>
          <w:szCs w:val="24"/>
        </w:rPr>
        <w:t>CRITERES D’ELIGIBILITE</w:t>
      </w:r>
      <w:bookmarkEnd w:id="22"/>
      <w:bookmarkEnd w:id="23"/>
      <w:bookmarkEnd w:id="24"/>
      <w:bookmarkEnd w:id="25"/>
      <w:bookmarkEnd w:id="26"/>
    </w:p>
    <w:p w14:paraId="49B15674" w14:textId="77777777" w:rsidR="000726C7" w:rsidRPr="001F0479" w:rsidRDefault="000726C7" w:rsidP="000726C7">
      <w:pPr>
        <w:pStyle w:val="Normal11"/>
        <w:spacing w:after="120" w:line="276" w:lineRule="auto"/>
        <w:jc w:val="both"/>
        <w:rPr>
          <w:sz w:val="22"/>
        </w:rPr>
      </w:pPr>
      <w:r w:rsidRPr="001F0479">
        <w:rPr>
          <w:sz w:val="22"/>
        </w:rPr>
        <w:t>Le projet doit être conforme aux critères d’éligibilité suivants :</w:t>
      </w:r>
    </w:p>
    <w:p w14:paraId="334E7DBA" w14:textId="77777777" w:rsidR="000726C7" w:rsidRPr="001F0479" w:rsidRDefault="000726C7" w:rsidP="000726C7">
      <w:pPr>
        <w:pStyle w:val="Normal11"/>
        <w:spacing w:after="120" w:line="276" w:lineRule="auto"/>
        <w:jc w:val="both"/>
        <w:rPr>
          <w:sz w:val="22"/>
          <w:szCs w:val="22"/>
        </w:rPr>
      </w:pPr>
    </w:p>
    <w:p w14:paraId="653A1D63" w14:textId="77777777" w:rsidR="000726C7" w:rsidRPr="001F0479" w:rsidRDefault="000726C7" w:rsidP="000726C7">
      <w:pPr>
        <w:pStyle w:val="Normal11"/>
        <w:spacing w:after="120" w:line="276" w:lineRule="auto"/>
        <w:jc w:val="both"/>
        <w:rPr>
          <w:b/>
          <w:sz w:val="22"/>
          <w:szCs w:val="22"/>
        </w:rPr>
      </w:pPr>
      <w:r w:rsidRPr="001F0479">
        <w:rPr>
          <w:b/>
          <w:sz w:val="22"/>
        </w:rPr>
        <w:t>Dossier</w:t>
      </w:r>
    </w:p>
    <w:p w14:paraId="0186507C" w14:textId="77777777" w:rsidR="000726C7" w:rsidRPr="001F0479" w:rsidRDefault="000726C7" w:rsidP="000726C7">
      <w:pPr>
        <w:pStyle w:val="Paragraphedeliste"/>
        <w:numPr>
          <w:ilvl w:val="0"/>
          <w:numId w:val="1"/>
        </w:numPr>
        <w:spacing w:after="120" w:line="276" w:lineRule="auto"/>
        <w:ind w:left="714" w:hanging="357"/>
        <w:jc w:val="both"/>
        <w:rPr>
          <w:rFonts w:ascii="Arial" w:hAnsi="Arial" w:cs="Arial"/>
          <w:sz w:val="22"/>
        </w:rPr>
      </w:pPr>
      <w:r w:rsidRPr="001F0479">
        <w:rPr>
          <w:rFonts w:ascii="Arial" w:hAnsi="Arial" w:cs="Arial"/>
          <w:sz w:val="22"/>
          <w:szCs w:val="24"/>
        </w:rPr>
        <w:t>être soumis, dans les délais, sous forme électronique via la plateforme correspondant à l’ADEME, prévue à la section VII ;</w:t>
      </w:r>
    </w:p>
    <w:p w14:paraId="18CA5FA5" w14:textId="77777777" w:rsidR="000726C7" w:rsidRPr="001F0479" w:rsidRDefault="000726C7" w:rsidP="000726C7">
      <w:pPr>
        <w:pStyle w:val="Paragraphedeliste"/>
        <w:numPr>
          <w:ilvl w:val="0"/>
          <w:numId w:val="1"/>
        </w:numPr>
        <w:spacing w:after="120" w:line="276" w:lineRule="auto"/>
        <w:ind w:left="714" w:hanging="357"/>
        <w:jc w:val="both"/>
        <w:rPr>
          <w:rFonts w:ascii="Arial" w:hAnsi="Arial" w:cs="Arial"/>
          <w:sz w:val="22"/>
        </w:rPr>
      </w:pPr>
      <w:r w:rsidRPr="001F0479">
        <w:rPr>
          <w:rFonts w:ascii="Arial" w:hAnsi="Arial" w:cs="Arial"/>
          <w:sz w:val="22"/>
          <w:szCs w:val="24"/>
        </w:rPr>
        <w:t>former un dossier de candidature complet, au format imposé (cf. section IX), tous les paragraphes, tableaux et onglets étant renseignés et signés.</w:t>
      </w:r>
    </w:p>
    <w:p w14:paraId="26C3F212" w14:textId="77777777" w:rsidR="000726C7" w:rsidRPr="001F0479" w:rsidRDefault="000726C7" w:rsidP="000726C7">
      <w:pPr>
        <w:pStyle w:val="Normal11"/>
        <w:spacing w:after="120" w:line="276" w:lineRule="auto"/>
        <w:jc w:val="both"/>
        <w:rPr>
          <w:b/>
          <w:sz w:val="22"/>
        </w:rPr>
      </w:pPr>
      <w:r w:rsidRPr="001F0479">
        <w:rPr>
          <w:b/>
          <w:sz w:val="22"/>
        </w:rPr>
        <w:t>Projet</w:t>
      </w:r>
    </w:p>
    <w:p w14:paraId="462A5333" w14:textId="77777777" w:rsidR="000726C7" w:rsidRPr="001F0479" w:rsidRDefault="000726C7" w:rsidP="000726C7">
      <w:pPr>
        <w:pStyle w:val="Paragraphedeliste"/>
        <w:numPr>
          <w:ilvl w:val="0"/>
          <w:numId w:val="12"/>
        </w:numPr>
        <w:spacing w:after="120" w:line="276" w:lineRule="auto"/>
        <w:jc w:val="both"/>
        <w:rPr>
          <w:rFonts w:ascii="Arial" w:hAnsi="Arial" w:cs="Arial"/>
        </w:rPr>
      </w:pPr>
      <w:r w:rsidRPr="001F0479">
        <w:rPr>
          <w:rFonts w:ascii="Arial" w:hAnsi="Arial" w:cs="Arial"/>
          <w:sz w:val="22"/>
          <w:szCs w:val="24"/>
        </w:rPr>
        <w:t>s’inscrire dans la thématique identifiée dans la section III ;</w:t>
      </w:r>
    </w:p>
    <w:p w14:paraId="60C6A5A0" w14:textId="77777777" w:rsidR="000726C7" w:rsidRPr="001F0479" w:rsidRDefault="000726C7" w:rsidP="000726C7">
      <w:pPr>
        <w:pStyle w:val="Paragraphedeliste"/>
        <w:numPr>
          <w:ilvl w:val="0"/>
          <w:numId w:val="12"/>
        </w:numPr>
        <w:spacing w:after="120" w:line="276" w:lineRule="auto"/>
        <w:jc w:val="both"/>
        <w:rPr>
          <w:rFonts w:ascii="Arial" w:hAnsi="Arial" w:cs="Arial"/>
          <w:sz w:val="22"/>
          <w:szCs w:val="24"/>
        </w:rPr>
      </w:pPr>
      <w:r w:rsidRPr="001F0479">
        <w:rPr>
          <w:rFonts w:ascii="Arial" w:hAnsi="Arial" w:cs="Arial"/>
          <w:sz w:val="22"/>
          <w:szCs w:val="24"/>
        </w:rPr>
        <w:t>présenter un coût total inférieur à 1,5 M€ ;</w:t>
      </w:r>
    </w:p>
    <w:p w14:paraId="3FCCE868" w14:textId="77777777" w:rsidR="000726C7" w:rsidRPr="001F0479" w:rsidRDefault="000726C7" w:rsidP="000726C7">
      <w:pPr>
        <w:pStyle w:val="Paragraphedeliste"/>
        <w:numPr>
          <w:ilvl w:val="0"/>
          <w:numId w:val="12"/>
        </w:numPr>
        <w:spacing w:after="120" w:line="276" w:lineRule="auto"/>
        <w:jc w:val="both"/>
        <w:rPr>
          <w:rFonts w:ascii="Arial" w:hAnsi="Arial" w:cs="Arial"/>
          <w:sz w:val="22"/>
          <w:szCs w:val="24"/>
        </w:rPr>
      </w:pPr>
      <w:r w:rsidRPr="001F0479">
        <w:rPr>
          <w:rFonts w:ascii="Arial" w:hAnsi="Arial" w:cs="Arial"/>
          <w:sz w:val="22"/>
          <w:szCs w:val="24"/>
        </w:rPr>
        <w:t>présenter des dépenses éligibles supérieures à 300 k€ ;</w:t>
      </w:r>
    </w:p>
    <w:p w14:paraId="32FCAC3B" w14:textId="77777777" w:rsidR="000726C7" w:rsidRPr="001F0479" w:rsidRDefault="000726C7" w:rsidP="000726C7">
      <w:pPr>
        <w:pStyle w:val="Paragraphedeliste"/>
        <w:numPr>
          <w:ilvl w:val="0"/>
          <w:numId w:val="12"/>
        </w:numPr>
        <w:spacing w:after="120" w:line="276" w:lineRule="auto"/>
        <w:jc w:val="both"/>
        <w:rPr>
          <w:rFonts w:ascii="Arial" w:hAnsi="Arial" w:cs="Arial"/>
          <w:sz w:val="22"/>
          <w:szCs w:val="24"/>
        </w:rPr>
      </w:pPr>
      <w:r w:rsidRPr="001F0479">
        <w:rPr>
          <w:rFonts w:ascii="Arial" w:hAnsi="Arial" w:cs="Arial"/>
          <w:sz w:val="22"/>
          <w:szCs w:val="24"/>
        </w:rPr>
        <w:t>porter sur des travaux innovants réalisés en France et non commencés avant le dépôt de la demande d’aide ;</w:t>
      </w:r>
    </w:p>
    <w:p w14:paraId="22683418" w14:textId="77777777" w:rsidR="000726C7" w:rsidRPr="001F0479" w:rsidRDefault="000726C7" w:rsidP="000726C7">
      <w:pPr>
        <w:pStyle w:val="Paragraphedeliste"/>
        <w:numPr>
          <w:ilvl w:val="0"/>
          <w:numId w:val="12"/>
        </w:numPr>
        <w:spacing w:after="120" w:line="276" w:lineRule="auto"/>
        <w:jc w:val="both"/>
        <w:rPr>
          <w:rFonts w:ascii="Arial" w:hAnsi="Arial" w:cs="Arial"/>
          <w:sz w:val="22"/>
        </w:rPr>
      </w:pPr>
      <w:r w:rsidRPr="001F0479">
        <w:rPr>
          <w:rFonts w:ascii="Arial" w:hAnsi="Arial" w:cs="Arial"/>
          <w:sz w:val="22"/>
        </w:rPr>
        <w:t>ne pas causer un préjudice important du point de vue de l’environnement (cf. paragraphe sur les critères de performance environnementale en fin de document ).</w:t>
      </w:r>
    </w:p>
    <w:p w14:paraId="12A33C56" w14:textId="77777777" w:rsidR="000726C7" w:rsidRPr="001F0479" w:rsidRDefault="000726C7" w:rsidP="000726C7">
      <w:pPr>
        <w:pStyle w:val="Normal11"/>
        <w:spacing w:after="120" w:line="276" w:lineRule="auto"/>
        <w:jc w:val="both"/>
        <w:rPr>
          <w:b/>
          <w:sz w:val="22"/>
        </w:rPr>
      </w:pPr>
      <w:r w:rsidRPr="001F0479">
        <w:rPr>
          <w:b/>
          <w:sz w:val="22"/>
        </w:rPr>
        <w:t>Porteur</w:t>
      </w:r>
    </w:p>
    <w:p w14:paraId="1B4E6AE3" w14:textId="77777777" w:rsidR="000726C7" w:rsidRPr="001F0479" w:rsidRDefault="000726C7" w:rsidP="000726C7">
      <w:pPr>
        <w:pStyle w:val="Paragraphedeliste"/>
        <w:numPr>
          <w:ilvl w:val="0"/>
          <w:numId w:val="12"/>
        </w:numPr>
        <w:spacing w:after="120" w:line="276" w:lineRule="auto"/>
        <w:jc w:val="both"/>
        <w:rPr>
          <w:rFonts w:ascii="Arial" w:hAnsi="Arial" w:cs="Arial"/>
          <w:sz w:val="22"/>
        </w:rPr>
      </w:pPr>
      <w:r w:rsidRPr="001F0479">
        <w:rPr>
          <w:rFonts w:ascii="Arial" w:hAnsi="Arial" w:cs="Arial"/>
          <w:sz w:val="22"/>
          <w:szCs w:val="24"/>
        </w:rPr>
        <w:t>être déposé par un porteur unique ;</w:t>
      </w:r>
    </w:p>
    <w:p w14:paraId="2A67506C" w14:textId="77777777" w:rsidR="000726C7" w:rsidRPr="001F0479" w:rsidRDefault="000726C7" w:rsidP="000726C7">
      <w:pPr>
        <w:pStyle w:val="Paragraphedeliste"/>
        <w:numPr>
          <w:ilvl w:val="0"/>
          <w:numId w:val="12"/>
        </w:numPr>
        <w:spacing w:after="120" w:line="276" w:lineRule="auto"/>
        <w:jc w:val="both"/>
        <w:rPr>
          <w:rFonts w:ascii="Arial" w:hAnsi="Arial" w:cs="Arial"/>
          <w:i/>
        </w:rPr>
      </w:pPr>
      <w:r w:rsidRPr="001F0479">
        <w:rPr>
          <w:rFonts w:ascii="Arial" w:hAnsi="Arial" w:cs="Arial"/>
          <w:sz w:val="22"/>
          <w:szCs w:val="24"/>
        </w:rPr>
        <w:t>être porté par une société immatriculée en France au registre du commerce et des sociétés (RCS) à la date de dépôt du dossier, et considérée comme une PME au sens communautaire à la date de dépôt du dossier et, en cas de sélection, à la date de signature de la convention de financement ;</w:t>
      </w:r>
    </w:p>
    <w:p w14:paraId="5884FD6C" w14:textId="77777777" w:rsidR="000726C7" w:rsidRPr="001F0479" w:rsidRDefault="000726C7" w:rsidP="000726C7">
      <w:pPr>
        <w:pStyle w:val="Paragraphedeliste"/>
        <w:numPr>
          <w:ilvl w:val="0"/>
          <w:numId w:val="12"/>
        </w:numPr>
        <w:spacing w:after="120" w:line="276" w:lineRule="auto"/>
        <w:jc w:val="both"/>
        <w:rPr>
          <w:rFonts w:ascii="Arial" w:hAnsi="Arial" w:cs="Arial"/>
          <w:i/>
        </w:rPr>
      </w:pPr>
      <w:r w:rsidRPr="001F0479">
        <w:rPr>
          <w:rFonts w:ascii="Arial" w:hAnsi="Arial" w:cs="Arial"/>
          <w:sz w:val="22"/>
          <w:szCs w:val="24"/>
        </w:rPr>
        <w:t xml:space="preserve">être porté par une société à jour de ses obligations fiscales et sociales. </w:t>
      </w:r>
      <w:r w:rsidRPr="001F0479">
        <w:rPr>
          <w:rFonts w:ascii="Arial" w:hAnsi="Arial" w:cs="Arial"/>
          <w:sz w:val="22"/>
        </w:rPr>
        <w:t xml:space="preserve">Si l’entreprise est </w:t>
      </w:r>
      <w:r w:rsidRPr="001F0479">
        <w:rPr>
          <w:rFonts w:ascii="Arial" w:hAnsi="Arial" w:cs="Arial"/>
          <w:sz w:val="22"/>
          <w:szCs w:val="24"/>
        </w:rPr>
        <w:t>« </w:t>
      </w:r>
      <w:hyperlink r:id="rId10" w:history="1">
        <w:r w:rsidRPr="001F0479">
          <w:rPr>
            <w:rFonts w:ascii="Arial" w:hAnsi="Arial" w:cs="Arial"/>
          </w:rPr>
          <w:t>entreprise en difficulté</w:t>
        </w:r>
      </w:hyperlink>
      <w:r w:rsidRPr="001F0479">
        <w:rPr>
          <w:rFonts w:ascii="Arial" w:hAnsi="Arial" w:cs="Arial"/>
          <w:sz w:val="22"/>
          <w:szCs w:val="24"/>
        </w:rPr>
        <w:t xml:space="preserve"> » selon le droit européen, son projet déposé n’est pas éligible. Par dérogation, les entreprises</w:t>
      </w:r>
      <w:r w:rsidRPr="001F0479">
        <w:rPr>
          <w:rFonts w:ascii="Arial" w:hAnsi="Arial" w:cs="Arial"/>
          <w:sz w:val="22"/>
        </w:rPr>
        <w:t xml:space="preserve"> qui n’étaient pas en difficulté au 31 décembre 2019, mais qui sont devenues des entreprises en difficulté au cours de la période comprise entre le 1er janvier 2020 et le 30 juin 2021, sont éligibles.</w:t>
      </w:r>
    </w:p>
    <w:p w14:paraId="00FB0F4D" w14:textId="77777777" w:rsidR="000726C7" w:rsidRPr="001F0479" w:rsidRDefault="000726C7" w:rsidP="000726C7">
      <w:pPr>
        <w:pStyle w:val="Paragraphedeliste"/>
        <w:spacing w:after="120" w:line="276" w:lineRule="auto"/>
        <w:jc w:val="both"/>
        <w:rPr>
          <w:rFonts w:ascii="Arial" w:hAnsi="Arial" w:cs="Arial"/>
          <w:sz w:val="22"/>
          <w:szCs w:val="24"/>
        </w:rPr>
      </w:pPr>
    </w:p>
    <w:p w14:paraId="3A86A223" w14:textId="77777777" w:rsidR="000726C7" w:rsidRPr="001F0479" w:rsidRDefault="000726C7" w:rsidP="000726C7">
      <w:pPr>
        <w:pStyle w:val="Normal11"/>
        <w:tabs>
          <w:tab w:val="left" w:pos="1335"/>
        </w:tabs>
        <w:spacing w:line="276" w:lineRule="auto"/>
        <w:jc w:val="both"/>
        <w:rPr>
          <w:sz w:val="22"/>
        </w:rPr>
      </w:pPr>
      <w:r w:rsidRPr="001F0479">
        <w:rPr>
          <w:sz w:val="22"/>
        </w:rPr>
        <w:t>Les projets ne respectant pas l’un des critères d’éligibilité mentionnés ci-dessus sont écartés du processus de sélection, sans recours possible, mais gardent la possibilité de concourir à une édition ultérieure.</w:t>
      </w:r>
    </w:p>
    <w:p w14:paraId="5A06F626" w14:textId="77777777" w:rsidR="000726C7" w:rsidRPr="001F0479" w:rsidRDefault="000726C7" w:rsidP="000726C7">
      <w:pPr>
        <w:pStyle w:val="Titre1"/>
        <w:numPr>
          <w:ilvl w:val="0"/>
          <w:numId w:val="9"/>
        </w:numPr>
        <w:tabs>
          <w:tab w:val="num" w:pos="360"/>
        </w:tabs>
        <w:spacing w:line="276" w:lineRule="auto"/>
        <w:ind w:left="0" w:firstLine="0"/>
        <w:rPr>
          <w:rFonts w:cs="Arial"/>
          <w:color w:val="auto"/>
          <w:sz w:val="24"/>
          <w:szCs w:val="24"/>
        </w:rPr>
      </w:pPr>
      <w:bookmarkStart w:id="27" w:name="_Toc95323576"/>
      <w:bookmarkStart w:id="28" w:name="_Toc499646228"/>
      <w:bookmarkStart w:id="29" w:name="_Toc498017361"/>
      <w:bookmarkStart w:id="30" w:name="_Toc500319821"/>
      <w:bookmarkStart w:id="31" w:name="_Toc61343086"/>
      <w:bookmarkStart w:id="32" w:name="_Toc59527585"/>
      <w:bookmarkStart w:id="33" w:name="_Toc283277"/>
      <w:bookmarkStart w:id="34" w:name="_Toc283261"/>
      <w:r w:rsidRPr="001F0479">
        <w:rPr>
          <w:rFonts w:cs="Arial"/>
          <w:color w:val="auto"/>
          <w:sz w:val="24"/>
          <w:szCs w:val="24"/>
        </w:rPr>
        <w:t>CRITERES DE SELECTION</w:t>
      </w:r>
      <w:bookmarkEnd w:id="27"/>
      <w:r w:rsidRPr="001F0479">
        <w:rPr>
          <w:rFonts w:cs="Arial"/>
          <w:color w:val="auto"/>
          <w:sz w:val="24"/>
          <w:szCs w:val="24"/>
        </w:rPr>
        <w:t xml:space="preserve"> </w:t>
      </w:r>
      <w:bookmarkEnd w:id="28"/>
      <w:bookmarkEnd w:id="29"/>
      <w:bookmarkEnd w:id="30"/>
      <w:bookmarkEnd w:id="31"/>
      <w:bookmarkEnd w:id="32"/>
      <w:bookmarkEnd w:id="33"/>
      <w:bookmarkEnd w:id="34"/>
    </w:p>
    <w:p w14:paraId="581E0883" w14:textId="77777777" w:rsidR="000726C7" w:rsidRPr="001F0479" w:rsidRDefault="000726C7" w:rsidP="000726C7">
      <w:pPr>
        <w:pStyle w:val="Normal11"/>
        <w:spacing w:after="120" w:line="276" w:lineRule="auto"/>
        <w:jc w:val="both"/>
        <w:rPr>
          <w:b/>
          <w:iCs/>
          <w:sz w:val="22"/>
          <w:szCs w:val="22"/>
        </w:rPr>
      </w:pPr>
      <w:r w:rsidRPr="001F0479">
        <w:rPr>
          <w:b/>
          <w:iCs/>
          <w:sz w:val="22"/>
          <w:szCs w:val="22"/>
        </w:rPr>
        <w:t>Critères de sélection</w:t>
      </w:r>
    </w:p>
    <w:p w14:paraId="13397B56" w14:textId="77777777" w:rsidR="000726C7" w:rsidRPr="001F0479" w:rsidRDefault="000726C7" w:rsidP="000726C7">
      <w:pPr>
        <w:pStyle w:val="Normal11"/>
        <w:spacing w:line="276" w:lineRule="auto"/>
        <w:jc w:val="both"/>
        <w:rPr>
          <w:iCs/>
          <w:sz w:val="22"/>
          <w:szCs w:val="22"/>
        </w:rPr>
      </w:pPr>
      <w:r w:rsidRPr="001F0479">
        <w:rPr>
          <w:iCs/>
          <w:sz w:val="22"/>
          <w:szCs w:val="22"/>
        </w:rPr>
        <w:t>Une fois l’éligibilité validée, la sélection des projets s’appuiera sur les critères suivants :</w:t>
      </w:r>
    </w:p>
    <w:p w14:paraId="1F3D3B61" w14:textId="77777777" w:rsidR="000726C7" w:rsidRPr="001F0479" w:rsidRDefault="000726C7" w:rsidP="000726C7">
      <w:pPr>
        <w:pStyle w:val="Normal11"/>
        <w:spacing w:line="276" w:lineRule="auto"/>
        <w:jc w:val="both"/>
        <w:rPr>
          <w:iCs/>
          <w:sz w:val="22"/>
          <w:szCs w:val="22"/>
        </w:rPr>
      </w:pPr>
    </w:p>
    <w:p w14:paraId="0B1BC75E" w14:textId="77777777" w:rsidR="000726C7" w:rsidRPr="001F0479" w:rsidRDefault="000726C7" w:rsidP="000726C7">
      <w:pPr>
        <w:pStyle w:val="Normal11"/>
        <w:numPr>
          <w:ilvl w:val="0"/>
          <w:numId w:val="2"/>
        </w:numPr>
        <w:spacing w:after="120" w:line="276" w:lineRule="auto"/>
        <w:jc w:val="both"/>
        <w:rPr>
          <w:sz w:val="22"/>
          <w:szCs w:val="22"/>
        </w:rPr>
      </w:pPr>
      <w:r w:rsidRPr="001F0479">
        <w:rPr>
          <w:sz w:val="22"/>
          <w:szCs w:val="22"/>
        </w:rPr>
        <w:t>Caractère innovant et valeur ajoutée du projet :</w:t>
      </w:r>
    </w:p>
    <w:p w14:paraId="43BC0D6E" w14:textId="77777777" w:rsidR="000726C7" w:rsidRPr="001F0479" w:rsidRDefault="000726C7" w:rsidP="000726C7">
      <w:pPr>
        <w:pStyle w:val="Paragraphedeliste"/>
        <w:numPr>
          <w:ilvl w:val="0"/>
          <w:numId w:val="3"/>
        </w:numPr>
        <w:spacing w:before="120" w:after="60" w:line="276" w:lineRule="auto"/>
        <w:ind w:left="1066" w:hanging="357"/>
        <w:jc w:val="both"/>
        <w:rPr>
          <w:rFonts w:ascii="Arial" w:hAnsi="Arial" w:cs="Arial"/>
          <w:iCs/>
          <w:sz w:val="22"/>
        </w:rPr>
      </w:pPr>
      <w:r w:rsidRPr="001F0479">
        <w:rPr>
          <w:rFonts w:ascii="Arial" w:hAnsi="Arial" w:cs="Arial"/>
          <w:iCs/>
          <w:sz w:val="22"/>
        </w:rPr>
        <w:t>pertinence par rapport à l’objet de l’AAP ;</w:t>
      </w:r>
    </w:p>
    <w:p w14:paraId="205C1C37" w14:textId="77777777" w:rsidR="000726C7" w:rsidRPr="001F0479" w:rsidRDefault="000726C7" w:rsidP="000726C7">
      <w:pPr>
        <w:pStyle w:val="Paragraphedeliste"/>
        <w:numPr>
          <w:ilvl w:val="0"/>
          <w:numId w:val="3"/>
        </w:numPr>
        <w:spacing w:after="60" w:line="276" w:lineRule="auto"/>
        <w:ind w:left="1066" w:hanging="357"/>
        <w:jc w:val="both"/>
        <w:rPr>
          <w:rFonts w:ascii="Arial" w:hAnsi="Arial" w:cs="Arial"/>
          <w:iCs/>
          <w:sz w:val="22"/>
        </w:rPr>
      </w:pPr>
      <w:r w:rsidRPr="001F0479">
        <w:rPr>
          <w:rFonts w:ascii="Arial" w:hAnsi="Arial" w:cs="Arial"/>
          <w:iCs/>
          <w:sz w:val="22"/>
        </w:rPr>
        <w:t>degré de rupture en termes d’innovation technologique ou non technologique (offre, organisation, modèle d’affaires) et caractère innovant par rapport à l’état de l’art international ;</w:t>
      </w:r>
    </w:p>
    <w:p w14:paraId="08B32900" w14:textId="77777777" w:rsidR="000726C7" w:rsidRPr="001F0479" w:rsidRDefault="000726C7" w:rsidP="000726C7">
      <w:pPr>
        <w:pStyle w:val="Paragraphedeliste"/>
        <w:numPr>
          <w:ilvl w:val="0"/>
          <w:numId w:val="3"/>
        </w:numPr>
        <w:spacing w:after="60" w:line="276" w:lineRule="auto"/>
        <w:ind w:left="1066" w:hanging="357"/>
        <w:jc w:val="both"/>
        <w:rPr>
          <w:rFonts w:ascii="Arial" w:hAnsi="Arial" w:cs="Arial"/>
          <w:iCs/>
          <w:sz w:val="22"/>
        </w:rPr>
      </w:pPr>
      <w:r w:rsidRPr="001F0479">
        <w:rPr>
          <w:rFonts w:ascii="Arial" w:hAnsi="Arial" w:cs="Arial"/>
          <w:iCs/>
          <w:sz w:val="22"/>
        </w:rPr>
        <w:t>maturité technologique suffisante du projet ;</w:t>
      </w:r>
    </w:p>
    <w:p w14:paraId="5C388F42" w14:textId="77777777" w:rsidR="000726C7" w:rsidRPr="001F0479" w:rsidRDefault="000726C7" w:rsidP="000726C7">
      <w:pPr>
        <w:pStyle w:val="Paragraphedeliste"/>
        <w:numPr>
          <w:ilvl w:val="0"/>
          <w:numId w:val="3"/>
        </w:numPr>
        <w:spacing w:after="60" w:line="276" w:lineRule="auto"/>
        <w:ind w:left="1066" w:hanging="357"/>
        <w:jc w:val="both"/>
        <w:rPr>
          <w:rFonts w:ascii="Arial" w:hAnsi="Arial" w:cs="Arial"/>
          <w:iCs/>
          <w:sz w:val="22"/>
        </w:rPr>
      </w:pPr>
      <w:r w:rsidRPr="001F0479">
        <w:rPr>
          <w:rFonts w:ascii="Arial" w:hAnsi="Arial" w:cs="Arial"/>
          <w:iCs/>
          <w:sz w:val="22"/>
        </w:rPr>
        <w:t>développement de nouveaux produits ou services, à fort contenu innovant et valeur ajoutée, conduisant à une mise sur le marché et à la génération de retombées économiques ;</w:t>
      </w:r>
    </w:p>
    <w:p w14:paraId="00DCC1E7" w14:textId="77777777" w:rsidR="000726C7" w:rsidRPr="001F0479" w:rsidRDefault="000726C7" w:rsidP="000726C7">
      <w:pPr>
        <w:pStyle w:val="Paragraphedeliste"/>
        <w:numPr>
          <w:ilvl w:val="0"/>
          <w:numId w:val="3"/>
        </w:numPr>
        <w:spacing w:after="120" w:line="276" w:lineRule="auto"/>
        <w:jc w:val="both"/>
        <w:rPr>
          <w:rFonts w:ascii="Arial" w:hAnsi="Arial" w:cs="Arial"/>
          <w:sz w:val="22"/>
        </w:rPr>
      </w:pPr>
      <w:r w:rsidRPr="001F0479">
        <w:rPr>
          <w:rFonts w:ascii="Arial" w:hAnsi="Arial" w:cs="Arial"/>
          <w:iCs/>
          <w:sz w:val="22"/>
        </w:rPr>
        <w:t>pertinence de la durée du projet en cohérence avec l’ambition des travaux à mener. Dans le cas général, la durée du projet est inférieure à 24 mois.</w:t>
      </w:r>
    </w:p>
    <w:p w14:paraId="3007761D" w14:textId="77777777" w:rsidR="000726C7" w:rsidRPr="001F0479" w:rsidRDefault="000726C7" w:rsidP="000726C7">
      <w:pPr>
        <w:pStyle w:val="Paragraphedeliste"/>
        <w:numPr>
          <w:ilvl w:val="0"/>
          <w:numId w:val="4"/>
        </w:numPr>
        <w:spacing w:after="120" w:line="276" w:lineRule="auto"/>
        <w:ind w:left="720" w:hanging="363"/>
        <w:jc w:val="both"/>
        <w:rPr>
          <w:rFonts w:ascii="Arial" w:hAnsi="Arial" w:cs="Arial"/>
          <w:sz w:val="22"/>
        </w:rPr>
      </w:pPr>
      <w:r w:rsidRPr="001F0479">
        <w:rPr>
          <w:rFonts w:ascii="Arial" w:hAnsi="Arial" w:cs="Arial"/>
          <w:sz w:val="22"/>
        </w:rPr>
        <w:t>Impact économique du projet :</w:t>
      </w:r>
    </w:p>
    <w:p w14:paraId="294AFD0C" w14:textId="77777777" w:rsidR="000726C7" w:rsidRPr="001F0479" w:rsidRDefault="000726C7" w:rsidP="000726C7">
      <w:pPr>
        <w:pStyle w:val="Paragraphedeliste"/>
        <w:numPr>
          <w:ilvl w:val="0"/>
          <w:numId w:val="3"/>
        </w:numPr>
        <w:spacing w:before="120" w:after="60" w:line="276" w:lineRule="auto"/>
        <w:ind w:left="1066" w:hanging="357"/>
        <w:jc w:val="both"/>
        <w:rPr>
          <w:rFonts w:ascii="Arial" w:hAnsi="Arial" w:cs="Arial"/>
          <w:sz w:val="22"/>
        </w:rPr>
      </w:pPr>
      <w:r w:rsidRPr="001F0479">
        <w:rPr>
          <w:rFonts w:ascii="Arial" w:hAnsi="Arial" w:cs="Arial"/>
          <w:iCs/>
          <w:sz w:val="22"/>
        </w:rPr>
        <w:t>qualité et robustesse du modèle économique (et notamment modèle de valorisation et d’exploitation et analyse du coût complet de la solution développée dans le projet), et du plan d’affaires proposé, démontrant notamment un retour sur investissements pour le porteur ;</w:t>
      </w:r>
    </w:p>
    <w:p w14:paraId="3CDA716A" w14:textId="77777777" w:rsidR="000726C7" w:rsidRPr="001F0479" w:rsidRDefault="000726C7" w:rsidP="000726C7">
      <w:pPr>
        <w:pStyle w:val="Paragraphedeliste"/>
        <w:numPr>
          <w:ilvl w:val="0"/>
          <w:numId w:val="3"/>
        </w:numPr>
        <w:spacing w:after="60" w:line="276" w:lineRule="auto"/>
        <w:ind w:left="1066" w:hanging="357"/>
        <w:jc w:val="both"/>
        <w:rPr>
          <w:rFonts w:ascii="Arial" w:hAnsi="Arial" w:cs="Arial"/>
          <w:sz w:val="22"/>
        </w:rPr>
      </w:pPr>
      <w:r w:rsidRPr="001F0479">
        <w:rPr>
          <w:rFonts w:ascii="Arial" w:hAnsi="Arial" w:cs="Arial"/>
          <w:iCs/>
          <w:sz w:val="22"/>
        </w:rPr>
        <w:t>marché potentiel de la solution développée (une analyse du marché visé sera particulièrement appréciée) ;</w:t>
      </w:r>
    </w:p>
    <w:p w14:paraId="233DCC9C" w14:textId="77777777" w:rsidR="000726C7" w:rsidRPr="001F0479" w:rsidRDefault="000726C7" w:rsidP="000726C7">
      <w:pPr>
        <w:pStyle w:val="Paragraphedeliste"/>
        <w:numPr>
          <w:ilvl w:val="0"/>
          <w:numId w:val="3"/>
        </w:numPr>
        <w:spacing w:after="60" w:line="276" w:lineRule="auto"/>
        <w:ind w:left="1066" w:hanging="357"/>
        <w:jc w:val="both"/>
        <w:rPr>
          <w:rFonts w:ascii="Arial" w:hAnsi="Arial" w:cs="Arial"/>
          <w:sz w:val="22"/>
        </w:rPr>
      </w:pPr>
      <w:r w:rsidRPr="001F0479">
        <w:rPr>
          <w:rFonts w:ascii="Arial" w:hAnsi="Arial" w:cs="Arial"/>
          <w:iCs/>
          <w:sz w:val="22"/>
        </w:rPr>
        <w:t>retombées économiques et emplois sur les territoires (y compris des tâches sous-traitées), issues directement du projet, des suites qu’il donnera ou, en tant que de besoin, de sa cohérence avec les politiques territoriales (en particulier chiffres d’affaires généré cumulé à horizon 5 ans post-projet, emplois créés ou maintenus à horizon 5 ans post-projet) ;</w:t>
      </w:r>
    </w:p>
    <w:p w14:paraId="14DF376B" w14:textId="77777777" w:rsidR="000726C7" w:rsidRPr="001F0479" w:rsidRDefault="000726C7" w:rsidP="000726C7">
      <w:pPr>
        <w:pStyle w:val="Paragraphedeliste"/>
        <w:numPr>
          <w:ilvl w:val="0"/>
          <w:numId w:val="3"/>
        </w:numPr>
        <w:spacing w:after="60" w:line="276" w:lineRule="auto"/>
        <w:ind w:left="1066" w:hanging="357"/>
        <w:jc w:val="both"/>
        <w:rPr>
          <w:rFonts w:ascii="Arial" w:hAnsi="Arial" w:cs="Arial"/>
          <w:sz w:val="22"/>
        </w:rPr>
      </w:pPr>
      <w:r w:rsidRPr="001F0479">
        <w:rPr>
          <w:rFonts w:ascii="Arial" w:hAnsi="Arial" w:cs="Arial"/>
          <w:iCs/>
          <w:sz w:val="22"/>
        </w:rPr>
        <w:t>externalités socio-économiques favorables du projet ;</w:t>
      </w:r>
    </w:p>
    <w:p w14:paraId="525DC6EE" w14:textId="77777777" w:rsidR="000726C7" w:rsidRPr="001F0479" w:rsidRDefault="000726C7" w:rsidP="000726C7">
      <w:pPr>
        <w:pStyle w:val="Paragraphedeliste"/>
        <w:numPr>
          <w:ilvl w:val="0"/>
          <w:numId w:val="3"/>
        </w:numPr>
        <w:spacing w:after="120" w:line="276" w:lineRule="auto"/>
        <w:jc w:val="both"/>
        <w:rPr>
          <w:rFonts w:ascii="Arial" w:hAnsi="Arial" w:cs="Arial"/>
          <w:sz w:val="22"/>
        </w:rPr>
      </w:pPr>
      <w:r w:rsidRPr="001F0479">
        <w:rPr>
          <w:rFonts w:ascii="Arial" w:hAnsi="Arial" w:cs="Arial"/>
          <w:iCs/>
          <w:sz w:val="22"/>
        </w:rPr>
        <w:t>caractère généralisable de la solution innovante développée dans le cadre du projet soumis et présence d’un marché rendant possible sa diffusion.</w:t>
      </w:r>
    </w:p>
    <w:p w14:paraId="72A5881A" w14:textId="77777777" w:rsidR="000726C7" w:rsidRPr="001F0479" w:rsidRDefault="000726C7" w:rsidP="000726C7">
      <w:pPr>
        <w:pStyle w:val="Paragraphedeliste"/>
        <w:keepNext/>
        <w:numPr>
          <w:ilvl w:val="0"/>
          <w:numId w:val="5"/>
        </w:numPr>
        <w:spacing w:line="276" w:lineRule="auto"/>
        <w:jc w:val="both"/>
        <w:rPr>
          <w:rFonts w:ascii="Arial" w:hAnsi="Arial" w:cs="Arial"/>
          <w:sz w:val="22"/>
        </w:rPr>
      </w:pPr>
      <w:r w:rsidRPr="001F0479">
        <w:rPr>
          <w:rFonts w:ascii="Arial" w:hAnsi="Arial" w:cs="Arial"/>
          <w:sz w:val="22"/>
        </w:rPr>
        <w:t>Capacité du porteur à porter le projet :</w:t>
      </w:r>
    </w:p>
    <w:p w14:paraId="53634003" w14:textId="77777777" w:rsidR="000726C7" w:rsidRPr="001F0479" w:rsidRDefault="000726C7" w:rsidP="000726C7">
      <w:pPr>
        <w:pStyle w:val="Paragraphedeliste"/>
        <w:numPr>
          <w:ilvl w:val="0"/>
          <w:numId w:val="3"/>
        </w:numPr>
        <w:spacing w:before="120" w:after="60" w:line="276" w:lineRule="auto"/>
        <w:ind w:left="1066" w:hanging="357"/>
        <w:jc w:val="both"/>
        <w:rPr>
          <w:rFonts w:ascii="Arial" w:hAnsi="Arial" w:cs="Arial"/>
          <w:sz w:val="22"/>
        </w:rPr>
      </w:pPr>
      <w:r w:rsidRPr="001F0479">
        <w:rPr>
          <w:rFonts w:ascii="Arial" w:hAnsi="Arial" w:cs="Arial"/>
          <w:iCs/>
          <w:sz w:val="22"/>
        </w:rPr>
        <w:t>capacité du porteur à mener à bien le projet, notamment opérationnelle et financière. Les bénéficiaires doivent en particulier présenter des capitaux propres</w:t>
      </w:r>
      <w:r w:rsidRPr="001F0479">
        <w:rPr>
          <w:rStyle w:val="Ancredenotedebasdepage"/>
          <w:rFonts w:ascii="Arial" w:hAnsi="Arial" w:cs="Arial"/>
          <w:iCs/>
          <w:sz w:val="22"/>
        </w:rPr>
        <w:footnoteReference w:id="1"/>
      </w:r>
      <w:r w:rsidRPr="001F0479">
        <w:rPr>
          <w:rFonts w:ascii="Arial" w:hAnsi="Arial" w:cs="Arial"/>
          <w:iCs/>
          <w:sz w:val="22"/>
        </w:rPr>
        <w:t xml:space="preserve"> et un plan de financement en cohérence avec l’importance des travaux qu’ils se proposent de mener dans le cadre du projet présenté ; </w:t>
      </w:r>
    </w:p>
    <w:p w14:paraId="219B8297" w14:textId="77777777" w:rsidR="000726C7" w:rsidRPr="001F0479" w:rsidRDefault="000726C7" w:rsidP="000726C7">
      <w:pPr>
        <w:pStyle w:val="Paragraphedeliste"/>
        <w:numPr>
          <w:ilvl w:val="0"/>
          <w:numId w:val="3"/>
        </w:numPr>
        <w:spacing w:before="120" w:after="60" w:line="276" w:lineRule="auto"/>
        <w:ind w:left="1066" w:hanging="357"/>
        <w:jc w:val="both"/>
        <w:rPr>
          <w:rFonts w:ascii="Arial" w:hAnsi="Arial" w:cs="Arial"/>
          <w:sz w:val="22"/>
        </w:rPr>
      </w:pPr>
      <w:r w:rsidRPr="001F0479">
        <w:rPr>
          <w:rFonts w:ascii="Arial" w:hAnsi="Arial" w:cs="Arial"/>
          <w:iCs/>
          <w:sz w:val="22"/>
        </w:rPr>
        <w:t>capacité du porteur à assurer l’industrialisation du projet et à accéder aux marchés visés ;</w:t>
      </w:r>
    </w:p>
    <w:p w14:paraId="65EDA9FA" w14:textId="77777777" w:rsidR="000726C7" w:rsidRPr="001F0479" w:rsidRDefault="000726C7" w:rsidP="000726C7">
      <w:pPr>
        <w:pStyle w:val="Paragraphedeliste"/>
        <w:numPr>
          <w:ilvl w:val="0"/>
          <w:numId w:val="3"/>
        </w:numPr>
        <w:spacing w:after="120" w:line="276" w:lineRule="auto"/>
        <w:jc w:val="both"/>
        <w:rPr>
          <w:rFonts w:ascii="Arial" w:hAnsi="Arial" w:cs="Arial"/>
          <w:sz w:val="22"/>
        </w:rPr>
      </w:pPr>
      <w:r w:rsidRPr="001F0479">
        <w:rPr>
          <w:rFonts w:ascii="Arial" w:hAnsi="Arial" w:cs="Arial"/>
          <w:iCs/>
          <w:sz w:val="22"/>
        </w:rPr>
        <w:t>adéquation des compétences de l’équipe dédiée au projet, notamment en matière de développement rapide de projet innovant ;</w:t>
      </w:r>
    </w:p>
    <w:p w14:paraId="699ED4D4" w14:textId="77777777" w:rsidR="000726C7" w:rsidRPr="001F0479" w:rsidRDefault="000726C7" w:rsidP="000726C7">
      <w:pPr>
        <w:pStyle w:val="Paragraphedeliste"/>
        <w:numPr>
          <w:ilvl w:val="0"/>
          <w:numId w:val="3"/>
        </w:numPr>
        <w:tabs>
          <w:tab w:val="left" w:pos="3138"/>
        </w:tabs>
        <w:spacing w:after="120" w:line="276" w:lineRule="auto"/>
        <w:jc w:val="both"/>
        <w:rPr>
          <w:rFonts w:ascii="Arial" w:eastAsia="Times New Roman" w:hAnsi="Arial" w:cs="Arial"/>
          <w:iCs/>
          <w:sz w:val="22"/>
          <w:lang w:eastAsia="ar-SA"/>
        </w:rPr>
      </w:pPr>
      <w:r w:rsidRPr="001F0479">
        <w:rPr>
          <w:rFonts w:ascii="Arial" w:eastAsia="Times New Roman" w:hAnsi="Arial" w:cs="Arial"/>
          <w:iCs/>
          <w:sz w:val="22"/>
          <w:lang w:eastAsia="ar-SA"/>
        </w:rPr>
        <w:t>Critères de performance environnementale et impact sociétal.</w:t>
      </w:r>
    </w:p>
    <w:p w14:paraId="0D57B045" w14:textId="77777777" w:rsidR="000726C7" w:rsidRPr="001F0479" w:rsidRDefault="000726C7" w:rsidP="000726C7">
      <w:pPr>
        <w:autoSpaceDE w:val="0"/>
        <w:autoSpaceDN w:val="0"/>
        <w:adjustRightInd w:val="0"/>
        <w:spacing w:after="0" w:line="240" w:lineRule="auto"/>
        <w:ind w:left="708"/>
        <w:jc w:val="both"/>
        <w:rPr>
          <w:rFonts w:ascii="Arial" w:hAnsi="Arial" w:cs="Arial"/>
          <w:color w:val="000000"/>
        </w:rPr>
      </w:pPr>
      <w:r w:rsidRPr="001F0479">
        <w:rPr>
          <w:rFonts w:ascii="Arial" w:hAnsi="Arial" w:cs="Arial"/>
          <w:color w:val="000000"/>
        </w:rPr>
        <w:t xml:space="preserve">L’AAP sélectionne des projets démontrant une réelle prise en compte de la transition énergétique et écologique. Les effets positifs attendus et démontrés du projet, du point de vue écologique et énergétique, de même que les risques d’impacts négatifs, sont utilisés pour sélectionner les meilleurs projets parmi ceux présentés, ou pour moduler le niveau d'intervention publique accordé au projet. </w:t>
      </w:r>
    </w:p>
    <w:p w14:paraId="78120614" w14:textId="77777777" w:rsidR="000726C7" w:rsidRPr="001F0479" w:rsidRDefault="000726C7" w:rsidP="000726C7">
      <w:pPr>
        <w:autoSpaceDE w:val="0"/>
        <w:autoSpaceDN w:val="0"/>
        <w:adjustRightInd w:val="0"/>
        <w:spacing w:after="0" w:line="240" w:lineRule="auto"/>
        <w:ind w:left="708"/>
        <w:jc w:val="both"/>
        <w:rPr>
          <w:rFonts w:ascii="Arial" w:hAnsi="Arial" w:cs="Arial"/>
          <w:color w:val="000000"/>
        </w:rPr>
      </w:pPr>
      <w:r w:rsidRPr="001F0479">
        <w:rPr>
          <w:rFonts w:ascii="Arial" w:hAnsi="Arial" w:cs="Arial"/>
          <w:color w:val="000000"/>
        </w:rPr>
        <w:t xml:space="preserve">Chaque projet doit expliciter sa contribution au développement durable, en présentant les effets, quantifiés autant que faire se peut, directs ou indirects, positifs ou négatifs, estimés pour les axes ci-dessous (cf. Annexe 1) : </w:t>
      </w:r>
    </w:p>
    <w:p w14:paraId="66802440" w14:textId="77777777" w:rsidR="000726C7" w:rsidRPr="001F0479" w:rsidRDefault="000726C7" w:rsidP="000726C7">
      <w:pPr>
        <w:autoSpaceDE w:val="0"/>
        <w:autoSpaceDN w:val="0"/>
        <w:adjustRightInd w:val="0"/>
        <w:spacing w:after="0" w:line="240" w:lineRule="auto"/>
        <w:ind w:left="708"/>
        <w:rPr>
          <w:rFonts w:ascii="Arial" w:hAnsi="Arial" w:cs="Arial"/>
          <w:color w:val="000000"/>
          <w:sz w:val="23"/>
          <w:szCs w:val="23"/>
        </w:rPr>
      </w:pPr>
    </w:p>
    <w:p w14:paraId="5CFB962C" w14:textId="77777777" w:rsidR="000726C7" w:rsidRPr="001F0479" w:rsidRDefault="000726C7" w:rsidP="000726C7">
      <w:pPr>
        <w:autoSpaceDE w:val="0"/>
        <w:autoSpaceDN w:val="0"/>
        <w:adjustRightInd w:val="0"/>
        <w:spacing w:after="82" w:line="240" w:lineRule="auto"/>
        <w:ind w:firstLine="708"/>
        <w:rPr>
          <w:rFonts w:ascii="Arial" w:hAnsi="Arial" w:cs="Arial"/>
          <w:color w:val="000000"/>
        </w:rPr>
      </w:pPr>
      <w:r w:rsidRPr="001F0479">
        <w:rPr>
          <w:rFonts w:ascii="Arial" w:hAnsi="Arial" w:cs="Arial"/>
          <w:color w:val="000000"/>
        </w:rPr>
        <w:t>• atténuation au changement climatique ;</w:t>
      </w:r>
    </w:p>
    <w:p w14:paraId="3ABCF78B" w14:textId="77777777" w:rsidR="000726C7" w:rsidRPr="001F0479" w:rsidRDefault="000726C7" w:rsidP="000726C7">
      <w:pPr>
        <w:autoSpaceDE w:val="0"/>
        <w:autoSpaceDN w:val="0"/>
        <w:adjustRightInd w:val="0"/>
        <w:spacing w:after="82" w:line="240" w:lineRule="auto"/>
        <w:ind w:firstLine="708"/>
        <w:rPr>
          <w:rFonts w:ascii="Arial" w:hAnsi="Arial" w:cs="Arial"/>
          <w:color w:val="000000"/>
        </w:rPr>
      </w:pPr>
      <w:r w:rsidRPr="001F0479">
        <w:rPr>
          <w:rFonts w:ascii="Arial" w:hAnsi="Arial" w:cs="Arial"/>
          <w:color w:val="000000"/>
        </w:rPr>
        <w:t>• adaptation au changement climatique ;</w:t>
      </w:r>
    </w:p>
    <w:p w14:paraId="7E715600" w14:textId="77777777" w:rsidR="000726C7" w:rsidRPr="001F0479" w:rsidRDefault="000726C7" w:rsidP="000726C7">
      <w:pPr>
        <w:autoSpaceDE w:val="0"/>
        <w:autoSpaceDN w:val="0"/>
        <w:adjustRightInd w:val="0"/>
        <w:spacing w:after="82" w:line="240" w:lineRule="auto"/>
        <w:ind w:firstLine="708"/>
        <w:rPr>
          <w:rFonts w:ascii="Arial" w:hAnsi="Arial" w:cs="Arial"/>
          <w:color w:val="000000"/>
        </w:rPr>
      </w:pPr>
      <w:r w:rsidRPr="001F0479">
        <w:rPr>
          <w:rFonts w:ascii="Arial" w:hAnsi="Arial" w:cs="Arial"/>
          <w:color w:val="000000"/>
        </w:rPr>
        <w:t>• utilisation durable et protection des ressources aquatiques et marines ;</w:t>
      </w:r>
    </w:p>
    <w:p w14:paraId="5CFD3B47" w14:textId="77777777" w:rsidR="000726C7" w:rsidRPr="001F0479" w:rsidRDefault="000726C7" w:rsidP="000726C7">
      <w:pPr>
        <w:autoSpaceDE w:val="0"/>
        <w:autoSpaceDN w:val="0"/>
        <w:adjustRightInd w:val="0"/>
        <w:spacing w:after="82" w:line="240" w:lineRule="auto"/>
        <w:ind w:firstLine="708"/>
        <w:rPr>
          <w:rFonts w:ascii="Arial" w:hAnsi="Arial" w:cs="Arial"/>
          <w:color w:val="000000"/>
        </w:rPr>
      </w:pPr>
      <w:r w:rsidRPr="001F0479">
        <w:rPr>
          <w:rFonts w:ascii="Arial" w:hAnsi="Arial" w:cs="Arial"/>
          <w:color w:val="000000"/>
        </w:rPr>
        <w:t>• transition vers une économie circulaire ;</w:t>
      </w:r>
    </w:p>
    <w:p w14:paraId="79D8079A" w14:textId="77777777" w:rsidR="000726C7" w:rsidRPr="001F0479" w:rsidRDefault="000726C7" w:rsidP="000726C7">
      <w:pPr>
        <w:autoSpaceDE w:val="0"/>
        <w:autoSpaceDN w:val="0"/>
        <w:adjustRightInd w:val="0"/>
        <w:spacing w:after="82" w:line="240" w:lineRule="auto"/>
        <w:ind w:firstLine="708"/>
        <w:rPr>
          <w:rFonts w:ascii="Arial" w:hAnsi="Arial" w:cs="Arial"/>
          <w:color w:val="000000"/>
        </w:rPr>
      </w:pPr>
      <w:r w:rsidRPr="001F0479">
        <w:rPr>
          <w:rFonts w:ascii="Arial" w:hAnsi="Arial" w:cs="Arial"/>
          <w:color w:val="000000"/>
        </w:rPr>
        <w:t>• prévention et réduction de la pollution ;</w:t>
      </w:r>
    </w:p>
    <w:p w14:paraId="6FA8A5F7" w14:textId="77777777" w:rsidR="000726C7" w:rsidRPr="001F0479" w:rsidRDefault="000726C7" w:rsidP="000726C7">
      <w:pPr>
        <w:autoSpaceDE w:val="0"/>
        <w:autoSpaceDN w:val="0"/>
        <w:adjustRightInd w:val="0"/>
        <w:spacing w:after="82" w:line="240" w:lineRule="auto"/>
        <w:ind w:firstLine="708"/>
        <w:rPr>
          <w:rFonts w:ascii="Arial" w:hAnsi="Arial" w:cs="Arial"/>
          <w:color w:val="000000"/>
        </w:rPr>
      </w:pPr>
      <w:r w:rsidRPr="001F0479">
        <w:rPr>
          <w:rFonts w:ascii="Arial" w:hAnsi="Arial" w:cs="Arial"/>
          <w:color w:val="000000"/>
        </w:rPr>
        <w:t>• protection et restauration de la biodiversité et des écosystèmes ;</w:t>
      </w:r>
    </w:p>
    <w:p w14:paraId="33F3DADC" w14:textId="77777777" w:rsidR="000726C7" w:rsidRPr="001F0479" w:rsidRDefault="000726C7" w:rsidP="000726C7">
      <w:pPr>
        <w:autoSpaceDE w:val="0"/>
        <w:autoSpaceDN w:val="0"/>
        <w:adjustRightInd w:val="0"/>
        <w:spacing w:after="0" w:line="240" w:lineRule="auto"/>
        <w:ind w:firstLine="708"/>
        <w:rPr>
          <w:rFonts w:ascii="Arial" w:hAnsi="Arial" w:cs="Arial"/>
          <w:color w:val="000000"/>
        </w:rPr>
      </w:pPr>
      <w:r w:rsidRPr="001F0479">
        <w:rPr>
          <w:rFonts w:ascii="Arial" w:hAnsi="Arial" w:cs="Arial"/>
          <w:color w:val="000000"/>
        </w:rPr>
        <w:t>• impact sociétal.</w:t>
      </w:r>
    </w:p>
    <w:p w14:paraId="2D1FF394" w14:textId="77777777" w:rsidR="000726C7" w:rsidRPr="001F0479" w:rsidRDefault="000726C7" w:rsidP="000726C7">
      <w:pPr>
        <w:pStyle w:val="Normal11"/>
        <w:spacing w:after="120" w:line="276" w:lineRule="auto"/>
        <w:jc w:val="both"/>
        <w:rPr>
          <w:b/>
          <w:sz w:val="22"/>
          <w:szCs w:val="22"/>
        </w:rPr>
      </w:pPr>
    </w:p>
    <w:p w14:paraId="3DD03D72" w14:textId="77777777" w:rsidR="000726C7" w:rsidRPr="001F0479" w:rsidRDefault="000726C7" w:rsidP="000726C7">
      <w:pPr>
        <w:pStyle w:val="Normal11"/>
        <w:spacing w:after="120" w:line="276" w:lineRule="auto"/>
        <w:jc w:val="both"/>
        <w:rPr>
          <w:b/>
          <w:sz w:val="22"/>
          <w:szCs w:val="22"/>
        </w:rPr>
      </w:pPr>
    </w:p>
    <w:p w14:paraId="78D21F98" w14:textId="77777777" w:rsidR="000726C7" w:rsidRPr="001F0479" w:rsidRDefault="000726C7" w:rsidP="000726C7">
      <w:pPr>
        <w:pStyle w:val="Normal11"/>
        <w:spacing w:after="120" w:line="276" w:lineRule="auto"/>
        <w:jc w:val="both"/>
        <w:rPr>
          <w:sz w:val="22"/>
          <w:szCs w:val="22"/>
        </w:rPr>
      </w:pPr>
      <w:r w:rsidRPr="001F0479">
        <w:rPr>
          <w:b/>
          <w:sz w:val="22"/>
          <w:szCs w:val="22"/>
        </w:rPr>
        <w:t>Processus de sélection</w:t>
      </w:r>
    </w:p>
    <w:p w14:paraId="3012FA9D" w14:textId="77777777" w:rsidR="000726C7" w:rsidRPr="001F0479" w:rsidRDefault="000726C7" w:rsidP="000726C7">
      <w:pPr>
        <w:pStyle w:val="Normal11"/>
        <w:spacing w:line="276" w:lineRule="auto"/>
        <w:jc w:val="both"/>
        <w:rPr>
          <w:sz w:val="22"/>
          <w:szCs w:val="22"/>
        </w:rPr>
      </w:pPr>
      <w:r w:rsidRPr="001F0479">
        <w:rPr>
          <w:sz w:val="22"/>
          <w:szCs w:val="22"/>
        </w:rPr>
        <w:t xml:space="preserve">A l’issue de la date de relève de l’AAP, l’ADEME conduit une première analyse d’éligibilité. </w:t>
      </w:r>
    </w:p>
    <w:p w14:paraId="63251E31" w14:textId="77777777" w:rsidR="000726C7" w:rsidRPr="001F0479" w:rsidRDefault="000726C7" w:rsidP="000726C7">
      <w:pPr>
        <w:spacing w:after="9" w:line="264" w:lineRule="auto"/>
        <w:ind w:right="60"/>
        <w:jc w:val="both"/>
        <w:rPr>
          <w:rFonts w:ascii="Arial" w:eastAsia="SimSun" w:hAnsi="Arial" w:cs="Arial"/>
          <w:color w:val="000000"/>
          <w:lang w:eastAsia="ar-SA" w:bidi="hi-IN"/>
        </w:rPr>
      </w:pPr>
      <w:r w:rsidRPr="001F0479">
        <w:rPr>
          <w:rFonts w:ascii="Arial" w:eastAsia="SimSun" w:hAnsi="Arial" w:cs="Arial"/>
          <w:color w:val="000000"/>
          <w:lang w:eastAsia="ar-SA" w:bidi="hi-IN"/>
        </w:rPr>
        <w:t xml:space="preserve">La procédure de sélection s’inscrit dans le cadre de la mise en œuvre de France 2030 et donne lieu à une comitologie réunissant les représentants des ministères concernés. </w:t>
      </w:r>
    </w:p>
    <w:p w14:paraId="220430BE" w14:textId="77777777" w:rsidR="000726C7" w:rsidRPr="001F0479" w:rsidRDefault="000726C7" w:rsidP="000726C7">
      <w:pPr>
        <w:pStyle w:val="Normal11"/>
        <w:spacing w:line="276" w:lineRule="auto"/>
        <w:jc w:val="both"/>
        <w:rPr>
          <w:sz w:val="22"/>
          <w:szCs w:val="22"/>
        </w:rPr>
      </w:pPr>
    </w:p>
    <w:p w14:paraId="15CEB4EE" w14:textId="77ADCF9D" w:rsidR="000726C7" w:rsidRPr="001F0479" w:rsidRDefault="000726C7" w:rsidP="000726C7">
      <w:pPr>
        <w:pStyle w:val="Normal11"/>
        <w:spacing w:after="120" w:line="276" w:lineRule="auto"/>
        <w:jc w:val="both"/>
        <w:rPr>
          <w:sz w:val="22"/>
          <w:szCs w:val="22"/>
        </w:rPr>
      </w:pPr>
      <w:r w:rsidRPr="001F0479">
        <w:rPr>
          <w:sz w:val="22"/>
          <w:szCs w:val="22"/>
        </w:rPr>
        <w:t xml:space="preserve">La décision d’octroi de l’aide financière est prise par </w:t>
      </w:r>
      <w:r w:rsidR="000F0F08">
        <w:rPr>
          <w:sz w:val="22"/>
          <w:szCs w:val="22"/>
        </w:rPr>
        <w:t>le</w:t>
      </w:r>
      <w:r w:rsidR="000F0F08" w:rsidRPr="001F0479">
        <w:rPr>
          <w:sz w:val="22"/>
          <w:szCs w:val="22"/>
        </w:rPr>
        <w:t xml:space="preserve"> </w:t>
      </w:r>
      <w:r w:rsidRPr="001F0479">
        <w:rPr>
          <w:sz w:val="22"/>
          <w:szCs w:val="22"/>
        </w:rPr>
        <w:t>Premi</w:t>
      </w:r>
      <w:r w:rsidR="000F0F08">
        <w:rPr>
          <w:sz w:val="22"/>
          <w:szCs w:val="22"/>
        </w:rPr>
        <w:t>er</w:t>
      </w:r>
      <w:r w:rsidRPr="001F0479">
        <w:rPr>
          <w:sz w:val="22"/>
          <w:szCs w:val="22"/>
        </w:rPr>
        <w:t xml:space="preserve"> ministre et intervient, dans le cas général, sous un délai de 3 mois à partir de la date de relève afférente.</w:t>
      </w:r>
    </w:p>
    <w:p w14:paraId="35FFC203" w14:textId="77777777" w:rsidR="000726C7" w:rsidRPr="001F0479" w:rsidRDefault="000726C7" w:rsidP="000726C7">
      <w:pPr>
        <w:pStyle w:val="Normal11"/>
        <w:spacing w:after="120" w:line="276" w:lineRule="auto"/>
        <w:jc w:val="both"/>
        <w:rPr>
          <w:b/>
          <w:sz w:val="22"/>
          <w:szCs w:val="22"/>
        </w:rPr>
      </w:pPr>
    </w:p>
    <w:p w14:paraId="2FC2C5BB" w14:textId="77777777" w:rsidR="000726C7" w:rsidRPr="001F0479" w:rsidRDefault="000726C7" w:rsidP="000726C7">
      <w:pPr>
        <w:pStyle w:val="Normal11"/>
        <w:spacing w:line="276" w:lineRule="auto"/>
        <w:jc w:val="both"/>
        <w:rPr>
          <w:sz w:val="22"/>
          <w:szCs w:val="22"/>
        </w:rPr>
      </w:pPr>
    </w:p>
    <w:p w14:paraId="5E286C33" w14:textId="77777777" w:rsidR="000726C7" w:rsidRPr="001F0479" w:rsidRDefault="000726C7" w:rsidP="000726C7">
      <w:pPr>
        <w:pStyle w:val="Normal11"/>
        <w:spacing w:after="120" w:line="276" w:lineRule="auto"/>
        <w:jc w:val="both"/>
      </w:pPr>
    </w:p>
    <w:p w14:paraId="4FCBD57D" w14:textId="77777777" w:rsidR="000726C7" w:rsidRPr="001F0479" w:rsidRDefault="000726C7" w:rsidP="000726C7">
      <w:pPr>
        <w:pStyle w:val="Normal11"/>
        <w:spacing w:before="120" w:after="0" w:line="276" w:lineRule="auto"/>
        <w:jc w:val="both"/>
        <w:rPr>
          <w:sz w:val="22"/>
          <w:szCs w:val="22"/>
        </w:rPr>
      </w:pPr>
    </w:p>
    <w:p w14:paraId="59CA0B01" w14:textId="77777777" w:rsidR="000726C7" w:rsidRPr="001F0479" w:rsidRDefault="000726C7" w:rsidP="000726C7">
      <w:pPr>
        <w:pStyle w:val="Titre1"/>
        <w:numPr>
          <w:ilvl w:val="0"/>
          <w:numId w:val="9"/>
        </w:numPr>
        <w:tabs>
          <w:tab w:val="num" w:pos="360"/>
        </w:tabs>
        <w:spacing w:line="276" w:lineRule="auto"/>
        <w:ind w:left="0" w:firstLine="0"/>
        <w:rPr>
          <w:rFonts w:cs="Arial"/>
          <w:color w:val="auto"/>
          <w:sz w:val="24"/>
          <w:szCs w:val="24"/>
        </w:rPr>
      </w:pPr>
      <w:bookmarkStart w:id="35" w:name="_Toc429412718"/>
      <w:bookmarkStart w:id="36" w:name="_Toc429412719"/>
      <w:bookmarkStart w:id="37" w:name="_Toc408561622"/>
      <w:bookmarkStart w:id="38" w:name="_Toc498017362"/>
      <w:bookmarkStart w:id="39" w:name="_Toc500319822"/>
      <w:bookmarkStart w:id="40" w:name="_Toc499646229"/>
      <w:bookmarkStart w:id="41" w:name="_Toc283262"/>
      <w:bookmarkStart w:id="42" w:name="_Toc283278"/>
      <w:bookmarkStart w:id="43" w:name="_Toc59527586"/>
      <w:bookmarkStart w:id="44" w:name="_Toc61343087"/>
      <w:bookmarkStart w:id="45" w:name="_Toc95323577"/>
      <w:bookmarkEnd w:id="35"/>
      <w:bookmarkEnd w:id="36"/>
      <w:bookmarkEnd w:id="37"/>
      <w:r w:rsidRPr="001F0479">
        <w:rPr>
          <w:rFonts w:cs="Arial"/>
          <w:color w:val="auto"/>
          <w:sz w:val="24"/>
          <w:szCs w:val="24"/>
        </w:rPr>
        <w:t>LABEL POLE DE COMPETITIVITE</w:t>
      </w:r>
      <w:bookmarkEnd w:id="38"/>
      <w:bookmarkEnd w:id="39"/>
      <w:bookmarkEnd w:id="40"/>
      <w:bookmarkEnd w:id="41"/>
      <w:bookmarkEnd w:id="42"/>
      <w:bookmarkEnd w:id="43"/>
      <w:bookmarkEnd w:id="44"/>
      <w:bookmarkEnd w:id="45"/>
      <w:r w:rsidRPr="001F0479">
        <w:rPr>
          <w:rFonts w:cs="Arial"/>
          <w:color w:val="auto"/>
          <w:sz w:val="24"/>
          <w:szCs w:val="24"/>
        </w:rPr>
        <w:t xml:space="preserve"> </w:t>
      </w:r>
    </w:p>
    <w:p w14:paraId="37150319" w14:textId="77777777" w:rsidR="000726C7" w:rsidRPr="001F0479" w:rsidRDefault="000726C7" w:rsidP="000726C7">
      <w:pPr>
        <w:pStyle w:val="Normal11"/>
        <w:spacing w:before="120" w:line="276" w:lineRule="auto"/>
        <w:jc w:val="both"/>
      </w:pPr>
      <w:r w:rsidRPr="001F0479">
        <w:rPr>
          <w:sz w:val="22"/>
        </w:rPr>
        <w:t>Le projet peut être labellisé, au choix du porteur, par un ou plusieurs pôle(s) de compétitivité</w:t>
      </w:r>
      <w:r w:rsidRPr="001F0479">
        <w:t xml:space="preserve">. </w:t>
      </w:r>
      <w:r w:rsidRPr="001F0479">
        <w:rPr>
          <w:sz w:val="22"/>
        </w:rPr>
        <w:t>Cette labellisation est facultative pour répondre à l’AAP.</w:t>
      </w:r>
    </w:p>
    <w:p w14:paraId="3C24B8D7" w14:textId="77777777" w:rsidR="000726C7" w:rsidRPr="001F0479" w:rsidRDefault="000726C7" w:rsidP="000726C7">
      <w:pPr>
        <w:pStyle w:val="Normal11"/>
        <w:spacing w:before="120" w:line="276" w:lineRule="auto"/>
        <w:jc w:val="both"/>
        <w:rPr>
          <w:rFonts w:eastAsia="Times New Roman"/>
          <w:sz w:val="22"/>
          <w:lang w:bidi="ar-SA"/>
        </w:rPr>
      </w:pPr>
      <w:bookmarkStart w:id="46" w:name="_Toc429412720"/>
      <w:bookmarkEnd w:id="46"/>
      <w:r w:rsidRPr="001F0479">
        <w:rPr>
          <w:sz w:val="22"/>
        </w:rPr>
        <w:t>La labellisation constitue un acte de reconnaissance par un pôle de compétitivité de l’intérêt du projet par rapport aux axes stratégiques du pôle, à l’écosystème et à ses cibles marché. La labellisation permet de confronter la pertinence du projet à la vision d’experts reconnus. Elle peut aussi permettre un accompagnement du porteur du projet dans sa démarche de définition et de structuration du projet, et améliorer ses chances de succès.</w:t>
      </w:r>
    </w:p>
    <w:p w14:paraId="67D3D304" w14:textId="77777777" w:rsidR="000726C7" w:rsidRPr="001F0479" w:rsidRDefault="000726C7" w:rsidP="000726C7">
      <w:pPr>
        <w:pStyle w:val="Normal11"/>
        <w:spacing w:before="120" w:line="276" w:lineRule="auto"/>
        <w:jc w:val="both"/>
      </w:pPr>
      <w:r w:rsidRPr="001F0479">
        <w:rPr>
          <w:rFonts w:eastAsia="Times New Roman"/>
          <w:sz w:val="22"/>
          <w:lang w:bidi="ar-SA"/>
        </w:rPr>
        <w:t xml:space="preserve">La labellisation du projet par un pôle de compétitivité est une information prise en compte dans le processus de présélection des projets et portée à la connaissance des membres du jury. La labellisation et le rapport du comité de labellisation du pôle doivent se faire </w:t>
      </w:r>
      <w:r w:rsidRPr="001F0479">
        <w:rPr>
          <w:sz w:val="22"/>
          <w:u w:val="single"/>
        </w:rPr>
        <w:t>selon les critères du présent cahier des charges.</w:t>
      </w:r>
    </w:p>
    <w:p w14:paraId="44532229" w14:textId="77777777" w:rsidR="000726C7" w:rsidRPr="001F0479" w:rsidRDefault="000726C7" w:rsidP="000726C7">
      <w:pPr>
        <w:pStyle w:val="Normal11"/>
        <w:spacing w:before="120" w:line="276" w:lineRule="auto"/>
        <w:jc w:val="both"/>
        <w:rPr>
          <w:rFonts w:eastAsia="Calibri"/>
          <w:iCs/>
          <w:sz w:val="22"/>
          <w:szCs w:val="22"/>
          <w:lang w:eastAsia="en-US"/>
        </w:rPr>
      </w:pPr>
    </w:p>
    <w:p w14:paraId="44525357" w14:textId="77777777" w:rsidR="000726C7" w:rsidRPr="001F0479" w:rsidRDefault="000726C7" w:rsidP="000726C7">
      <w:pPr>
        <w:pStyle w:val="Titre1"/>
        <w:numPr>
          <w:ilvl w:val="0"/>
          <w:numId w:val="9"/>
        </w:numPr>
        <w:tabs>
          <w:tab w:val="num" w:pos="360"/>
        </w:tabs>
        <w:spacing w:line="276" w:lineRule="auto"/>
        <w:ind w:left="0" w:firstLine="0"/>
        <w:rPr>
          <w:rFonts w:cs="Arial"/>
          <w:color w:val="auto"/>
          <w:sz w:val="24"/>
          <w:szCs w:val="24"/>
        </w:rPr>
      </w:pPr>
      <w:bookmarkStart w:id="47" w:name="_Toc499646230"/>
      <w:bookmarkStart w:id="48" w:name="_Toc500319823"/>
      <w:bookmarkStart w:id="49" w:name="_Toc283263"/>
      <w:bookmarkStart w:id="50" w:name="_Toc283279"/>
      <w:bookmarkStart w:id="51" w:name="_Toc59527587"/>
      <w:bookmarkStart w:id="52" w:name="_Toc61343088"/>
      <w:bookmarkStart w:id="53" w:name="_Toc95323578"/>
      <w:bookmarkEnd w:id="47"/>
      <w:r w:rsidRPr="001F0479">
        <w:rPr>
          <w:rFonts w:cs="Arial"/>
          <w:color w:val="auto"/>
          <w:sz w:val="24"/>
          <w:szCs w:val="24"/>
        </w:rPr>
        <w:t>F</w:t>
      </w:r>
      <w:bookmarkEnd w:id="48"/>
      <w:r w:rsidRPr="001F0479">
        <w:rPr>
          <w:rFonts w:cs="Arial"/>
          <w:color w:val="auto"/>
          <w:sz w:val="24"/>
          <w:szCs w:val="24"/>
        </w:rPr>
        <w:t>INANCEMENT OCTROYE</w:t>
      </w:r>
      <w:bookmarkEnd w:id="49"/>
      <w:bookmarkEnd w:id="50"/>
      <w:bookmarkEnd w:id="51"/>
      <w:bookmarkEnd w:id="52"/>
      <w:bookmarkEnd w:id="53"/>
    </w:p>
    <w:p w14:paraId="2553FF48" w14:textId="77777777" w:rsidR="000726C7" w:rsidRPr="001F0479" w:rsidRDefault="000726C7" w:rsidP="000726C7">
      <w:pPr>
        <w:pStyle w:val="Normal11"/>
        <w:spacing w:before="120" w:after="120" w:line="276" w:lineRule="auto"/>
        <w:rPr>
          <w:sz w:val="22"/>
        </w:rPr>
      </w:pPr>
      <w:r w:rsidRPr="001F0479">
        <w:rPr>
          <w:b/>
          <w:sz w:val="22"/>
        </w:rPr>
        <w:t>Coûts éligibles et retenus</w:t>
      </w:r>
    </w:p>
    <w:p w14:paraId="22753C5C" w14:textId="77777777" w:rsidR="000726C7" w:rsidRPr="001F0479" w:rsidRDefault="000726C7" w:rsidP="000726C7">
      <w:pPr>
        <w:pStyle w:val="Normal11"/>
        <w:spacing w:before="120" w:after="120" w:line="276" w:lineRule="auto"/>
        <w:jc w:val="both"/>
        <w:rPr>
          <w:sz w:val="22"/>
        </w:rPr>
      </w:pPr>
      <w:r w:rsidRPr="001F0479">
        <w:rPr>
          <w:sz w:val="22"/>
        </w:rPr>
        <w:t>Les dépenses liées au projet sont à présenter hors-taxe et selon la ventilation requise dans la base de données des coûts du projet en annexe 2 du dossier de candidature :</w:t>
      </w:r>
    </w:p>
    <w:p w14:paraId="069948AD" w14:textId="77777777" w:rsidR="000726C7" w:rsidRPr="001F0479" w:rsidRDefault="000726C7" w:rsidP="000726C7">
      <w:pPr>
        <w:pStyle w:val="Paragraphedeliste"/>
        <w:keepNext/>
        <w:numPr>
          <w:ilvl w:val="0"/>
          <w:numId w:val="5"/>
        </w:numPr>
        <w:spacing w:before="120" w:line="276" w:lineRule="auto"/>
        <w:ind w:left="714" w:hanging="357"/>
        <w:jc w:val="both"/>
        <w:rPr>
          <w:rFonts w:ascii="Arial" w:hAnsi="Arial" w:cs="Arial"/>
          <w:sz w:val="22"/>
        </w:rPr>
      </w:pPr>
      <w:r w:rsidRPr="001F0479">
        <w:rPr>
          <w:rFonts w:ascii="Arial" w:hAnsi="Arial" w:cs="Arial"/>
          <w:sz w:val="22"/>
          <w:szCs w:val="24"/>
        </w:rPr>
        <w:t>salaires de personnel interne ;</w:t>
      </w:r>
    </w:p>
    <w:p w14:paraId="4185D19D" w14:textId="77777777" w:rsidR="000726C7" w:rsidRPr="001F0479" w:rsidRDefault="000726C7" w:rsidP="000726C7">
      <w:pPr>
        <w:pStyle w:val="Paragraphedeliste"/>
        <w:keepNext/>
        <w:numPr>
          <w:ilvl w:val="0"/>
          <w:numId w:val="5"/>
        </w:numPr>
        <w:spacing w:before="120" w:line="276" w:lineRule="auto"/>
        <w:ind w:left="714" w:hanging="357"/>
        <w:jc w:val="both"/>
        <w:rPr>
          <w:rFonts w:ascii="Arial" w:hAnsi="Arial" w:cs="Arial"/>
          <w:sz w:val="22"/>
        </w:rPr>
      </w:pPr>
      <w:r w:rsidRPr="001F0479">
        <w:rPr>
          <w:rFonts w:ascii="Arial" w:hAnsi="Arial" w:cs="Arial"/>
          <w:sz w:val="22"/>
          <w:szCs w:val="24"/>
        </w:rPr>
        <w:t>frais connexes forfaitaires</w:t>
      </w:r>
      <w:r w:rsidRPr="001F0479">
        <w:rPr>
          <w:rStyle w:val="Ancredenotedebasdepage"/>
          <w:rFonts w:ascii="Arial" w:hAnsi="Arial" w:cs="Arial"/>
          <w:sz w:val="22"/>
          <w:szCs w:val="24"/>
        </w:rPr>
        <w:footnoteReference w:id="2"/>
      </w:r>
      <w:r w:rsidRPr="001F0479">
        <w:rPr>
          <w:rFonts w:ascii="Arial" w:hAnsi="Arial" w:cs="Arial"/>
          <w:sz w:val="22"/>
          <w:szCs w:val="24"/>
        </w:rPr>
        <w:t> ;</w:t>
      </w:r>
    </w:p>
    <w:p w14:paraId="45C759CA" w14:textId="77777777" w:rsidR="000726C7" w:rsidRPr="001F0479" w:rsidRDefault="000726C7" w:rsidP="000726C7">
      <w:pPr>
        <w:pStyle w:val="Paragraphedeliste"/>
        <w:keepNext/>
        <w:numPr>
          <w:ilvl w:val="0"/>
          <w:numId w:val="5"/>
        </w:numPr>
        <w:spacing w:before="120" w:line="276" w:lineRule="auto"/>
        <w:ind w:left="714" w:hanging="357"/>
        <w:jc w:val="both"/>
        <w:rPr>
          <w:rFonts w:ascii="Arial" w:hAnsi="Arial" w:cs="Arial"/>
          <w:sz w:val="22"/>
        </w:rPr>
      </w:pPr>
      <w:r w:rsidRPr="001F0479">
        <w:rPr>
          <w:rFonts w:ascii="Arial" w:hAnsi="Arial" w:cs="Arial"/>
          <w:sz w:val="22"/>
          <w:szCs w:val="24"/>
        </w:rPr>
        <w:t>coûts de sous-traitance, dans la limite de 30 % des coûts totaux, sauf justification spécifique à fournir par le porteur ;</w:t>
      </w:r>
    </w:p>
    <w:p w14:paraId="0BCC677D" w14:textId="77777777" w:rsidR="000726C7" w:rsidRPr="001F0479" w:rsidRDefault="000726C7" w:rsidP="000726C7">
      <w:pPr>
        <w:pStyle w:val="Paragraphedeliste"/>
        <w:keepNext/>
        <w:numPr>
          <w:ilvl w:val="0"/>
          <w:numId w:val="5"/>
        </w:numPr>
        <w:spacing w:before="120" w:line="276" w:lineRule="auto"/>
        <w:ind w:left="714" w:hanging="357"/>
        <w:jc w:val="both"/>
        <w:rPr>
          <w:rFonts w:ascii="Arial" w:hAnsi="Arial" w:cs="Arial"/>
          <w:sz w:val="22"/>
        </w:rPr>
      </w:pPr>
      <w:r w:rsidRPr="001F0479">
        <w:rPr>
          <w:rFonts w:ascii="Arial" w:hAnsi="Arial" w:cs="Arial"/>
          <w:sz w:val="22"/>
          <w:szCs w:val="24"/>
        </w:rPr>
        <w:t>contributions aux amortissements ;</w:t>
      </w:r>
    </w:p>
    <w:p w14:paraId="3BAAD65D" w14:textId="77777777" w:rsidR="000726C7" w:rsidRPr="001F0479" w:rsidRDefault="000726C7" w:rsidP="000726C7">
      <w:pPr>
        <w:pStyle w:val="Paragraphedeliste"/>
        <w:keepNext/>
        <w:numPr>
          <w:ilvl w:val="0"/>
          <w:numId w:val="5"/>
        </w:numPr>
        <w:spacing w:before="120" w:line="276" w:lineRule="auto"/>
        <w:ind w:left="714" w:hanging="357"/>
        <w:jc w:val="both"/>
        <w:rPr>
          <w:rFonts w:ascii="Arial" w:hAnsi="Arial" w:cs="Arial"/>
          <w:sz w:val="22"/>
        </w:rPr>
      </w:pPr>
      <w:r w:rsidRPr="001F0479">
        <w:rPr>
          <w:rFonts w:ascii="Arial" w:hAnsi="Arial" w:cs="Arial"/>
          <w:sz w:val="22"/>
          <w:szCs w:val="24"/>
        </w:rPr>
        <w:t>frais de mission directement liés au projet ;</w:t>
      </w:r>
    </w:p>
    <w:p w14:paraId="23EE9138" w14:textId="77777777" w:rsidR="000726C7" w:rsidRPr="001F0479" w:rsidRDefault="000726C7" w:rsidP="000726C7">
      <w:pPr>
        <w:pStyle w:val="Paragraphedeliste"/>
        <w:keepNext/>
        <w:numPr>
          <w:ilvl w:val="0"/>
          <w:numId w:val="5"/>
        </w:numPr>
        <w:spacing w:before="120" w:line="276" w:lineRule="auto"/>
        <w:ind w:left="714" w:hanging="357"/>
        <w:jc w:val="both"/>
        <w:rPr>
          <w:rFonts w:ascii="Arial" w:hAnsi="Arial" w:cs="Arial"/>
          <w:sz w:val="22"/>
        </w:rPr>
      </w:pPr>
      <w:r w:rsidRPr="001F0479">
        <w:rPr>
          <w:rFonts w:ascii="Arial" w:hAnsi="Arial" w:cs="Arial"/>
          <w:sz w:val="22"/>
          <w:szCs w:val="24"/>
        </w:rPr>
        <w:t>autres coûts : achats, consommables, etc.</w:t>
      </w:r>
    </w:p>
    <w:p w14:paraId="1245C63F" w14:textId="77777777" w:rsidR="000726C7" w:rsidRPr="001F0479" w:rsidRDefault="000726C7" w:rsidP="000726C7">
      <w:pPr>
        <w:pStyle w:val="Normal1"/>
        <w:spacing w:before="120" w:after="120" w:line="276" w:lineRule="auto"/>
        <w:jc w:val="both"/>
        <w:rPr>
          <w:rFonts w:ascii="Arial" w:hAnsi="Arial" w:cs="Arial"/>
        </w:rPr>
      </w:pPr>
      <w:r w:rsidRPr="001F0479">
        <w:rPr>
          <w:rFonts w:ascii="Arial" w:hAnsi="Arial" w:cs="Arial"/>
          <w:sz w:val="22"/>
        </w:rPr>
        <w:t>L’ADEME, détermine le cas échéant parmi les coûts présentés ceux qui sont éligibles et retenus pour le financement.</w:t>
      </w:r>
    </w:p>
    <w:p w14:paraId="19D31B82" w14:textId="77777777" w:rsidR="000726C7" w:rsidRPr="001F0479" w:rsidRDefault="000726C7" w:rsidP="000726C7">
      <w:pPr>
        <w:pStyle w:val="Normal1"/>
        <w:spacing w:before="120" w:after="120" w:line="276" w:lineRule="auto"/>
        <w:jc w:val="both"/>
        <w:rPr>
          <w:rFonts w:ascii="Arial" w:hAnsi="Arial" w:cs="Arial"/>
        </w:rPr>
      </w:pPr>
      <w:r w:rsidRPr="001F0479">
        <w:rPr>
          <w:rFonts w:ascii="Arial" w:hAnsi="Arial" w:cs="Arial"/>
          <w:sz w:val="22"/>
        </w:rPr>
        <w:t xml:space="preserve">La date du début du programme et de prise en compte des dépenses est la date de clôture de l’appel à projets. </w:t>
      </w:r>
    </w:p>
    <w:p w14:paraId="52D2FBAE" w14:textId="77777777" w:rsidR="000726C7" w:rsidRPr="001F0479" w:rsidRDefault="000726C7" w:rsidP="000726C7">
      <w:pPr>
        <w:spacing w:before="120" w:after="120" w:line="276" w:lineRule="auto"/>
        <w:rPr>
          <w:rFonts w:ascii="Arial" w:hAnsi="Arial" w:cs="Arial"/>
        </w:rPr>
      </w:pPr>
    </w:p>
    <w:p w14:paraId="030E178F" w14:textId="77777777" w:rsidR="000726C7" w:rsidRPr="001F0479" w:rsidRDefault="000726C7" w:rsidP="000726C7">
      <w:pPr>
        <w:pStyle w:val="Normal11"/>
        <w:spacing w:line="276" w:lineRule="auto"/>
        <w:rPr>
          <w:sz w:val="22"/>
        </w:rPr>
      </w:pPr>
      <w:r w:rsidRPr="001F0479">
        <w:rPr>
          <w:b/>
          <w:sz w:val="22"/>
        </w:rPr>
        <w:t>Intensité et modalité des aides</w:t>
      </w:r>
    </w:p>
    <w:p w14:paraId="4EAA7827" w14:textId="77777777" w:rsidR="000726C7" w:rsidRPr="001F0479" w:rsidRDefault="000726C7" w:rsidP="000726C7">
      <w:pPr>
        <w:pStyle w:val="Normal11"/>
        <w:keepNext/>
        <w:spacing w:before="120" w:after="120" w:line="276" w:lineRule="auto"/>
        <w:jc w:val="both"/>
        <w:rPr>
          <w:sz w:val="22"/>
        </w:rPr>
      </w:pPr>
      <w:r w:rsidRPr="001F0479">
        <w:rPr>
          <w:sz w:val="22"/>
        </w:rPr>
        <w:t>Les projets sélectionnés bénéficieront d’un financement partiel des dépenses qui correspond à un taux d’aide appliqué à l’assiette des coûts éligibles et retenus du projet, dans la limite des taux d’intervention maximaux autorisés par la Commission européenne à savoir :</w:t>
      </w:r>
    </w:p>
    <w:tbl>
      <w:tblPr>
        <w:tblStyle w:val="Grilledutableau"/>
        <w:tblW w:w="6405" w:type="dxa"/>
        <w:tblInd w:w="1395" w:type="dxa"/>
        <w:tblCellMar>
          <w:left w:w="53" w:type="dxa"/>
        </w:tblCellMar>
        <w:tblLook w:val="04A0" w:firstRow="1" w:lastRow="0" w:firstColumn="1" w:lastColumn="0" w:noHBand="0" w:noVBand="1"/>
      </w:tblPr>
      <w:tblGrid>
        <w:gridCol w:w="2107"/>
        <w:gridCol w:w="2143"/>
        <w:gridCol w:w="2155"/>
      </w:tblGrid>
      <w:tr w:rsidR="000726C7" w:rsidRPr="001F0479" w14:paraId="67ACE463" w14:textId="77777777" w:rsidTr="00040F23">
        <w:trPr>
          <w:trHeight w:val="784"/>
        </w:trPr>
        <w:tc>
          <w:tcPr>
            <w:tcW w:w="2107" w:type="dxa"/>
            <w:vAlign w:val="center"/>
            <w:hideMark/>
          </w:tcPr>
          <w:p w14:paraId="7CD05AA4" w14:textId="77777777" w:rsidR="000726C7" w:rsidRPr="001F0479" w:rsidRDefault="000726C7" w:rsidP="00040F23">
            <w:pPr>
              <w:pStyle w:val="Paragraphedeliste"/>
              <w:spacing w:line="276" w:lineRule="auto"/>
              <w:ind w:left="0"/>
              <w:jc w:val="center"/>
              <w:rPr>
                <w:rFonts w:ascii="Arial" w:hAnsi="Arial" w:cs="Arial"/>
                <w:sz w:val="22"/>
              </w:rPr>
            </w:pPr>
            <w:r w:rsidRPr="001F0479">
              <w:rPr>
                <w:rFonts w:ascii="Arial" w:hAnsi="Arial" w:cs="Arial"/>
                <w:sz w:val="22"/>
                <w:szCs w:val="24"/>
              </w:rPr>
              <w:t>Catégorie d’entreprise</w:t>
            </w:r>
          </w:p>
        </w:tc>
        <w:tc>
          <w:tcPr>
            <w:tcW w:w="2143" w:type="dxa"/>
            <w:vAlign w:val="center"/>
            <w:hideMark/>
          </w:tcPr>
          <w:p w14:paraId="60323AB0" w14:textId="77777777" w:rsidR="000726C7" w:rsidRPr="001F0479" w:rsidRDefault="000726C7" w:rsidP="00040F23">
            <w:pPr>
              <w:pStyle w:val="Paragraphedeliste"/>
              <w:spacing w:line="276" w:lineRule="auto"/>
              <w:ind w:left="0"/>
              <w:jc w:val="center"/>
              <w:rPr>
                <w:rFonts w:ascii="Arial" w:hAnsi="Arial" w:cs="Arial"/>
                <w:sz w:val="22"/>
                <w:szCs w:val="24"/>
              </w:rPr>
            </w:pPr>
            <w:r w:rsidRPr="001F0479">
              <w:rPr>
                <w:rFonts w:ascii="Arial" w:hAnsi="Arial" w:cs="Arial"/>
                <w:sz w:val="22"/>
                <w:szCs w:val="24"/>
              </w:rPr>
              <w:t>Petites</w:t>
            </w:r>
          </w:p>
          <w:p w14:paraId="02026E8C" w14:textId="77777777" w:rsidR="000726C7" w:rsidRPr="001F0479" w:rsidRDefault="000726C7" w:rsidP="00040F23">
            <w:pPr>
              <w:pStyle w:val="Paragraphedeliste"/>
              <w:spacing w:line="276" w:lineRule="auto"/>
              <w:ind w:left="0"/>
              <w:jc w:val="center"/>
              <w:rPr>
                <w:rFonts w:ascii="Arial" w:hAnsi="Arial" w:cs="Arial"/>
                <w:sz w:val="22"/>
              </w:rPr>
            </w:pPr>
            <w:r w:rsidRPr="001F0479">
              <w:rPr>
                <w:rFonts w:ascii="Arial" w:hAnsi="Arial" w:cs="Arial"/>
                <w:sz w:val="22"/>
                <w:szCs w:val="24"/>
              </w:rPr>
              <w:t>entreprises (PE)</w:t>
            </w:r>
          </w:p>
        </w:tc>
        <w:tc>
          <w:tcPr>
            <w:tcW w:w="2155" w:type="dxa"/>
            <w:vAlign w:val="center"/>
            <w:hideMark/>
          </w:tcPr>
          <w:p w14:paraId="3257A6F5" w14:textId="77777777" w:rsidR="000726C7" w:rsidRPr="001F0479" w:rsidRDefault="000726C7" w:rsidP="00040F23">
            <w:pPr>
              <w:pStyle w:val="Paragraphedeliste"/>
              <w:spacing w:line="276" w:lineRule="auto"/>
              <w:ind w:left="0"/>
              <w:jc w:val="center"/>
              <w:rPr>
                <w:rFonts w:ascii="Arial" w:hAnsi="Arial" w:cs="Arial"/>
                <w:sz w:val="22"/>
              </w:rPr>
            </w:pPr>
            <w:r w:rsidRPr="001F0479">
              <w:rPr>
                <w:rFonts w:ascii="Arial" w:hAnsi="Arial" w:cs="Arial"/>
                <w:sz w:val="22"/>
                <w:szCs w:val="24"/>
              </w:rPr>
              <w:t>Moyennes entreprises (ME)</w:t>
            </w:r>
          </w:p>
        </w:tc>
      </w:tr>
      <w:tr w:rsidR="000726C7" w:rsidRPr="001F0479" w14:paraId="38275457" w14:textId="77777777" w:rsidTr="00040F23">
        <w:trPr>
          <w:trHeight w:val="467"/>
        </w:trPr>
        <w:tc>
          <w:tcPr>
            <w:tcW w:w="2107" w:type="dxa"/>
            <w:vAlign w:val="center"/>
            <w:hideMark/>
          </w:tcPr>
          <w:p w14:paraId="6EC2A392" w14:textId="77777777" w:rsidR="000726C7" w:rsidRPr="001F0479" w:rsidRDefault="000726C7" w:rsidP="00040F23">
            <w:pPr>
              <w:pStyle w:val="Paragraphedeliste"/>
              <w:spacing w:line="276" w:lineRule="auto"/>
              <w:ind w:left="0"/>
              <w:jc w:val="center"/>
              <w:rPr>
                <w:rFonts w:ascii="Arial" w:hAnsi="Arial" w:cs="Arial"/>
                <w:sz w:val="22"/>
              </w:rPr>
            </w:pPr>
            <w:r w:rsidRPr="001F0479">
              <w:rPr>
                <w:rFonts w:ascii="Arial" w:hAnsi="Arial" w:cs="Arial"/>
                <w:sz w:val="22"/>
                <w:szCs w:val="24"/>
              </w:rPr>
              <w:t>Intensité d’aide</w:t>
            </w:r>
          </w:p>
        </w:tc>
        <w:tc>
          <w:tcPr>
            <w:tcW w:w="2143" w:type="dxa"/>
            <w:vAlign w:val="center"/>
            <w:hideMark/>
          </w:tcPr>
          <w:p w14:paraId="3C0A10AD" w14:textId="77777777" w:rsidR="000726C7" w:rsidRPr="001F0479" w:rsidRDefault="000726C7" w:rsidP="00040F23">
            <w:pPr>
              <w:pStyle w:val="Paragraphedeliste"/>
              <w:spacing w:line="276" w:lineRule="auto"/>
              <w:ind w:left="0"/>
              <w:jc w:val="center"/>
              <w:rPr>
                <w:rFonts w:ascii="Arial" w:hAnsi="Arial" w:cs="Arial"/>
                <w:sz w:val="22"/>
              </w:rPr>
            </w:pPr>
            <w:r w:rsidRPr="001F0479">
              <w:rPr>
                <w:rFonts w:ascii="Arial" w:hAnsi="Arial" w:cs="Arial"/>
                <w:sz w:val="22"/>
                <w:szCs w:val="24"/>
              </w:rPr>
              <w:t>45 %</w:t>
            </w:r>
          </w:p>
        </w:tc>
        <w:tc>
          <w:tcPr>
            <w:tcW w:w="2155" w:type="dxa"/>
            <w:vAlign w:val="center"/>
            <w:hideMark/>
          </w:tcPr>
          <w:p w14:paraId="692E8168" w14:textId="77777777" w:rsidR="000726C7" w:rsidRPr="001F0479" w:rsidRDefault="000726C7" w:rsidP="00040F23">
            <w:pPr>
              <w:pStyle w:val="Paragraphedeliste"/>
              <w:spacing w:line="276" w:lineRule="auto"/>
              <w:ind w:left="0"/>
              <w:jc w:val="center"/>
              <w:rPr>
                <w:rFonts w:ascii="Arial" w:hAnsi="Arial" w:cs="Arial"/>
                <w:sz w:val="22"/>
              </w:rPr>
            </w:pPr>
            <w:r w:rsidRPr="001F0479">
              <w:rPr>
                <w:rFonts w:ascii="Arial" w:hAnsi="Arial" w:cs="Arial"/>
                <w:sz w:val="22"/>
                <w:szCs w:val="24"/>
              </w:rPr>
              <w:t>35 %</w:t>
            </w:r>
          </w:p>
        </w:tc>
      </w:tr>
    </w:tbl>
    <w:p w14:paraId="57DB541D" w14:textId="77777777" w:rsidR="000726C7" w:rsidRPr="001F0479" w:rsidRDefault="000726C7" w:rsidP="000726C7">
      <w:pPr>
        <w:pStyle w:val="Normal11"/>
        <w:spacing w:line="276" w:lineRule="auto"/>
        <w:jc w:val="both"/>
        <w:rPr>
          <w:sz w:val="22"/>
        </w:rPr>
      </w:pPr>
    </w:p>
    <w:p w14:paraId="1436B374" w14:textId="77777777" w:rsidR="000726C7" w:rsidRPr="001F0479" w:rsidRDefault="000726C7" w:rsidP="000726C7">
      <w:pPr>
        <w:pStyle w:val="Normal11"/>
        <w:spacing w:line="276" w:lineRule="auto"/>
        <w:jc w:val="both"/>
        <w:rPr>
          <w:sz w:val="22"/>
        </w:rPr>
      </w:pPr>
      <w:r w:rsidRPr="001F0479">
        <w:rPr>
          <w:sz w:val="22"/>
        </w:rPr>
        <w:t xml:space="preserve">La modalité d’attribution de l’aide est composée à 100% de subventions. </w:t>
      </w:r>
    </w:p>
    <w:p w14:paraId="118F3798" w14:textId="77777777" w:rsidR="000726C7" w:rsidRPr="001F0479" w:rsidRDefault="000726C7" w:rsidP="000726C7">
      <w:pPr>
        <w:pStyle w:val="Normal11"/>
        <w:spacing w:after="0" w:line="276" w:lineRule="auto"/>
        <w:jc w:val="both"/>
      </w:pPr>
    </w:p>
    <w:p w14:paraId="3E547C83" w14:textId="6D2492DD" w:rsidR="000726C7" w:rsidRPr="001F0479" w:rsidRDefault="000726C7" w:rsidP="000726C7">
      <w:pPr>
        <w:pStyle w:val="Normal11"/>
        <w:spacing w:line="276" w:lineRule="auto"/>
        <w:jc w:val="both"/>
        <w:rPr>
          <w:sz w:val="22"/>
        </w:rPr>
      </w:pPr>
      <w:r w:rsidRPr="001F0479">
        <w:rPr>
          <w:sz w:val="22"/>
        </w:rPr>
        <w:t>L’intervention publique s’effectue dans le respect de la réglementation de l’Union européenne applicable en matière d'aides d'État (articles 107 à 109 du Traité sur le Fonctionnement de l’Union Européenne). Il est tenu compte, pour apprécier la compatibilité de l'intervention du fonds avec le marché intérieur, de la communication de la Commission européenne du 27 juin 2014 relative à l'encadrement communautaire des aides d'État à la recherche, au développement et à l'innovation (JOUE C198/1 du 27 juin 2014) et du règlement général d’exemption par catégories n°651/2014 du 17 juin 2014 (ci-après « RGEC ») publié au Journal Officiel de l’Union Européenne du 26 juin 2014 tel que modifié par les règlements (UE) 2017/1084 de la Commission du 14 juin 2017 publié au JOUE du 20 juin 2017</w:t>
      </w:r>
      <w:r w:rsidR="005653DF">
        <w:rPr>
          <w:sz w:val="22"/>
        </w:rPr>
        <w:t>,</w:t>
      </w:r>
      <w:r w:rsidRPr="001F0479">
        <w:rPr>
          <w:sz w:val="22"/>
        </w:rPr>
        <w:t>2020/972 du 2 juillet 2020 publié au JOUE du 7 juillet 2020</w:t>
      </w:r>
      <w:r w:rsidR="005653DF">
        <w:rPr>
          <w:sz w:val="22"/>
        </w:rPr>
        <w:t xml:space="preserve">, et </w:t>
      </w:r>
      <w:r w:rsidR="005653DF" w:rsidRPr="005653DF">
        <w:rPr>
          <w:sz w:val="22"/>
        </w:rPr>
        <w:t xml:space="preserve">2023/1315 publié au </w:t>
      </w:r>
      <w:r w:rsidR="005653DF">
        <w:rPr>
          <w:sz w:val="22"/>
        </w:rPr>
        <w:t xml:space="preserve">JOUE du </w:t>
      </w:r>
      <w:r w:rsidR="005653DF" w:rsidRPr="005653DF">
        <w:rPr>
          <w:sz w:val="22"/>
        </w:rPr>
        <w:t>30 juin 2023</w:t>
      </w:r>
      <w:r w:rsidRPr="001F0479">
        <w:rPr>
          <w:sz w:val="22"/>
        </w:rPr>
        <w:t>. Il est fait application des régimes cadre exemptés de notification n° SA.</w:t>
      </w:r>
      <w:r w:rsidR="005653DF" w:rsidRPr="005653DF">
        <w:rPr>
          <w:sz w:val="22"/>
        </w:rPr>
        <w:t>111723</w:t>
      </w:r>
      <w:r w:rsidRPr="001F0479">
        <w:rPr>
          <w:sz w:val="22"/>
        </w:rPr>
        <w:t xml:space="preserve"> relatif aux aides à la recherche, au développement et à l’innovation (RDI) pour la période 20</w:t>
      </w:r>
      <w:r w:rsidR="005653DF">
        <w:rPr>
          <w:sz w:val="22"/>
        </w:rPr>
        <w:t>2</w:t>
      </w:r>
      <w:r w:rsidRPr="001F0479">
        <w:rPr>
          <w:sz w:val="22"/>
        </w:rPr>
        <w:t>4-202</w:t>
      </w:r>
      <w:r w:rsidR="005653DF">
        <w:rPr>
          <w:sz w:val="22"/>
        </w:rPr>
        <w:t>6</w:t>
      </w:r>
      <w:r w:rsidRPr="001F0479">
        <w:rPr>
          <w:sz w:val="22"/>
        </w:rPr>
        <w:t>.</w:t>
      </w:r>
    </w:p>
    <w:p w14:paraId="1DDF03AF" w14:textId="77777777" w:rsidR="000726C7" w:rsidRPr="001F0479" w:rsidRDefault="000726C7" w:rsidP="000726C7">
      <w:pPr>
        <w:pStyle w:val="Normal11"/>
        <w:spacing w:before="120" w:after="120" w:line="276" w:lineRule="auto"/>
        <w:jc w:val="both"/>
        <w:rPr>
          <w:sz w:val="22"/>
        </w:rPr>
      </w:pPr>
    </w:p>
    <w:p w14:paraId="0F9D1A88" w14:textId="77777777" w:rsidR="000726C7" w:rsidRPr="001F0479" w:rsidRDefault="000726C7" w:rsidP="000726C7">
      <w:pPr>
        <w:pStyle w:val="Normal11"/>
        <w:spacing w:before="120" w:after="120" w:line="276" w:lineRule="auto"/>
        <w:rPr>
          <w:b/>
          <w:sz w:val="22"/>
        </w:rPr>
      </w:pPr>
      <w:r w:rsidRPr="001F0479">
        <w:rPr>
          <w:b/>
          <w:sz w:val="22"/>
        </w:rPr>
        <w:t>Versement des aides</w:t>
      </w:r>
    </w:p>
    <w:p w14:paraId="190F9199" w14:textId="77777777" w:rsidR="000726C7" w:rsidRPr="001F0479" w:rsidRDefault="000726C7" w:rsidP="000726C7">
      <w:pPr>
        <w:pStyle w:val="Normal11"/>
        <w:spacing w:before="120" w:after="120" w:line="276" w:lineRule="auto"/>
        <w:jc w:val="both"/>
      </w:pPr>
      <w:r w:rsidRPr="001F0479">
        <w:rPr>
          <w:sz w:val="22"/>
        </w:rPr>
        <w:t>Le versement de la première tranche de l’aide intervient après la réception par l’ADEME, de la convention signée par l’entreprise. Le versement des aides intervient dans les conditions suivantes :</w:t>
      </w:r>
    </w:p>
    <w:p w14:paraId="05516B49" w14:textId="77777777" w:rsidR="000726C7" w:rsidRPr="001F0479" w:rsidRDefault="000726C7" w:rsidP="000726C7">
      <w:pPr>
        <w:pStyle w:val="Paragraphedeliste"/>
        <w:numPr>
          <w:ilvl w:val="0"/>
          <w:numId w:val="6"/>
        </w:numPr>
        <w:spacing w:after="60" w:line="276" w:lineRule="auto"/>
        <w:ind w:left="709"/>
        <w:jc w:val="both"/>
        <w:rPr>
          <w:rFonts w:ascii="Arial" w:hAnsi="Arial" w:cs="Arial"/>
          <w:sz w:val="22"/>
        </w:rPr>
      </w:pPr>
      <w:r w:rsidRPr="001F0479">
        <w:rPr>
          <w:rFonts w:ascii="Arial" w:hAnsi="Arial" w:cs="Arial"/>
          <w:sz w:val="22"/>
          <w:szCs w:val="24"/>
        </w:rPr>
        <w:t>versement d’une avance à notification d’un montant maximal de 70 % du montant de l’aide octroyée dans la limite de 200 k€ ;</w:t>
      </w:r>
    </w:p>
    <w:p w14:paraId="1F8D74B0" w14:textId="77777777" w:rsidR="000726C7" w:rsidRPr="001F0479" w:rsidRDefault="000726C7" w:rsidP="000726C7">
      <w:pPr>
        <w:pStyle w:val="Paragraphedeliste"/>
        <w:keepNext/>
        <w:numPr>
          <w:ilvl w:val="0"/>
          <w:numId w:val="5"/>
        </w:numPr>
        <w:spacing w:after="60" w:line="276" w:lineRule="auto"/>
        <w:ind w:left="714" w:hanging="357"/>
        <w:jc w:val="both"/>
        <w:rPr>
          <w:rFonts w:ascii="Arial" w:hAnsi="Arial" w:cs="Arial"/>
          <w:sz w:val="22"/>
        </w:rPr>
      </w:pPr>
      <w:r w:rsidRPr="001F0479">
        <w:rPr>
          <w:rFonts w:ascii="Arial" w:hAnsi="Arial" w:cs="Arial"/>
          <w:sz w:val="22"/>
          <w:szCs w:val="24"/>
        </w:rPr>
        <w:t xml:space="preserve">le cas échéant, un ou deux versements intermédiaires peuvent être réalisés sur présentation d’un état récapitulatif des dépenses (ERD) intermédiaire et d’un rapport intermédiaire ; </w:t>
      </w:r>
    </w:p>
    <w:p w14:paraId="10C23B03" w14:textId="77777777" w:rsidR="000726C7" w:rsidRPr="001F0479" w:rsidRDefault="000726C7" w:rsidP="000726C7">
      <w:pPr>
        <w:pStyle w:val="Paragraphedeliste"/>
        <w:keepNext/>
        <w:numPr>
          <w:ilvl w:val="0"/>
          <w:numId w:val="5"/>
        </w:numPr>
        <w:spacing w:after="240" w:line="276" w:lineRule="auto"/>
        <w:ind w:left="714" w:hanging="357"/>
        <w:jc w:val="both"/>
        <w:rPr>
          <w:rFonts w:ascii="Arial" w:hAnsi="Arial" w:cs="Arial"/>
          <w:sz w:val="22"/>
        </w:rPr>
      </w:pPr>
      <w:r w:rsidRPr="001F0479">
        <w:rPr>
          <w:rFonts w:ascii="Arial" w:hAnsi="Arial" w:cs="Arial"/>
          <w:sz w:val="22"/>
          <w:szCs w:val="24"/>
        </w:rPr>
        <w:t>le solde, de 20 % minimum, est versé suite à la remise d’un rapport final.</w:t>
      </w:r>
    </w:p>
    <w:p w14:paraId="065EA8FA" w14:textId="77777777" w:rsidR="000726C7" w:rsidRPr="001F0479" w:rsidRDefault="000726C7" w:rsidP="000726C7">
      <w:pPr>
        <w:pStyle w:val="Normal11"/>
        <w:spacing w:after="120" w:line="276" w:lineRule="auto"/>
        <w:jc w:val="both"/>
        <w:rPr>
          <w:sz w:val="22"/>
        </w:rPr>
      </w:pPr>
      <w:r w:rsidRPr="001F0479">
        <w:rPr>
          <w:sz w:val="22"/>
        </w:rPr>
        <w:t>Le montant des capitaux propres</w:t>
      </w:r>
      <w:bookmarkStart w:id="54" w:name="__RefHeading__12835_1298835588"/>
      <w:bookmarkStart w:id="55" w:name="_Toc360181672"/>
      <w:bookmarkEnd w:id="54"/>
      <w:bookmarkEnd w:id="55"/>
      <w:r w:rsidRPr="001F0479">
        <w:rPr>
          <w:sz w:val="22"/>
        </w:rPr>
        <w:t xml:space="preserve"> aux dates des versements de l’aide doit être supérieur ou égal au montant du cumul des aides versées. </w:t>
      </w:r>
    </w:p>
    <w:p w14:paraId="78852BD9" w14:textId="77777777" w:rsidR="000726C7" w:rsidRPr="001F0479" w:rsidRDefault="000726C7" w:rsidP="000726C7">
      <w:pPr>
        <w:pStyle w:val="Normal11"/>
        <w:spacing w:after="120" w:line="276" w:lineRule="auto"/>
        <w:jc w:val="both"/>
      </w:pPr>
      <w:r w:rsidRPr="001F0479">
        <w:rPr>
          <w:sz w:val="22"/>
        </w:rPr>
        <w:t xml:space="preserve">Notamment, l’octroi définitif de l’aide est subordonné à la justification par le bénéficiaire, dans un délai de 5 mois à compter de la date de notification du contrat, d’un montant de capitaux propres au moins égal au montant de l’avance à notification. A l’issue de ce délai et après mise en demeure d’un mois </w:t>
      </w:r>
      <w:r w:rsidRPr="001F0479">
        <w:rPr>
          <w:iCs/>
          <w:sz w:val="22"/>
        </w:rPr>
        <w:t xml:space="preserve">adressée par l’ADEME </w:t>
      </w:r>
      <w:r w:rsidRPr="001F0479">
        <w:rPr>
          <w:sz w:val="22"/>
        </w:rPr>
        <w:t>au bénéficiaire restée infructueuse, la convention de financement s’annulera dans tous ses droits et effets.</w:t>
      </w:r>
    </w:p>
    <w:p w14:paraId="27F02A68" w14:textId="77777777" w:rsidR="000726C7" w:rsidRPr="001F0479" w:rsidRDefault="000726C7" w:rsidP="000726C7">
      <w:pPr>
        <w:pStyle w:val="Normal11"/>
        <w:spacing w:after="120" w:line="276" w:lineRule="auto"/>
        <w:jc w:val="both"/>
        <w:rPr>
          <w:sz w:val="22"/>
        </w:rPr>
      </w:pPr>
    </w:p>
    <w:p w14:paraId="439793F3" w14:textId="77777777" w:rsidR="000726C7" w:rsidRPr="001F0479" w:rsidRDefault="000726C7" w:rsidP="000726C7">
      <w:pPr>
        <w:pStyle w:val="Normal11"/>
        <w:spacing w:before="120" w:after="120" w:line="276" w:lineRule="auto"/>
        <w:rPr>
          <w:sz w:val="22"/>
        </w:rPr>
      </w:pPr>
      <w:r w:rsidRPr="001F0479">
        <w:rPr>
          <w:b/>
          <w:sz w:val="22"/>
        </w:rPr>
        <w:t>Rapport final</w:t>
      </w:r>
    </w:p>
    <w:p w14:paraId="2913A5A6" w14:textId="77777777" w:rsidR="000726C7" w:rsidRPr="001F0479" w:rsidRDefault="000726C7" w:rsidP="000726C7">
      <w:pPr>
        <w:pStyle w:val="Normal11"/>
        <w:spacing w:before="120" w:after="120" w:line="276" w:lineRule="auto"/>
        <w:jc w:val="both"/>
      </w:pPr>
      <w:r w:rsidRPr="001F0479">
        <w:rPr>
          <w:iCs/>
          <w:sz w:val="22"/>
        </w:rPr>
        <w:t>Le bénéficiaire s’engage à respecter les indications qui lui sont données par l’ADEME, pour la fourniture, la présentation et la diffusion du rapport final de l’opération. En cas de non-conformité des dépenses exposées avec le projet présenté lors du dépôt du dossier, ou en cas d’abandon du projet, un reversement total ou partiel de l’aide est exigé.</w:t>
      </w:r>
    </w:p>
    <w:p w14:paraId="71C69902" w14:textId="77777777" w:rsidR="000726C7" w:rsidRPr="001F0479" w:rsidRDefault="000726C7" w:rsidP="000726C7">
      <w:pPr>
        <w:pStyle w:val="Normal11"/>
        <w:spacing w:before="120" w:after="120" w:line="276" w:lineRule="auto"/>
        <w:jc w:val="both"/>
        <w:rPr>
          <w:sz w:val="22"/>
        </w:rPr>
      </w:pPr>
      <w:r w:rsidRPr="001F0479">
        <w:rPr>
          <w:iCs/>
          <w:sz w:val="22"/>
        </w:rPr>
        <w:t>Le rapport final devra préciser :</w:t>
      </w:r>
    </w:p>
    <w:p w14:paraId="6AE8DB68" w14:textId="77777777" w:rsidR="000726C7" w:rsidRPr="001F0479" w:rsidRDefault="000726C7" w:rsidP="000726C7">
      <w:pPr>
        <w:pStyle w:val="Paragraphedeliste"/>
        <w:keepNext/>
        <w:numPr>
          <w:ilvl w:val="0"/>
          <w:numId w:val="5"/>
        </w:numPr>
        <w:spacing w:before="120" w:after="60" w:line="276" w:lineRule="auto"/>
        <w:ind w:left="714" w:hanging="357"/>
        <w:jc w:val="both"/>
        <w:rPr>
          <w:rFonts w:ascii="Arial" w:hAnsi="Arial" w:cs="Arial"/>
          <w:sz w:val="22"/>
        </w:rPr>
      </w:pPr>
      <w:r w:rsidRPr="001F0479">
        <w:rPr>
          <w:rFonts w:ascii="Arial" w:hAnsi="Arial" w:cs="Arial"/>
          <w:sz w:val="22"/>
          <w:szCs w:val="24"/>
        </w:rPr>
        <w:t>les résultats obtenus et leur valorisation potentielle à l’issue du projet, en lien avec les objectifs décrits dans le dossier de candidature ;</w:t>
      </w:r>
    </w:p>
    <w:p w14:paraId="02362463" w14:textId="77777777" w:rsidR="000726C7" w:rsidRPr="001F0479" w:rsidRDefault="000726C7" w:rsidP="000726C7">
      <w:pPr>
        <w:pStyle w:val="Paragraphedeliste"/>
        <w:keepNext/>
        <w:numPr>
          <w:ilvl w:val="0"/>
          <w:numId w:val="5"/>
        </w:numPr>
        <w:spacing w:line="276" w:lineRule="auto"/>
        <w:ind w:left="714" w:hanging="357"/>
        <w:jc w:val="both"/>
        <w:rPr>
          <w:rFonts w:ascii="Arial" w:hAnsi="Arial" w:cs="Arial"/>
          <w:sz w:val="22"/>
        </w:rPr>
      </w:pPr>
      <w:r w:rsidRPr="001F0479">
        <w:rPr>
          <w:rFonts w:ascii="Arial" w:hAnsi="Arial" w:cs="Arial"/>
          <w:sz w:val="22"/>
          <w:szCs w:val="24"/>
        </w:rPr>
        <w:t>un état récapitulatif des dépenses effectuées dans le cadre du projet, certifié exact par le bénéficiaire et visé par son commissaire aux comptes ou, à défaut, par son expert-comptable.</w:t>
      </w:r>
    </w:p>
    <w:p w14:paraId="721EAA53" w14:textId="77777777" w:rsidR="000726C7" w:rsidRPr="001F0479" w:rsidRDefault="000726C7" w:rsidP="000726C7">
      <w:pPr>
        <w:pStyle w:val="Normal11"/>
        <w:spacing w:before="120" w:after="120" w:line="276" w:lineRule="auto"/>
        <w:rPr>
          <w:b/>
          <w:sz w:val="22"/>
        </w:rPr>
      </w:pPr>
    </w:p>
    <w:p w14:paraId="1D79337C" w14:textId="77777777" w:rsidR="000726C7" w:rsidRPr="001F0479" w:rsidRDefault="000726C7" w:rsidP="000726C7">
      <w:pPr>
        <w:pStyle w:val="Titre1"/>
        <w:numPr>
          <w:ilvl w:val="0"/>
          <w:numId w:val="9"/>
        </w:numPr>
        <w:tabs>
          <w:tab w:val="num" w:pos="360"/>
        </w:tabs>
        <w:spacing w:line="276" w:lineRule="auto"/>
        <w:ind w:left="0" w:firstLine="0"/>
        <w:rPr>
          <w:rFonts w:cs="Arial"/>
          <w:color w:val="auto"/>
          <w:sz w:val="24"/>
          <w:szCs w:val="24"/>
        </w:rPr>
      </w:pPr>
      <w:bookmarkStart w:id="56" w:name="_Toc429412721"/>
      <w:bookmarkStart w:id="57" w:name="_Toc500319824"/>
      <w:bookmarkStart w:id="58" w:name="_Toc498017364"/>
      <w:bookmarkStart w:id="59" w:name="_Toc499646231"/>
      <w:bookmarkStart w:id="60" w:name="_Toc283264"/>
      <w:bookmarkStart w:id="61" w:name="_Toc283280"/>
      <w:bookmarkStart w:id="62" w:name="_Toc59527588"/>
      <w:bookmarkStart w:id="63" w:name="_Toc61343089"/>
      <w:bookmarkStart w:id="64" w:name="_Toc95323579"/>
      <w:bookmarkEnd w:id="56"/>
      <w:r w:rsidRPr="001F0479">
        <w:rPr>
          <w:rFonts w:cs="Arial"/>
          <w:color w:val="auto"/>
          <w:sz w:val="24"/>
          <w:szCs w:val="24"/>
        </w:rPr>
        <w:t xml:space="preserve">CONFIDENTIALITE </w:t>
      </w:r>
      <w:bookmarkEnd w:id="57"/>
      <w:bookmarkEnd w:id="58"/>
      <w:bookmarkEnd w:id="59"/>
      <w:r w:rsidRPr="001F0479">
        <w:rPr>
          <w:rFonts w:cs="Arial"/>
          <w:color w:val="auto"/>
          <w:sz w:val="24"/>
          <w:szCs w:val="24"/>
        </w:rPr>
        <w:t>ET COMMUNICATION</w:t>
      </w:r>
      <w:bookmarkEnd w:id="60"/>
      <w:bookmarkEnd w:id="61"/>
      <w:bookmarkEnd w:id="62"/>
      <w:bookmarkEnd w:id="63"/>
      <w:bookmarkEnd w:id="64"/>
    </w:p>
    <w:p w14:paraId="4DB8D3DE" w14:textId="77777777" w:rsidR="000726C7" w:rsidRPr="001F0479" w:rsidRDefault="000726C7" w:rsidP="000726C7">
      <w:pPr>
        <w:pStyle w:val="Normal11"/>
        <w:spacing w:line="276" w:lineRule="auto"/>
        <w:jc w:val="both"/>
        <w:rPr>
          <w:rFonts w:eastAsia="Arial Unicode MS"/>
          <w:bCs/>
          <w:sz w:val="22"/>
        </w:rPr>
      </w:pPr>
      <w:r w:rsidRPr="001F0479">
        <w:rPr>
          <w:rFonts w:eastAsia="Arial Unicode MS"/>
          <w:bCs/>
          <w:sz w:val="22"/>
        </w:rPr>
        <w:t>L’Opérateur s’assure que les documents transmis dans le cadre de l’appel à projets sont soumis à la plus stricte confidentialité et ne sont communiqués que dans le cadre de l’expertise et de la gouvernance de France 2030. L’ensemble des personnes ayant accès aux dossiers de candidatures est tenu à la plus stricte confidentialité.</w:t>
      </w:r>
    </w:p>
    <w:p w14:paraId="46A4D1DA" w14:textId="77777777" w:rsidR="000726C7" w:rsidRPr="001F0479" w:rsidRDefault="000726C7" w:rsidP="000726C7">
      <w:pPr>
        <w:pStyle w:val="Normal11"/>
        <w:spacing w:line="276" w:lineRule="auto"/>
        <w:jc w:val="both"/>
        <w:rPr>
          <w:rFonts w:eastAsia="Arial Unicode MS"/>
          <w:bCs/>
          <w:sz w:val="22"/>
        </w:rPr>
      </w:pPr>
      <w:r w:rsidRPr="001F0479">
        <w:rPr>
          <w:rFonts w:eastAsia="Arial Unicode MS"/>
          <w:bCs/>
          <w:sz w:val="22"/>
        </w:rPr>
        <w:t>Une fois le projet sélectionné, les bénéficiaires sont tenus de mentionner le soutien apporté par France 2030 dans leurs actions de communication et la publication de leurs résultats avec la mention unique « ce projet a été soutenu par le plan d’investissement France 2030 opéré par l’ADEME » et les logos de France 2030 et de l’Opérateur.</w:t>
      </w:r>
    </w:p>
    <w:p w14:paraId="3C1368BE" w14:textId="77777777" w:rsidR="000726C7" w:rsidRPr="001F0479" w:rsidRDefault="000726C7" w:rsidP="000726C7">
      <w:pPr>
        <w:pStyle w:val="Normal11"/>
        <w:spacing w:line="276" w:lineRule="auto"/>
        <w:jc w:val="both"/>
        <w:rPr>
          <w:rFonts w:eastAsia="Arial Unicode MS"/>
          <w:bCs/>
          <w:sz w:val="22"/>
        </w:rPr>
      </w:pPr>
      <w:r w:rsidRPr="001F0479">
        <w:rPr>
          <w:rFonts w:eastAsia="Arial Unicode MS"/>
          <w:bCs/>
          <w:sz w:val="22"/>
        </w:rPr>
        <w:t xml:space="preserve">Toute opération de communication doit être concertée entre le porteur de projet et l’Opérateur, afin de vérifier notamment le caractère diffusable des informations et la conformité des références à France 2030 et à l’Opérateur. </w:t>
      </w:r>
    </w:p>
    <w:p w14:paraId="4FA624FA" w14:textId="77777777" w:rsidR="000726C7" w:rsidRPr="001F0479" w:rsidRDefault="000726C7" w:rsidP="000726C7">
      <w:pPr>
        <w:pStyle w:val="Normal11"/>
        <w:spacing w:line="276" w:lineRule="auto"/>
        <w:jc w:val="both"/>
        <w:rPr>
          <w:rFonts w:eastAsia="Arial Unicode MS"/>
          <w:bCs/>
          <w:sz w:val="22"/>
        </w:rPr>
      </w:pPr>
      <w:r w:rsidRPr="001F0479">
        <w:rPr>
          <w:rFonts w:eastAsia="Arial Unicode MS"/>
          <w:bCs/>
          <w:sz w:val="22"/>
        </w:rPr>
        <w:t xml:space="preserve">L’Etat et l’Opérateur pourront communiquer sur les objectifs généraux de l’appel à projets, ses enjeux et ses résultats, ainsi que sur les projets lauréats, dans le respect des secrets des affaires. Ils pourront notamment utiliser à cette fin la « fiche communication » soumise par le porteur dans son dossier de candidature. </w:t>
      </w:r>
    </w:p>
    <w:p w14:paraId="33E57080" w14:textId="77777777" w:rsidR="000726C7" w:rsidRPr="001F0479" w:rsidRDefault="000726C7" w:rsidP="000726C7">
      <w:pPr>
        <w:pStyle w:val="Normal11"/>
        <w:spacing w:line="276" w:lineRule="auto"/>
        <w:jc w:val="both"/>
        <w:rPr>
          <w:rFonts w:eastAsia="Arial Unicode MS"/>
          <w:bCs/>
          <w:u w:val="single"/>
        </w:rPr>
      </w:pPr>
      <w:r w:rsidRPr="001F0479">
        <w:rPr>
          <w:rFonts w:eastAsia="Arial Unicode MS"/>
          <w:bCs/>
          <w:sz w:val="22"/>
        </w:rPr>
        <w:t>Enfin, les bénéficiaires sont tenus à une obligation de transparence et de reporting vis-à-vis de l’Etat et de l’Opérateur, nécessaire à l’évaluation ex-post des projets ou de l’appel à projets.</w:t>
      </w:r>
    </w:p>
    <w:p w14:paraId="0419A4A3" w14:textId="77777777" w:rsidR="000726C7" w:rsidRPr="001F0479" w:rsidRDefault="000726C7" w:rsidP="000726C7">
      <w:pPr>
        <w:pStyle w:val="Titre1"/>
        <w:numPr>
          <w:ilvl w:val="0"/>
          <w:numId w:val="9"/>
        </w:numPr>
        <w:tabs>
          <w:tab w:val="num" w:pos="360"/>
        </w:tabs>
        <w:spacing w:line="276" w:lineRule="auto"/>
        <w:ind w:left="0" w:firstLine="0"/>
        <w:rPr>
          <w:rFonts w:cs="Arial"/>
          <w:color w:val="auto"/>
          <w:sz w:val="24"/>
          <w:szCs w:val="24"/>
        </w:rPr>
      </w:pPr>
      <w:bookmarkStart w:id="65" w:name="__RefHeading__12843_1298835588"/>
      <w:bookmarkStart w:id="66" w:name="_Toc500319825"/>
      <w:bookmarkStart w:id="67" w:name="_Toc498017365"/>
      <w:bookmarkStart w:id="68" w:name="_Toc429412722"/>
      <w:bookmarkStart w:id="69" w:name="_Toc499646232"/>
      <w:bookmarkStart w:id="70" w:name="_Toc283265"/>
      <w:bookmarkStart w:id="71" w:name="_Toc283281"/>
      <w:bookmarkStart w:id="72" w:name="_Toc59527589"/>
      <w:bookmarkStart w:id="73" w:name="_Toc61343090"/>
      <w:bookmarkStart w:id="74" w:name="_Toc95323580"/>
      <w:bookmarkEnd w:id="65"/>
      <w:bookmarkEnd w:id="66"/>
      <w:bookmarkEnd w:id="67"/>
      <w:bookmarkEnd w:id="68"/>
      <w:bookmarkEnd w:id="69"/>
      <w:r w:rsidRPr="001F0479">
        <w:rPr>
          <w:rFonts w:cs="Arial"/>
          <w:color w:val="auto"/>
          <w:sz w:val="24"/>
          <w:szCs w:val="24"/>
        </w:rPr>
        <w:t>SOUMISSION DES PROJETS</w:t>
      </w:r>
      <w:bookmarkEnd w:id="70"/>
      <w:bookmarkEnd w:id="71"/>
      <w:bookmarkEnd w:id="72"/>
      <w:bookmarkEnd w:id="73"/>
      <w:bookmarkEnd w:id="74"/>
    </w:p>
    <w:p w14:paraId="66CDB54A" w14:textId="77777777" w:rsidR="000726C7" w:rsidRPr="001F0479" w:rsidRDefault="000726C7" w:rsidP="000726C7">
      <w:pPr>
        <w:pStyle w:val="Normal11"/>
        <w:spacing w:before="240" w:after="120" w:line="276" w:lineRule="auto"/>
        <w:rPr>
          <w:b/>
          <w:sz w:val="22"/>
          <w:szCs w:val="22"/>
          <w:u w:val="single"/>
        </w:rPr>
      </w:pPr>
      <w:r w:rsidRPr="001F0479">
        <w:rPr>
          <w:b/>
          <w:sz w:val="22"/>
          <w:szCs w:val="22"/>
          <w:u w:val="single"/>
        </w:rPr>
        <w:t>Dossier de candidature</w:t>
      </w:r>
    </w:p>
    <w:p w14:paraId="7CB0BAEF" w14:textId="77777777" w:rsidR="000726C7" w:rsidRPr="001F0479" w:rsidRDefault="000726C7" w:rsidP="000726C7">
      <w:pPr>
        <w:pStyle w:val="Normal11"/>
        <w:spacing w:before="120" w:after="120" w:line="276" w:lineRule="auto"/>
        <w:jc w:val="both"/>
        <w:rPr>
          <w:sz w:val="22"/>
          <w:szCs w:val="22"/>
        </w:rPr>
      </w:pPr>
      <w:r w:rsidRPr="001F0479">
        <w:rPr>
          <w:sz w:val="22"/>
          <w:szCs w:val="22"/>
        </w:rPr>
        <w:t>L’ensemble des modèles de document et le dossier de candidature sont à télécharger sur le site de l’ADEME. Le dossier de candidature est notamment composé des éléments suivants :</w:t>
      </w:r>
    </w:p>
    <w:p w14:paraId="230067F9" w14:textId="77777777" w:rsidR="000726C7" w:rsidRPr="001F0479" w:rsidRDefault="000726C7" w:rsidP="000726C7">
      <w:pPr>
        <w:pStyle w:val="Paragraphedeliste"/>
        <w:spacing w:before="120" w:after="120" w:line="276" w:lineRule="auto"/>
        <w:ind w:left="0"/>
        <w:jc w:val="both"/>
        <w:rPr>
          <w:rFonts w:ascii="Arial" w:hAnsi="Arial" w:cs="Arial"/>
          <w:sz w:val="22"/>
        </w:rPr>
      </w:pPr>
      <w:r w:rsidRPr="001F0479">
        <w:rPr>
          <w:rFonts w:ascii="Arial" w:hAnsi="Arial" w:cs="Arial"/>
          <w:b/>
          <w:sz w:val="22"/>
        </w:rPr>
        <w:t>ANNEXE 1 : Un document au format Word comprenant</w:t>
      </w:r>
    </w:p>
    <w:p w14:paraId="61A18CC1" w14:textId="77777777" w:rsidR="000726C7" w:rsidRPr="001F0479" w:rsidRDefault="000726C7" w:rsidP="000726C7">
      <w:pPr>
        <w:pStyle w:val="Paragraphedeliste"/>
        <w:keepNext/>
        <w:numPr>
          <w:ilvl w:val="0"/>
          <w:numId w:val="5"/>
        </w:numPr>
        <w:spacing w:line="276" w:lineRule="auto"/>
        <w:ind w:left="714" w:hanging="357"/>
        <w:jc w:val="both"/>
        <w:rPr>
          <w:rFonts w:ascii="Arial" w:hAnsi="Arial" w:cs="Arial"/>
          <w:sz w:val="22"/>
        </w:rPr>
      </w:pPr>
      <w:r w:rsidRPr="001F0479">
        <w:rPr>
          <w:rFonts w:ascii="Arial" w:hAnsi="Arial" w:cs="Arial"/>
          <w:sz w:val="22"/>
        </w:rPr>
        <w:t>la présentation de l’entreprise (Partie 1 sur 10 pages maximum) ;</w:t>
      </w:r>
    </w:p>
    <w:p w14:paraId="0DA1A507" w14:textId="77777777" w:rsidR="000726C7" w:rsidRPr="001F0479" w:rsidRDefault="000726C7" w:rsidP="000726C7">
      <w:pPr>
        <w:pStyle w:val="Paragraphedeliste"/>
        <w:keepNext/>
        <w:numPr>
          <w:ilvl w:val="0"/>
          <w:numId w:val="5"/>
        </w:numPr>
        <w:spacing w:line="276" w:lineRule="auto"/>
        <w:ind w:left="714" w:hanging="357"/>
        <w:jc w:val="both"/>
        <w:rPr>
          <w:rFonts w:ascii="Arial" w:hAnsi="Arial" w:cs="Arial"/>
          <w:sz w:val="22"/>
        </w:rPr>
      </w:pPr>
      <w:r w:rsidRPr="001F0479">
        <w:rPr>
          <w:rFonts w:ascii="Arial" w:hAnsi="Arial" w:cs="Arial"/>
          <w:sz w:val="22"/>
        </w:rPr>
        <w:t>la présentation du projet (Partie 2 sur 20 pages maximum) ;</w:t>
      </w:r>
    </w:p>
    <w:p w14:paraId="0D44BA03" w14:textId="77777777" w:rsidR="000726C7" w:rsidRPr="001F0479" w:rsidRDefault="000726C7" w:rsidP="000726C7">
      <w:pPr>
        <w:pStyle w:val="Paragraphedeliste"/>
        <w:keepNext/>
        <w:numPr>
          <w:ilvl w:val="0"/>
          <w:numId w:val="5"/>
        </w:numPr>
        <w:spacing w:line="276" w:lineRule="auto"/>
        <w:ind w:left="714" w:hanging="357"/>
        <w:jc w:val="both"/>
        <w:rPr>
          <w:rFonts w:ascii="Arial" w:hAnsi="Arial" w:cs="Arial"/>
          <w:sz w:val="22"/>
        </w:rPr>
      </w:pPr>
      <w:r w:rsidRPr="001F0479">
        <w:rPr>
          <w:rFonts w:ascii="Arial" w:hAnsi="Arial" w:cs="Arial"/>
          <w:sz w:val="22"/>
        </w:rPr>
        <w:t>pour les projets présentant un coût total supérieur ou égal à 1 M€ : la description détaillée des tâches (une fiche par tâche).</w:t>
      </w:r>
    </w:p>
    <w:p w14:paraId="20A0CEF9" w14:textId="77777777" w:rsidR="000726C7" w:rsidRPr="001F0479" w:rsidRDefault="000726C7" w:rsidP="000726C7">
      <w:pPr>
        <w:pStyle w:val="Paragraphedeliste"/>
        <w:spacing w:before="120" w:after="120" w:line="276" w:lineRule="auto"/>
        <w:ind w:left="0"/>
        <w:jc w:val="both"/>
        <w:rPr>
          <w:rFonts w:ascii="Arial" w:hAnsi="Arial" w:cs="Arial"/>
          <w:b/>
          <w:sz w:val="22"/>
        </w:rPr>
      </w:pPr>
      <w:r w:rsidRPr="001F0479">
        <w:rPr>
          <w:rFonts w:ascii="Arial" w:hAnsi="Arial" w:cs="Arial"/>
          <w:b/>
          <w:sz w:val="22"/>
        </w:rPr>
        <w:t>ANNEXE 2 : Un tableur au format Excel comprenant </w:t>
      </w:r>
    </w:p>
    <w:p w14:paraId="5430DDAE" w14:textId="77777777" w:rsidR="000726C7" w:rsidRPr="001F0479" w:rsidRDefault="000726C7" w:rsidP="000726C7">
      <w:pPr>
        <w:pStyle w:val="Paragraphedeliste"/>
        <w:numPr>
          <w:ilvl w:val="0"/>
          <w:numId w:val="7"/>
        </w:numPr>
        <w:spacing w:line="276" w:lineRule="auto"/>
        <w:jc w:val="both"/>
        <w:rPr>
          <w:rFonts w:ascii="Arial" w:hAnsi="Arial" w:cs="Arial"/>
          <w:sz w:val="22"/>
        </w:rPr>
      </w:pPr>
      <w:r w:rsidRPr="001F0479">
        <w:rPr>
          <w:rFonts w:ascii="Arial" w:hAnsi="Arial" w:cs="Arial"/>
          <w:sz w:val="22"/>
        </w:rPr>
        <w:t>un ensemble de données financières concernant le projet et l’entreprise ;</w:t>
      </w:r>
    </w:p>
    <w:p w14:paraId="71B53107" w14:textId="77777777" w:rsidR="000726C7" w:rsidRPr="001F0479" w:rsidRDefault="000726C7" w:rsidP="000726C7">
      <w:pPr>
        <w:pStyle w:val="Paragraphedeliste"/>
        <w:numPr>
          <w:ilvl w:val="0"/>
          <w:numId w:val="7"/>
        </w:numPr>
        <w:spacing w:after="240" w:line="276" w:lineRule="auto"/>
        <w:jc w:val="both"/>
        <w:rPr>
          <w:rFonts w:ascii="Arial" w:hAnsi="Arial" w:cs="Arial"/>
          <w:sz w:val="22"/>
        </w:rPr>
      </w:pPr>
      <w:r w:rsidRPr="001F0479">
        <w:rPr>
          <w:rFonts w:ascii="Arial" w:hAnsi="Arial" w:cs="Arial"/>
          <w:sz w:val="22"/>
        </w:rPr>
        <w:t>la fiche de demande d’aide (onglet 1), à signer.</w:t>
      </w:r>
    </w:p>
    <w:p w14:paraId="4F26CB0F" w14:textId="77777777" w:rsidR="000726C7" w:rsidRPr="001F0479" w:rsidRDefault="000726C7" w:rsidP="000726C7">
      <w:pPr>
        <w:pStyle w:val="Paragraphedeliste"/>
        <w:spacing w:before="120" w:after="120" w:line="276" w:lineRule="auto"/>
        <w:ind w:left="0"/>
        <w:jc w:val="both"/>
        <w:rPr>
          <w:rFonts w:ascii="Arial" w:hAnsi="Arial" w:cs="Arial"/>
          <w:b/>
          <w:sz w:val="22"/>
        </w:rPr>
      </w:pPr>
      <w:r w:rsidRPr="001F0479">
        <w:rPr>
          <w:rFonts w:ascii="Arial" w:hAnsi="Arial" w:cs="Arial"/>
          <w:b/>
          <w:sz w:val="22"/>
        </w:rPr>
        <w:t xml:space="preserve">ANNEXE 3 : Une présentation du projet sous forme de diapositives </w:t>
      </w:r>
      <w:r w:rsidRPr="001F0479">
        <w:rPr>
          <w:rFonts w:ascii="Arial" w:hAnsi="Arial" w:cs="Arial"/>
          <w:sz w:val="22"/>
        </w:rPr>
        <w:t>(format libre, 20 diapositives maximum)</w:t>
      </w:r>
    </w:p>
    <w:p w14:paraId="1E48DF7C" w14:textId="77777777" w:rsidR="000726C7" w:rsidRPr="001F0479" w:rsidRDefault="000726C7" w:rsidP="000726C7">
      <w:pPr>
        <w:pStyle w:val="Paragraphedeliste"/>
        <w:spacing w:before="120" w:after="120" w:line="276" w:lineRule="auto"/>
        <w:ind w:left="0"/>
        <w:jc w:val="both"/>
        <w:rPr>
          <w:rFonts w:ascii="Arial" w:hAnsi="Arial" w:cs="Arial"/>
          <w:b/>
          <w:sz w:val="22"/>
        </w:rPr>
      </w:pPr>
      <w:r w:rsidRPr="001F0479">
        <w:rPr>
          <w:rFonts w:ascii="Arial" w:hAnsi="Arial" w:cs="Arial"/>
          <w:b/>
          <w:sz w:val="22"/>
        </w:rPr>
        <w:t>ANNEXE 4 : Fiche communication du projet en une page (document Word)</w:t>
      </w:r>
    </w:p>
    <w:p w14:paraId="6CB25423" w14:textId="77777777" w:rsidR="000726C7" w:rsidRPr="001F0479" w:rsidRDefault="000726C7" w:rsidP="000726C7">
      <w:pPr>
        <w:pStyle w:val="Paragraphedeliste"/>
        <w:spacing w:before="120" w:after="120" w:line="276" w:lineRule="auto"/>
        <w:ind w:left="0"/>
        <w:jc w:val="both"/>
        <w:rPr>
          <w:rFonts w:ascii="Arial" w:hAnsi="Arial" w:cs="Arial"/>
          <w:b/>
          <w:sz w:val="22"/>
        </w:rPr>
      </w:pPr>
      <w:r w:rsidRPr="001F0479">
        <w:rPr>
          <w:rFonts w:ascii="Arial" w:hAnsi="Arial" w:cs="Arial"/>
          <w:b/>
          <w:sz w:val="22"/>
        </w:rPr>
        <w:t>ANNEXE 5 : Déclarations</w:t>
      </w:r>
    </w:p>
    <w:p w14:paraId="1052B67B" w14:textId="77777777" w:rsidR="000726C7" w:rsidRPr="001F0479" w:rsidRDefault="000726C7" w:rsidP="000726C7">
      <w:pPr>
        <w:pStyle w:val="Paragraphedeliste"/>
        <w:spacing w:before="120" w:after="120" w:line="276" w:lineRule="auto"/>
        <w:ind w:left="0"/>
        <w:jc w:val="both"/>
        <w:rPr>
          <w:rFonts w:ascii="Arial" w:hAnsi="Arial" w:cs="Arial"/>
          <w:b/>
          <w:sz w:val="22"/>
        </w:rPr>
      </w:pPr>
      <w:r w:rsidRPr="001F0479">
        <w:rPr>
          <w:rFonts w:ascii="Arial" w:hAnsi="Arial" w:cs="Arial"/>
          <w:b/>
          <w:sz w:val="22"/>
        </w:rPr>
        <w:t>ANNEXE 6 : Attestation de santé financière</w:t>
      </w:r>
    </w:p>
    <w:p w14:paraId="502F5896" w14:textId="77777777" w:rsidR="000726C7" w:rsidRPr="001F0479" w:rsidRDefault="000726C7" w:rsidP="000726C7">
      <w:pPr>
        <w:pStyle w:val="Paragraphedeliste"/>
        <w:spacing w:before="120" w:after="120" w:line="276" w:lineRule="auto"/>
        <w:ind w:left="0"/>
        <w:jc w:val="both"/>
        <w:rPr>
          <w:rFonts w:ascii="Arial" w:hAnsi="Arial" w:cs="Arial"/>
          <w:b/>
          <w:sz w:val="22"/>
        </w:rPr>
      </w:pPr>
      <w:r w:rsidRPr="001F0479">
        <w:rPr>
          <w:rFonts w:ascii="Arial" w:hAnsi="Arial" w:cs="Arial"/>
          <w:b/>
          <w:sz w:val="22"/>
        </w:rPr>
        <w:t>ANNEXE 7 : Grille d’impacts</w:t>
      </w:r>
    </w:p>
    <w:p w14:paraId="43664C68" w14:textId="77777777" w:rsidR="000726C7" w:rsidRPr="001F0479" w:rsidRDefault="000726C7" w:rsidP="000726C7">
      <w:pPr>
        <w:pStyle w:val="Paragraphedeliste"/>
        <w:spacing w:before="120" w:after="120" w:line="276" w:lineRule="auto"/>
        <w:ind w:left="0"/>
        <w:jc w:val="both"/>
        <w:rPr>
          <w:rFonts w:ascii="Arial" w:hAnsi="Arial" w:cs="Arial"/>
          <w:b/>
          <w:sz w:val="22"/>
        </w:rPr>
      </w:pPr>
    </w:p>
    <w:p w14:paraId="468E0A6C" w14:textId="77777777" w:rsidR="000726C7" w:rsidRPr="001F0479" w:rsidRDefault="000726C7" w:rsidP="000726C7">
      <w:pPr>
        <w:pStyle w:val="Paragraphedeliste"/>
        <w:spacing w:before="120" w:line="276" w:lineRule="auto"/>
        <w:ind w:left="0"/>
        <w:jc w:val="both"/>
        <w:rPr>
          <w:rFonts w:ascii="Arial" w:hAnsi="Arial" w:cs="Arial"/>
          <w:b/>
          <w:sz w:val="22"/>
        </w:rPr>
      </w:pPr>
      <w:r w:rsidRPr="001F0479">
        <w:rPr>
          <w:rFonts w:ascii="Arial" w:hAnsi="Arial" w:cs="Arial"/>
          <w:b/>
          <w:sz w:val="22"/>
        </w:rPr>
        <w:t>Et un ensemble de documents administratifs détaillés dans le dossier de candidature.</w:t>
      </w:r>
    </w:p>
    <w:p w14:paraId="5232A681" w14:textId="77777777" w:rsidR="000726C7" w:rsidRPr="001F0479" w:rsidRDefault="000726C7" w:rsidP="000726C7">
      <w:pPr>
        <w:pStyle w:val="Paragraphedeliste"/>
        <w:spacing w:before="120" w:line="276" w:lineRule="auto"/>
        <w:ind w:left="0"/>
        <w:jc w:val="both"/>
        <w:rPr>
          <w:rFonts w:ascii="Arial" w:hAnsi="Arial" w:cs="Arial"/>
          <w:b/>
          <w:sz w:val="22"/>
        </w:rPr>
      </w:pPr>
    </w:p>
    <w:p w14:paraId="7C2A7176" w14:textId="77777777" w:rsidR="000726C7" w:rsidRPr="001F0479" w:rsidRDefault="000726C7" w:rsidP="000726C7">
      <w:pPr>
        <w:pStyle w:val="Normal11"/>
        <w:spacing w:after="120" w:line="276" w:lineRule="auto"/>
        <w:jc w:val="both"/>
        <w:rPr>
          <w:sz w:val="22"/>
          <w:szCs w:val="22"/>
        </w:rPr>
      </w:pPr>
      <w:r w:rsidRPr="001F0479">
        <w:rPr>
          <w:sz w:val="22"/>
          <w:szCs w:val="22"/>
        </w:rPr>
        <w:t>Une attention particulière doit être apportée à la qualité de rédaction du dossier et à sa clarté. Le dossier de candidature doit comporter suffisamment de détails et de justifications pour permettre d’évaluer les aspects techniques et scientifiques, ainsi que les perspectives industrielles et commerciales. Si le projet valorise une innovation développée avec un laboratoire public, il conviendra de l’indiquer.</w:t>
      </w:r>
    </w:p>
    <w:p w14:paraId="034FAA77" w14:textId="77777777" w:rsidR="000726C7" w:rsidRPr="001F0479" w:rsidRDefault="000726C7" w:rsidP="000726C7">
      <w:pPr>
        <w:pStyle w:val="Normal11"/>
        <w:spacing w:before="240" w:after="120" w:line="276" w:lineRule="auto"/>
        <w:rPr>
          <w:sz w:val="22"/>
          <w:szCs w:val="22"/>
        </w:rPr>
      </w:pPr>
      <w:r w:rsidRPr="001F0479">
        <w:rPr>
          <w:sz w:val="22"/>
          <w:szCs w:val="22"/>
        </w:rPr>
        <w:t>Les dossiers arrivés après la date de clôture ainsi que les dossiers incomplets ne sont pas recevables.</w:t>
      </w:r>
      <w:bookmarkStart w:id="75" w:name="_Toc532832105"/>
      <w:bookmarkStart w:id="76" w:name="_Toc533005107"/>
      <w:bookmarkStart w:id="77" w:name="_Toc532832106"/>
      <w:bookmarkStart w:id="78" w:name="_Toc533005108"/>
      <w:bookmarkStart w:id="79" w:name="_Toc532832107"/>
      <w:bookmarkStart w:id="80" w:name="_Toc533005109"/>
      <w:bookmarkEnd w:id="75"/>
      <w:bookmarkEnd w:id="76"/>
      <w:bookmarkEnd w:id="77"/>
      <w:bookmarkEnd w:id="78"/>
      <w:bookmarkEnd w:id="79"/>
      <w:bookmarkEnd w:id="80"/>
    </w:p>
    <w:p w14:paraId="224B4E9B" w14:textId="77777777" w:rsidR="000726C7" w:rsidRPr="001F0479" w:rsidRDefault="000726C7" w:rsidP="000726C7">
      <w:pPr>
        <w:pStyle w:val="Normal11"/>
        <w:spacing w:before="240" w:after="120" w:line="276" w:lineRule="auto"/>
        <w:rPr>
          <w:b/>
          <w:sz w:val="22"/>
          <w:szCs w:val="22"/>
          <w:u w:val="single"/>
        </w:rPr>
      </w:pPr>
      <w:r w:rsidRPr="001F0479">
        <w:rPr>
          <w:b/>
          <w:sz w:val="22"/>
          <w:szCs w:val="22"/>
          <w:u w:val="single"/>
        </w:rPr>
        <w:t>Critères de performance environnementale</w:t>
      </w:r>
    </w:p>
    <w:p w14:paraId="3E134CB4" w14:textId="77777777" w:rsidR="000726C7" w:rsidRPr="001F0479" w:rsidRDefault="000726C7" w:rsidP="000726C7">
      <w:pPr>
        <w:pStyle w:val="Normal11"/>
        <w:spacing w:after="120" w:line="276" w:lineRule="auto"/>
        <w:jc w:val="both"/>
      </w:pPr>
      <w:r w:rsidRPr="001F0479">
        <w:rPr>
          <w:sz w:val="22"/>
          <w:szCs w:val="22"/>
        </w:rPr>
        <w:t>Les projets causant un préjudice important du point de vue de l’environnement seront exclus (application du principe DNSH – Do No Significant Harm ou « absence de préjudice important ») au sens de l’article 17 du règlement européen sur la taxonomie.</w:t>
      </w:r>
    </w:p>
    <w:p w14:paraId="05726F4F" w14:textId="77777777" w:rsidR="000726C7" w:rsidRPr="001F0479" w:rsidRDefault="000726C7" w:rsidP="000726C7">
      <w:pPr>
        <w:pStyle w:val="Normal11"/>
        <w:spacing w:after="120" w:line="276" w:lineRule="auto"/>
        <w:jc w:val="both"/>
        <w:rPr>
          <w:sz w:val="22"/>
          <w:szCs w:val="22"/>
        </w:rPr>
      </w:pPr>
      <w:r w:rsidRPr="001F0479">
        <w:rPr>
          <w:sz w:val="22"/>
          <w:szCs w:val="22"/>
        </w:rPr>
        <w:t>En créant un langage commun et une définition claire de ce qui est « durable », la taxonomie est destinée à limiter les risques d’écoblanchiment (ou "greenwashing") et de distorsion de concurrence, et à faciliter la transformation de l’économie vers une durabilité environnementale accrue. Ainsi, la taxonomie définit la durabilité au regard des six objectifs environnementaux suivants :</w:t>
      </w:r>
    </w:p>
    <w:p w14:paraId="1224DBFB" w14:textId="77777777" w:rsidR="000726C7" w:rsidRPr="001F0479" w:rsidRDefault="000726C7" w:rsidP="000726C7">
      <w:pPr>
        <w:pStyle w:val="Pucesbleus"/>
        <w:ind w:left="567" w:hanging="360"/>
        <w:rPr>
          <w:rFonts w:ascii="Arial" w:hAnsi="Arial" w:cs="Arial"/>
          <w:sz w:val="22"/>
        </w:rPr>
      </w:pPr>
      <w:r w:rsidRPr="001F0479">
        <w:rPr>
          <w:rFonts w:ascii="Arial" w:hAnsi="Arial" w:cs="Arial"/>
          <w:sz w:val="22"/>
        </w:rPr>
        <w:t>l’atténuation du changement climatique ;</w:t>
      </w:r>
    </w:p>
    <w:p w14:paraId="2B17DB17" w14:textId="77777777" w:rsidR="000726C7" w:rsidRPr="001F0479" w:rsidRDefault="000726C7" w:rsidP="000726C7">
      <w:pPr>
        <w:pStyle w:val="Pucesbleus"/>
        <w:ind w:left="567" w:hanging="360"/>
        <w:rPr>
          <w:rFonts w:ascii="Arial" w:hAnsi="Arial" w:cs="Arial"/>
          <w:sz w:val="22"/>
        </w:rPr>
      </w:pPr>
      <w:r w:rsidRPr="001F0479">
        <w:rPr>
          <w:rFonts w:ascii="Arial" w:hAnsi="Arial" w:cs="Arial"/>
          <w:sz w:val="22"/>
        </w:rPr>
        <w:t>l’adaptation au changement climatique ;</w:t>
      </w:r>
    </w:p>
    <w:p w14:paraId="4D3CCFF4" w14:textId="77777777" w:rsidR="000726C7" w:rsidRPr="001F0479" w:rsidRDefault="000726C7" w:rsidP="000726C7">
      <w:pPr>
        <w:pStyle w:val="Pucesbleus"/>
        <w:ind w:left="567" w:hanging="360"/>
        <w:rPr>
          <w:rFonts w:ascii="Arial" w:hAnsi="Arial" w:cs="Arial"/>
          <w:sz w:val="22"/>
        </w:rPr>
      </w:pPr>
      <w:r w:rsidRPr="001F0479">
        <w:rPr>
          <w:rFonts w:ascii="Arial" w:hAnsi="Arial" w:cs="Arial"/>
          <w:sz w:val="22"/>
        </w:rPr>
        <w:t>l’utilisation durable et la protection des ressources aquatiques et marines ;</w:t>
      </w:r>
    </w:p>
    <w:p w14:paraId="3102B23C" w14:textId="77777777" w:rsidR="000726C7" w:rsidRPr="001F0479" w:rsidRDefault="000726C7" w:rsidP="000726C7">
      <w:pPr>
        <w:pStyle w:val="Pucesbleus"/>
        <w:ind w:left="567" w:hanging="360"/>
        <w:rPr>
          <w:rFonts w:ascii="Arial" w:hAnsi="Arial" w:cs="Arial"/>
          <w:sz w:val="22"/>
        </w:rPr>
      </w:pPr>
      <w:r w:rsidRPr="001F0479">
        <w:rPr>
          <w:rFonts w:ascii="Arial" w:hAnsi="Arial" w:cs="Arial"/>
          <w:sz w:val="22"/>
        </w:rPr>
        <w:t xml:space="preserve">la transition vers une économie circulaire ; </w:t>
      </w:r>
    </w:p>
    <w:p w14:paraId="4F7C8588" w14:textId="77777777" w:rsidR="000726C7" w:rsidRPr="001F0479" w:rsidRDefault="000726C7" w:rsidP="000726C7">
      <w:pPr>
        <w:pStyle w:val="Pucesbleus"/>
        <w:ind w:left="567" w:hanging="360"/>
        <w:rPr>
          <w:rFonts w:ascii="Arial" w:hAnsi="Arial" w:cs="Arial"/>
          <w:sz w:val="22"/>
        </w:rPr>
      </w:pPr>
      <w:r w:rsidRPr="001F0479">
        <w:rPr>
          <w:rFonts w:ascii="Arial" w:hAnsi="Arial" w:cs="Arial"/>
          <w:sz w:val="22"/>
        </w:rPr>
        <w:t xml:space="preserve">la prévention et la réduction de la pollution ; </w:t>
      </w:r>
    </w:p>
    <w:p w14:paraId="771B9529" w14:textId="77777777" w:rsidR="000726C7" w:rsidRPr="001F0479" w:rsidRDefault="000726C7" w:rsidP="000726C7">
      <w:pPr>
        <w:pStyle w:val="Pucesbleus"/>
        <w:ind w:left="567" w:hanging="360"/>
        <w:rPr>
          <w:rFonts w:ascii="Arial" w:hAnsi="Arial" w:cs="Arial"/>
          <w:sz w:val="22"/>
        </w:rPr>
      </w:pPr>
      <w:r w:rsidRPr="001F0479">
        <w:rPr>
          <w:rFonts w:ascii="Arial" w:hAnsi="Arial" w:cs="Arial"/>
          <w:sz w:val="22"/>
        </w:rPr>
        <w:t>la protection et la restauration de la biodiversité et des écosystèmes.</w:t>
      </w:r>
    </w:p>
    <w:p w14:paraId="78362F2A" w14:textId="77777777" w:rsidR="000726C7" w:rsidRPr="001F0479" w:rsidRDefault="000726C7" w:rsidP="000726C7">
      <w:pPr>
        <w:spacing w:line="208" w:lineRule="auto"/>
        <w:rPr>
          <w:rFonts w:ascii="Arial" w:hAnsi="Arial" w:cs="Arial"/>
        </w:rPr>
      </w:pPr>
    </w:p>
    <w:p w14:paraId="51BC6667" w14:textId="77777777" w:rsidR="000726C7" w:rsidRPr="001F0479" w:rsidRDefault="000726C7" w:rsidP="000726C7">
      <w:pPr>
        <w:pStyle w:val="Normal11"/>
        <w:spacing w:after="120" w:line="276" w:lineRule="auto"/>
        <w:jc w:val="both"/>
      </w:pPr>
      <w:r w:rsidRPr="001F0479">
        <w:rPr>
          <w:sz w:val="22"/>
          <w:szCs w:val="22"/>
        </w:rPr>
        <w:t>Pour l’évaluation technique de l’impact du projet vis-à-vis de chaque objectif environnemental, le déposant doit renseigner le document dédié disponible sur le site de l’appel à projets (dossier de candidature) et le joindre au dossier de candidature.</w:t>
      </w:r>
    </w:p>
    <w:p w14:paraId="43B158E8" w14:textId="77777777" w:rsidR="000726C7" w:rsidRPr="001F0479" w:rsidRDefault="000726C7" w:rsidP="000726C7">
      <w:pPr>
        <w:pStyle w:val="Normal11"/>
        <w:spacing w:after="120" w:line="276" w:lineRule="auto"/>
        <w:jc w:val="both"/>
        <w:rPr>
          <w:sz w:val="22"/>
          <w:szCs w:val="22"/>
        </w:rPr>
      </w:pPr>
      <w:r w:rsidRPr="001F0479">
        <w:rPr>
          <w:sz w:val="22"/>
          <w:szCs w:val="22"/>
        </w:rPr>
        <w:t>Il s’agira d’autoévaluer les im</w:t>
      </w:r>
      <w:bookmarkStart w:id="81" w:name="_GoBack"/>
      <w:r w:rsidRPr="001F0479">
        <w:rPr>
          <w:sz w:val="22"/>
          <w:szCs w:val="22"/>
        </w:rPr>
        <w:t>pac</w:t>
      </w:r>
      <w:bookmarkEnd w:id="81"/>
      <w:r w:rsidRPr="001F0479">
        <w:rPr>
          <w:sz w:val="22"/>
          <w:szCs w:val="22"/>
        </w:rPr>
        <w:t>ts prévisibles de la solution proposée (faisant l’objet de l’aide) par rapport à une solution de référence pertinente, explicite et argumentée. Cette analyse tient compte du cycle de vie des process et du ou des produits ou livrables du projet, suivant les usages qui en sont faits. En tant que de besoin, ces estimations pourront être étayées par des analyses en cycle de vie plus complètes.</w:t>
      </w:r>
    </w:p>
    <w:p w14:paraId="05AC8DCF" w14:textId="77777777" w:rsidR="000726C7" w:rsidRPr="001F0479" w:rsidRDefault="000726C7" w:rsidP="000726C7">
      <w:pPr>
        <w:pStyle w:val="Normal11"/>
        <w:spacing w:before="240" w:after="120" w:line="276" w:lineRule="auto"/>
        <w:rPr>
          <w:b/>
          <w:sz w:val="22"/>
          <w:szCs w:val="22"/>
          <w:u w:val="single"/>
        </w:rPr>
      </w:pPr>
      <w:r w:rsidRPr="001F0479">
        <w:rPr>
          <w:sz w:val="22"/>
          <w:szCs w:val="22"/>
        </w:rPr>
        <w:br w:type="page"/>
      </w:r>
      <w:r w:rsidRPr="001F0479">
        <w:rPr>
          <w:b/>
          <w:sz w:val="22"/>
          <w:szCs w:val="22"/>
          <w:u w:val="single"/>
        </w:rPr>
        <w:t>Dépôt des projets</w:t>
      </w:r>
    </w:p>
    <w:p w14:paraId="47C8E34A" w14:textId="77777777" w:rsidR="000726C7" w:rsidRPr="001F0479" w:rsidRDefault="000726C7" w:rsidP="000726C7">
      <w:pPr>
        <w:pStyle w:val="Normal11"/>
        <w:spacing w:after="0"/>
        <w:rPr>
          <w:b/>
          <w:sz w:val="22"/>
          <w:szCs w:val="22"/>
          <w:u w:val="single"/>
        </w:rPr>
      </w:pPr>
    </w:p>
    <w:p w14:paraId="53F60EDA" w14:textId="77777777" w:rsidR="008F1CF4" w:rsidRDefault="000726C7" w:rsidP="000726C7">
      <w:pPr>
        <w:pStyle w:val="Normal11"/>
        <w:spacing w:before="120" w:after="120" w:line="276" w:lineRule="auto"/>
        <w:jc w:val="both"/>
        <w:rPr>
          <w:sz w:val="22"/>
          <w:szCs w:val="22"/>
        </w:rPr>
      </w:pPr>
      <w:r w:rsidRPr="001F0479">
        <w:rPr>
          <w:sz w:val="22"/>
          <w:szCs w:val="22"/>
        </w:rPr>
        <w:t xml:space="preserve">Les projets répondant aux thématiques opérées par l’ADEME sont à </w:t>
      </w:r>
      <w:r w:rsidRPr="001F0479">
        <w:rPr>
          <w:sz w:val="22"/>
          <w:szCs w:val="22"/>
          <w:lang w:eastAsia="fr-FR"/>
        </w:rPr>
        <w:t xml:space="preserve">adresser </w:t>
      </w:r>
      <w:r w:rsidRPr="001F0479">
        <w:rPr>
          <w:b/>
          <w:sz w:val="22"/>
          <w:szCs w:val="22"/>
          <w:lang w:eastAsia="fr-FR"/>
        </w:rPr>
        <w:t>uniquement</w:t>
      </w:r>
      <w:r w:rsidRPr="001F0479">
        <w:rPr>
          <w:sz w:val="22"/>
          <w:szCs w:val="22"/>
          <w:lang w:eastAsia="fr-FR"/>
        </w:rPr>
        <w:t xml:space="preserve"> sous forme électronique via la plateforme de dépôt ADEME</w:t>
      </w:r>
      <w:r w:rsidRPr="001F0479">
        <w:rPr>
          <w:sz w:val="22"/>
          <w:szCs w:val="22"/>
        </w:rPr>
        <w:t> :</w:t>
      </w:r>
    </w:p>
    <w:p w14:paraId="00C4645B" w14:textId="449A05E5" w:rsidR="000726C7" w:rsidRPr="001F0479" w:rsidRDefault="003B4F4C" w:rsidP="000726C7">
      <w:pPr>
        <w:pStyle w:val="Normal11"/>
        <w:spacing w:before="120" w:after="120" w:line="276" w:lineRule="auto"/>
        <w:jc w:val="both"/>
        <w:rPr>
          <w:sz w:val="22"/>
          <w:szCs w:val="22"/>
        </w:rPr>
      </w:pPr>
      <w:hyperlink r:id="rId11" w:history="1">
        <w:r w:rsidR="000726C7" w:rsidRPr="001F0479">
          <w:rPr>
            <w:rStyle w:val="Lienhypertexte"/>
            <w:b/>
            <w:bCs/>
            <w:i/>
            <w:iCs/>
            <w:sz w:val="22"/>
            <w:szCs w:val="22"/>
          </w:rPr>
          <w:t>https://agirpourlatransition.ademe.fr/entreprises/</w:t>
        </w:r>
      </w:hyperlink>
      <w:r w:rsidR="000726C7" w:rsidRPr="001F0479">
        <w:rPr>
          <w:rStyle w:val="LienInternet"/>
          <w:b/>
          <w:bCs/>
          <w:i/>
          <w:iCs/>
          <w:sz w:val="22"/>
          <w:szCs w:val="22"/>
          <w:lang w:eastAsia="fr-FR"/>
        </w:rPr>
        <w:t xml:space="preserve"> </w:t>
      </w:r>
      <w:r w:rsidR="000726C7" w:rsidRPr="001F0479">
        <w:rPr>
          <w:sz w:val="22"/>
          <w:szCs w:val="22"/>
          <w:lang w:eastAsia="fr-FR"/>
        </w:rPr>
        <w:t xml:space="preserve"> </w:t>
      </w:r>
      <w:r w:rsidR="000726C7" w:rsidRPr="001F0479">
        <w:rPr>
          <w:rStyle w:val="LienInternet"/>
          <w:b/>
          <w:bCs/>
          <w:i/>
          <w:iCs/>
          <w:sz w:val="22"/>
          <w:szCs w:val="22"/>
          <w:lang w:eastAsia="fr-FR"/>
        </w:rPr>
        <w:t xml:space="preserve"> </w:t>
      </w:r>
    </w:p>
    <w:p w14:paraId="4B22DA34" w14:textId="77777777" w:rsidR="008F1CF4" w:rsidRDefault="000726C7" w:rsidP="000726C7">
      <w:pPr>
        <w:pStyle w:val="Normal11"/>
        <w:spacing w:before="120" w:after="120" w:line="276" w:lineRule="auto"/>
        <w:jc w:val="both"/>
        <w:rPr>
          <w:sz w:val="22"/>
          <w:szCs w:val="22"/>
        </w:rPr>
      </w:pPr>
      <w:r w:rsidRPr="001F0479">
        <w:rPr>
          <w:sz w:val="22"/>
          <w:szCs w:val="22"/>
        </w:rPr>
        <w:t xml:space="preserve">L’ADEME est à la disposition des porteurs de projets pour toute question en amont de la soumission. </w:t>
      </w:r>
    </w:p>
    <w:p w14:paraId="094A9BB4" w14:textId="63E108FE" w:rsidR="000726C7" w:rsidRPr="001F0479" w:rsidRDefault="000726C7" w:rsidP="000726C7">
      <w:pPr>
        <w:pStyle w:val="Normal11"/>
        <w:spacing w:before="120" w:after="120" w:line="276" w:lineRule="auto"/>
        <w:jc w:val="both"/>
        <w:rPr>
          <w:sz w:val="22"/>
          <w:szCs w:val="22"/>
        </w:rPr>
      </w:pPr>
      <w:r w:rsidRPr="001F0479">
        <w:rPr>
          <w:sz w:val="22"/>
          <w:szCs w:val="22"/>
        </w:rPr>
        <w:t xml:space="preserve">Contact : </w:t>
      </w:r>
      <w:hyperlink r:id="rId12" w:history="1">
        <w:r w:rsidRPr="001F0479">
          <w:rPr>
            <w:rStyle w:val="Lienhypertexte"/>
            <w:sz w:val="22"/>
            <w:szCs w:val="22"/>
          </w:rPr>
          <w:t>aap.tase@ademe.fr</w:t>
        </w:r>
      </w:hyperlink>
    </w:p>
    <w:p w14:paraId="57ACC835" w14:textId="77777777" w:rsidR="008C794B" w:rsidRPr="001F0479" w:rsidRDefault="008C794B">
      <w:pPr>
        <w:rPr>
          <w:rFonts w:ascii="Arial" w:hAnsi="Arial" w:cs="Arial"/>
        </w:rPr>
      </w:pPr>
    </w:p>
    <w:sectPr w:rsidR="008C794B" w:rsidRPr="001F04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A9991" w14:textId="77777777" w:rsidR="000726C7" w:rsidRDefault="000726C7" w:rsidP="000726C7">
      <w:pPr>
        <w:spacing w:after="0" w:line="240" w:lineRule="auto"/>
      </w:pPr>
      <w:r>
        <w:separator/>
      </w:r>
    </w:p>
  </w:endnote>
  <w:endnote w:type="continuationSeparator" w:id="0">
    <w:p w14:paraId="527ADD51" w14:textId="77777777" w:rsidR="000726C7" w:rsidRDefault="000726C7" w:rsidP="00072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rianne">
    <w:panose1 w:val="02000000000000000000"/>
    <w:charset w:val="00"/>
    <w:family w:val="auto"/>
    <w:pitch w:val="variable"/>
    <w:sig w:usb0="0000000F"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9EE4F" w14:textId="77777777" w:rsidR="000726C7" w:rsidRDefault="000726C7" w:rsidP="000726C7">
      <w:pPr>
        <w:spacing w:after="0" w:line="240" w:lineRule="auto"/>
      </w:pPr>
      <w:r>
        <w:separator/>
      </w:r>
    </w:p>
  </w:footnote>
  <w:footnote w:type="continuationSeparator" w:id="0">
    <w:p w14:paraId="7ECC4A09" w14:textId="77777777" w:rsidR="000726C7" w:rsidRDefault="000726C7" w:rsidP="000726C7">
      <w:pPr>
        <w:spacing w:after="0" w:line="240" w:lineRule="auto"/>
      </w:pPr>
      <w:r>
        <w:continuationSeparator/>
      </w:r>
    </w:p>
  </w:footnote>
  <w:footnote w:id="1">
    <w:p w14:paraId="184BACA4" w14:textId="77777777" w:rsidR="000726C7" w:rsidRDefault="000726C7" w:rsidP="000726C7">
      <w:pPr>
        <w:pStyle w:val="Notedebasdepage"/>
      </w:pPr>
      <w:r>
        <w:rPr>
          <w:rStyle w:val="Appelnotedebasdep"/>
          <w:sz w:val="18"/>
          <w:szCs w:val="18"/>
        </w:rPr>
        <w:footnoteRef/>
      </w:r>
      <w:r>
        <w:rPr>
          <w:sz w:val="18"/>
          <w:szCs w:val="18"/>
        </w:rPr>
        <w:t xml:space="preserve"> Le montant des capitaux propres est défini comme la somme exclusive des capitaux propres (ligne DL au passif du bilan), des produits des émissions de titres participatifs (ligne DM au passif du bilan) et des comptes courants d’associés bloqués sur toute la durée du projet. </w:t>
      </w:r>
    </w:p>
  </w:footnote>
  <w:footnote w:id="2">
    <w:p w14:paraId="2A2AD9D5" w14:textId="77777777" w:rsidR="000726C7" w:rsidRDefault="000726C7" w:rsidP="000726C7">
      <w:pPr>
        <w:pStyle w:val="Notedebasdepage"/>
      </w:pPr>
      <w:r>
        <w:rPr>
          <w:sz w:val="18"/>
          <w:vertAlign w:val="superscript"/>
        </w:rPr>
        <w:footnoteRef/>
      </w:r>
      <w:r>
        <w:rPr>
          <w:sz w:val="18"/>
        </w:rPr>
        <w:t xml:space="preserve"> Les frais connexes sont les dépenses qui concourent à la réalisation du projet sans toutefois pouvoir être directement attribués à celui-ci. Le montant forfaitaire de ces dépenses est égal à 20 % des salaires de personnel internes.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C0709"/>
    <w:multiLevelType w:val="hybridMultilevel"/>
    <w:tmpl w:val="2256ABF0"/>
    <w:lvl w:ilvl="0" w:tplc="BABEA550">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BD97FC8"/>
    <w:multiLevelType w:val="hybridMultilevel"/>
    <w:tmpl w:val="880E107A"/>
    <w:lvl w:ilvl="0" w:tplc="C470729E">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A44DD2"/>
    <w:multiLevelType w:val="multilevel"/>
    <w:tmpl w:val="6C462982"/>
    <w:lvl w:ilvl="0">
      <w:start w:val="1"/>
      <w:numFmt w:val="bullet"/>
      <w:lvlText w:val=""/>
      <w:lvlJc w:val="left"/>
      <w:pPr>
        <w:ind w:left="1440" w:hanging="360"/>
      </w:pPr>
      <w:rPr>
        <w:rFonts w:ascii="Symbol" w:hAnsi="Symbol" w:cs="Symbol" w:hint="default"/>
        <w:b/>
        <w:sz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b/>
        <w:sz w:val="22"/>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b/>
        <w:sz w:val="22"/>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 w15:restartNumberingAfterBreak="0">
    <w:nsid w:val="3CB0738B"/>
    <w:multiLevelType w:val="multilevel"/>
    <w:tmpl w:val="EAAA21E6"/>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E200478"/>
    <w:multiLevelType w:val="multilevel"/>
    <w:tmpl w:val="61C43A40"/>
    <w:lvl w:ilvl="0">
      <w:start w:val="1"/>
      <w:numFmt w:val="bullet"/>
      <w:lvlText w:val="o"/>
      <w:lvlJc w:val="left"/>
      <w:pPr>
        <w:ind w:left="1069" w:hanging="360"/>
      </w:pPr>
      <w:rPr>
        <w:rFonts w:ascii="Courier New" w:hAnsi="Courier New" w:cs="Courier New" w:hint="default"/>
        <w:sz w:val="22"/>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abstractNum w:abstractNumId="5" w15:restartNumberingAfterBreak="0">
    <w:nsid w:val="42142F80"/>
    <w:multiLevelType w:val="multilevel"/>
    <w:tmpl w:val="D6202046"/>
    <w:lvl w:ilvl="0">
      <w:start w:val="1"/>
      <w:numFmt w:val="decimal"/>
      <w:lvlText w:val="%1."/>
      <w:lvlJc w:val="left"/>
      <w:pPr>
        <w:ind w:left="720" w:hanging="360"/>
      </w:pPr>
      <w:rPr>
        <w:rFonts w:ascii="Arial" w:hAnsi="Arial" w:cs="Arial"/>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972BA0"/>
    <w:multiLevelType w:val="hybridMultilevel"/>
    <w:tmpl w:val="C29681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46B5FA2"/>
    <w:multiLevelType w:val="multilevel"/>
    <w:tmpl w:val="D6202046"/>
    <w:lvl w:ilvl="0">
      <w:start w:val="1"/>
      <w:numFmt w:val="decimal"/>
      <w:lvlText w:val="%1."/>
      <w:lvlJc w:val="left"/>
      <w:pPr>
        <w:ind w:left="720" w:hanging="360"/>
      </w:pPr>
      <w:rPr>
        <w:rFonts w:ascii="Arial" w:hAnsi="Arial" w:cs="Arial"/>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B023102"/>
    <w:multiLevelType w:val="hybridMultilevel"/>
    <w:tmpl w:val="FE76A3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BA3104D"/>
    <w:multiLevelType w:val="hybridMultilevel"/>
    <w:tmpl w:val="0BAAFA62"/>
    <w:lvl w:ilvl="0" w:tplc="1018BD4E">
      <w:start w:val="1"/>
      <w:numFmt w:val="bullet"/>
      <w:pStyle w:val="Pucesbleus"/>
      <w:lvlText w:val=""/>
      <w:lvlJc w:val="left"/>
      <w:pPr>
        <w:ind w:left="1557" w:hanging="360"/>
      </w:pPr>
      <w:rPr>
        <w:rFonts w:ascii="Wingdings" w:hAnsi="Wingdings" w:hint="default"/>
        <w:color w:val="000091"/>
        <w:sz w:val="20"/>
      </w:rPr>
    </w:lvl>
    <w:lvl w:ilvl="1" w:tplc="040C0003" w:tentative="1">
      <w:start w:val="1"/>
      <w:numFmt w:val="bullet"/>
      <w:lvlText w:val="o"/>
      <w:lvlJc w:val="left"/>
      <w:pPr>
        <w:ind w:left="2277" w:hanging="360"/>
      </w:pPr>
      <w:rPr>
        <w:rFonts w:ascii="Courier New" w:hAnsi="Courier New" w:cs="Courier New" w:hint="default"/>
      </w:rPr>
    </w:lvl>
    <w:lvl w:ilvl="2" w:tplc="040C0005" w:tentative="1">
      <w:start w:val="1"/>
      <w:numFmt w:val="bullet"/>
      <w:lvlText w:val=""/>
      <w:lvlJc w:val="left"/>
      <w:pPr>
        <w:ind w:left="2997" w:hanging="360"/>
      </w:pPr>
      <w:rPr>
        <w:rFonts w:ascii="Wingdings" w:hAnsi="Wingdings" w:hint="default"/>
      </w:rPr>
    </w:lvl>
    <w:lvl w:ilvl="3" w:tplc="040C0001" w:tentative="1">
      <w:start w:val="1"/>
      <w:numFmt w:val="bullet"/>
      <w:lvlText w:val=""/>
      <w:lvlJc w:val="left"/>
      <w:pPr>
        <w:ind w:left="3717" w:hanging="360"/>
      </w:pPr>
      <w:rPr>
        <w:rFonts w:ascii="Symbol" w:hAnsi="Symbol" w:hint="default"/>
      </w:rPr>
    </w:lvl>
    <w:lvl w:ilvl="4" w:tplc="040C0003" w:tentative="1">
      <w:start w:val="1"/>
      <w:numFmt w:val="bullet"/>
      <w:lvlText w:val="o"/>
      <w:lvlJc w:val="left"/>
      <w:pPr>
        <w:ind w:left="4437" w:hanging="360"/>
      </w:pPr>
      <w:rPr>
        <w:rFonts w:ascii="Courier New" w:hAnsi="Courier New" w:cs="Courier New" w:hint="default"/>
      </w:rPr>
    </w:lvl>
    <w:lvl w:ilvl="5" w:tplc="040C0005" w:tentative="1">
      <w:start w:val="1"/>
      <w:numFmt w:val="bullet"/>
      <w:lvlText w:val=""/>
      <w:lvlJc w:val="left"/>
      <w:pPr>
        <w:ind w:left="5157" w:hanging="360"/>
      </w:pPr>
      <w:rPr>
        <w:rFonts w:ascii="Wingdings" w:hAnsi="Wingdings" w:hint="default"/>
      </w:rPr>
    </w:lvl>
    <w:lvl w:ilvl="6" w:tplc="040C0001" w:tentative="1">
      <w:start w:val="1"/>
      <w:numFmt w:val="bullet"/>
      <w:lvlText w:val=""/>
      <w:lvlJc w:val="left"/>
      <w:pPr>
        <w:ind w:left="5877" w:hanging="360"/>
      </w:pPr>
      <w:rPr>
        <w:rFonts w:ascii="Symbol" w:hAnsi="Symbol" w:hint="default"/>
      </w:rPr>
    </w:lvl>
    <w:lvl w:ilvl="7" w:tplc="040C0003" w:tentative="1">
      <w:start w:val="1"/>
      <w:numFmt w:val="bullet"/>
      <w:lvlText w:val="o"/>
      <w:lvlJc w:val="left"/>
      <w:pPr>
        <w:ind w:left="6597" w:hanging="360"/>
      </w:pPr>
      <w:rPr>
        <w:rFonts w:ascii="Courier New" w:hAnsi="Courier New" w:cs="Courier New" w:hint="default"/>
      </w:rPr>
    </w:lvl>
    <w:lvl w:ilvl="8" w:tplc="040C0005" w:tentative="1">
      <w:start w:val="1"/>
      <w:numFmt w:val="bullet"/>
      <w:lvlText w:val=""/>
      <w:lvlJc w:val="left"/>
      <w:pPr>
        <w:ind w:left="7317" w:hanging="360"/>
      </w:pPr>
      <w:rPr>
        <w:rFonts w:ascii="Wingdings" w:hAnsi="Wingdings" w:hint="default"/>
      </w:rPr>
    </w:lvl>
  </w:abstractNum>
  <w:abstractNum w:abstractNumId="10" w15:restartNumberingAfterBreak="0">
    <w:nsid w:val="746A57A8"/>
    <w:multiLevelType w:val="hybridMultilevel"/>
    <w:tmpl w:val="48A8A7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7DDA5833"/>
    <w:multiLevelType w:val="multilevel"/>
    <w:tmpl w:val="BDC2656A"/>
    <w:lvl w:ilvl="0">
      <w:start w:val="1"/>
      <w:numFmt w:val="bullet"/>
      <w:lvlText w:val=""/>
      <w:lvlJc w:val="left"/>
      <w:pPr>
        <w:tabs>
          <w:tab w:val="num" w:pos="1080"/>
        </w:tabs>
        <w:ind w:left="1080" w:hanging="360"/>
      </w:pPr>
      <w:rPr>
        <w:rFonts w:ascii="Symbol" w:hAnsi="Symbol" w:cs="Symbol" w:hint="default"/>
        <w:sz w:val="22"/>
      </w:rPr>
    </w:lvl>
    <w:lvl w:ilvl="1">
      <w:start w:val="1"/>
      <w:numFmt w:val="bullet"/>
      <w:lvlText w:val=""/>
      <w:lvlJc w:val="left"/>
      <w:pPr>
        <w:tabs>
          <w:tab w:val="num" w:pos="1440"/>
        </w:tabs>
        <w:ind w:left="1440" w:hanging="360"/>
      </w:pPr>
      <w:rPr>
        <w:rFonts w:ascii="Symbol" w:hAnsi="Symbol" w:cs="Symbol" w:hint="default"/>
        <w:sz w:val="22"/>
      </w:rPr>
    </w:lvl>
    <w:lvl w:ilvl="2">
      <w:start w:val="1"/>
      <w:numFmt w:val="bullet"/>
      <w:lvlText w:val=""/>
      <w:lvlJc w:val="left"/>
      <w:pPr>
        <w:tabs>
          <w:tab w:val="num" w:pos="1800"/>
        </w:tabs>
        <w:ind w:left="1800" w:hanging="360"/>
      </w:pPr>
      <w:rPr>
        <w:rFonts w:ascii="Symbol" w:hAnsi="Symbol" w:cs="Symbol" w:hint="default"/>
        <w:sz w:val="22"/>
      </w:rPr>
    </w:lvl>
    <w:lvl w:ilvl="3">
      <w:start w:val="1"/>
      <w:numFmt w:val="bullet"/>
      <w:lvlText w:val=""/>
      <w:lvlJc w:val="left"/>
      <w:pPr>
        <w:tabs>
          <w:tab w:val="num" w:pos="2160"/>
        </w:tabs>
        <w:ind w:left="2160" w:hanging="360"/>
      </w:pPr>
      <w:rPr>
        <w:rFonts w:ascii="Symbol" w:hAnsi="Symbol" w:cs="Symbol" w:hint="default"/>
        <w:sz w:val="22"/>
      </w:rPr>
    </w:lvl>
    <w:lvl w:ilvl="4">
      <w:start w:val="1"/>
      <w:numFmt w:val="bullet"/>
      <w:lvlText w:val=""/>
      <w:lvlJc w:val="left"/>
      <w:pPr>
        <w:tabs>
          <w:tab w:val="num" w:pos="2520"/>
        </w:tabs>
        <w:ind w:left="2520" w:hanging="360"/>
      </w:pPr>
      <w:rPr>
        <w:rFonts w:ascii="Symbol" w:hAnsi="Symbol" w:cs="Symbol" w:hint="default"/>
        <w:sz w:val="22"/>
      </w:rPr>
    </w:lvl>
    <w:lvl w:ilvl="5">
      <w:start w:val="1"/>
      <w:numFmt w:val="bullet"/>
      <w:lvlText w:val=""/>
      <w:lvlJc w:val="left"/>
      <w:pPr>
        <w:tabs>
          <w:tab w:val="num" w:pos="2880"/>
        </w:tabs>
        <w:ind w:left="2880" w:hanging="360"/>
      </w:pPr>
      <w:rPr>
        <w:rFonts w:ascii="Symbol" w:hAnsi="Symbol" w:cs="Symbol" w:hint="default"/>
        <w:sz w:val="22"/>
      </w:rPr>
    </w:lvl>
    <w:lvl w:ilvl="6">
      <w:start w:val="1"/>
      <w:numFmt w:val="bullet"/>
      <w:lvlText w:val=""/>
      <w:lvlJc w:val="left"/>
      <w:pPr>
        <w:tabs>
          <w:tab w:val="num" w:pos="3240"/>
        </w:tabs>
        <w:ind w:left="3240" w:hanging="360"/>
      </w:pPr>
      <w:rPr>
        <w:rFonts w:ascii="Symbol" w:hAnsi="Symbol" w:cs="Symbol" w:hint="default"/>
        <w:sz w:val="22"/>
      </w:rPr>
    </w:lvl>
    <w:lvl w:ilvl="7">
      <w:start w:val="1"/>
      <w:numFmt w:val="bullet"/>
      <w:lvlText w:val=""/>
      <w:lvlJc w:val="left"/>
      <w:pPr>
        <w:tabs>
          <w:tab w:val="num" w:pos="3600"/>
        </w:tabs>
        <w:ind w:left="3600" w:hanging="360"/>
      </w:pPr>
      <w:rPr>
        <w:rFonts w:ascii="Symbol" w:hAnsi="Symbol" w:cs="Symbol" w:hint="default"/>
        <w:sz w:val="22"/>
      </w:rPr>
    </w:lvl>
    <w:lvl w:ilvl="8">
      <w:start w:val="1"/>
      <w:numFmt w:val="bullet"/>
      <w:lvlText w:val=""/>
      <w:lvlJc w:val="left"/>
      <w:pPr>
        <w:tabs>
          <w:tab w:val="num" w:pos="3960"/>
        </w:tabs>
        <w:ind w:left="3960" w:hanging="360"/>
      </w:pPr>
      <w:rPr>
        <w:rFonts w:ascii="Symbol" w:hAnsi="Symbol" w:cs="Symbol" w:hint="default"/>
        <w:sz w:val="22"/>
      </w:rPr>
    </w:lvl>
  </w:abstractNum>
  <w:abstractNum w:abstractNumId="12" w15:restartNumberingAfterBreak="0">
    <w:nsid w:val="7FA23D1B"/>
    <w:multiLevelType w:val="multilevel"/>
    <w:tmpl w:val="03C288C8"/>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
      <w:lvlJc w:val="left"/>
      <w:pPr>
        <w:tabs>
          <w:tab w:val="num" w:pos="1080"/>
        </w:tabs>
        <w:ind w:left="1080" w:hanging="360"/>
      </w:pPr>
      <w:rPr>
        <w:rFonts w:ascii="Symbol" w:hAnsi="Symbol" w:cs="Symbol" w:hint="default"/>
        <w:sz w:val="22"/>
      </w:rPr>
    </w:lvl>
    <w:lvl w:ilvl="2">
      <w:start w:val="1"/>
      <w:numFmt w:val="bullet"/>
      <w:lvlText w:val=""/>
      <w:lvlJc w:val="left"/>
      <w:pPr>
        <w:tabs>
          <w:tab w:val="num" w:pos="1440"/>
        </w:tabs>
        <w:ind w:left="1440" w:hanging="360"/>
      </w:pPr>
      <w:rPr>
        <w:rFonts w:ascii="Symbol" w:hAnsi="Symbol" w:cs="Symbol" w:hint="default"/>
        <w:sz w:val="22"/>
      </w:rPr>
    </w:lvl>
    <w:lvl w:ilvl="3">
      <w:start w:val="1"/>
      <w:numFmt w:val="bullet"/>
      <w:lvlText w:val=""/>
      <w:lvlJc w:val="left"/>
      <w:pPr>
        <w:tabs>
          <w:tab w:val="num" w:pos="1800"/>
        </w:tabs>
        <w:ind w:left="1800" w:hanging="360"/>
      </w:pPr>
      <w:rPr>
        <w:rFonts w:ascii="Symbol" w:hAnsi="Symbol" w:cs="Symbol" w:hint="default"/>
        <w:sz w:val="22"/>
      </w:rPr>
    </w:lvl>
    <w:lvl w:ilvl="4">
      <w:start w:val="1"/>
      <w:numFmt w:val="bullet"/>
      <w:lvlText w:val=""/>
      <w:lvlJc w:val="left"/>
      <w:pPr>
        <w:tabs>
          <w:tab w:val="num" w:pos="2160"/>
        </w:tabs>
        <w:ind w:left="2160" w:hanging="360"/>
      </w:pPr>
      <w:rPr>
        <w:rFonts w:ascii="Symbol" w:hAnsi="Symbol" w:cs="Symbol" w:hint="default"/>
        <w:sz w:val="22"/>
      </w:rPr>
    </w:lvl>
    <w:lvl w:ilvl="5">
      <w:start w:val="1"/>
      <w:numFmt w:val="bullet"/>
      <w:lvlText w:val=""/>
      <w:lvlJc w:val="left"/>
      <w:pPr>
        <w:tabs>
          <w:tab w:val="num" w:pos="2520"/>
        </w:tabs>
        <w:ind w:left="2520" w:hanging="360"/>
      </w:pPr>
      <w:rPr>
        <w:rFonts w:ascii="Symbol" w:hAnsi="Symbol" w:cs="Symbol" w:hint="default"/>
        <w:sz w:val="22"/>
      </w:rPr>
    </w:lvl>
    <w:lvl w:ilvl="6">
      <w:start w:val="1"/>
      <w:numFmt w:val="bullet"/>
      <w:lvlText w:val=""/>
      <w:lvlJc w:val="left"/>
      <w:pPr>
        <w:tabs>
          <w:tab w:val="num" w:pos="2880"/>
        </w:tabs>
        <w:ind w:left="2880" w:hanging="360"/>
      </w:pPr>
      <w:rPr>
        <w:rFonts w:ascii="Symbol" w:hAnsi="Symbol" w:cs="Symbol" w:hint="default"/>
        <w:sz w:val="22"/>
      </w:rPr>
    </w:lvl>
    <w:lvl w:ilvl="7">
      <w:start w:val="1"/>
      <w:numFmt w:val="bullet"/>
      <w:lvlText w:val=""/>
      <w:lvlJc w:val="left"/>
      <w:pPr>
        <w:tabs>
          <w:tab w:val="num" w:pos="3240"/>
        </w:tabs>
        <w:ind w:left="3240" w:hanging="360"/>
      </w:pPr>
      <w:rPr>
        <w:rFonts w:ascii="Symbol" w:hAnsi="Symbol" w:cs="Symbol" w:hint="default"/>
        <w:sz w:val="22"/>
      </w:rPr>
    </w:lvl>
    <w:lvl w:ilvl="8">
      <w:start w:val="1"/>
      <w:numFmt w:val="bullet"/>
      <w:lvlText w:val=""/>
      <w:lvlJc w:val="left"/>
      <w:pPr>
        <w:tabs>
          <w:tab w:val="num" w:pos="3600"/>
        </w:tabs>
        <w:ind w:left="3600" w:hanging="360"/>
      </w:pPr>
      <w:rPr>
        <w:rFonts w:ascii="Symbol" w:hAnsi="Symbol" w:cs="Symbol" w:hint="default"/>
        <w:sz w:val="22"/>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4"/>
  </w:num>
  <w:num w:numId="4">
    <w:abstractNumId w:val="11"/>
  </w:num>
  <w:num w:numId="5">
    <w:abstractNumId w:val="3"/>
  </w:num>
  <w:num w:numId="6">
    <w:abstractNumId w:val="2"/>
  </w:num>
  <w:num w:numId="7">
    <w:abstractNumId w:val="10"/>
  </w:num>
  <w:num w:numId="8">
    <w:abstractNumId w:val="1"/>
  </w:num>
  <w:num w:numId="9">
    <w:abstractNumId w:val="0"/>
  </w:num>
  <w:num w:numId="10">
    <w:abstractNumId w:val="6"/>
  </w:num>
  <w:num w:numId="11">
    <w:abstractNumId w:val="8"/>
  </w:num>
  <w:num w:numId="12">
    <w:abstractNumId w:val="7"/>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USTROS Elodie">
    <w15:presenceInfo w15:providerId="None" w15:userId="BUSTROS Elod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6C7"/>
    <w:rsid w:val="000726C7"/>
    <w:rsid w:val="000F0F08"/>
    <w:rsid w:val="001F0479"/>
    <w:rsid w:val="002177E7"/>
    <w:rsid w:val="003B1847"/>
    <w:rsid w:val="003B4F4C"/>
    <w:rsid w:val="004556B7"/>
    <w:rsid w:val="005653DF"/>
    <w:rsid w:val="00585057"/>
    <w:rsid w:val="008B3DDB"/>
    <w:rsid w:val="008C794B"/>
    <w:rsid w:val="008F1CF4"/>
    <w:rsid w:val="00992E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A6857"/>
  <w15:chartTrackingRefBased/>
  <w15:docId w15:val="{F2DAC63B-2CCD-4E94-BE2F-2DAC1836E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6C7"/>
    <w:rPr>
      <w:kern w:val="0"/>
      <w14:ligatures w14:val="none"/>
    </w:rPr>
  </w:style>
  <w:style w:type="paragraph" w:styleId="Titre1">
    <w:name w:val="heading 1"/>
    <w:basedOn w:val="Normal"/>
    <w:link w:val="Titre1Car"/>
    <w:qFormat/>
    <w:rsid w:val="000726C7"/>
    <w:pPr>
      <w:pageBreakBefore/>
      <w:widowControl w:val="0"/>
      <w:spacing w:before="240" w:after="240" w:line="240" w:lineRule="auto"/>
      <w:jc w:val="both"/>
      <w:outlineLvl w:val="0"/>
    </w:pPr>
    <w:rPr>
      <w:rFonts w:ascii="Arial" w:eastAsia="Times New Roman" w:hAnsi="Arial" w:cs="Times New Roman"/>
      <w:b/>
      <w:bCs/>
      <w:caps/>
      <w:color w:val="3CB6EC"/>
      <w:szCs w:val="32"/>
      <w:lang w:eastAsia="fr-FR"/>
    </w:rPr>
  </w:style>
  <w:style w:type="paragraph" w:styleId="Titre2">
    <w:name w:val="heading 2"/>
    <w:basedOn w:val="Normal"/>
    <w:next w:val="Normal"/>
    <w:link w:val="Titre2Car"/>
    <w:uiPriority w:val="9"/>
    <w:unhideWhenUsed/>
    <w:qFormat/>
    <w:rsid w:val="000726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qFormat/>
    <w:rsid w:val="000726C7"/>
    <w:rPr>
      <w:rFonts w:ascii="Arial" w:eastAsia="Times New Roman" w:hAnsi="Arial" w:cs="Times New Roman"/>
      <w:b/>
      <w:bCs/>
      <w:caps/>
      <w:color w:val="3CB6EC"/>
      <w:kern w:val="0"/>
      <w:szCs w:val="32"/>
      <w:lang w:eastAsia="fr-FR"/>
      <w14:ligatures w14:val="none"/>
    </w:rPr>
  </w:style>
  <w:style w:type="character" w:customStyle="1" w:styleId="Titre2Car">
    <w:name w:val="Titre 2 Car"/>
    <w:basedOn w:val="Policepardfaut"/>
    <w:link w:val="Titre2"/>
    <w:uiPriority w:val="9"/>
    <w:rsid w:val="000726C7"/>
    <w:rPr>
      <w:rFonts w:asciiTheme="majorHAnsi" w:eastAsiaTheme="majorEastAsia" w:hAnsiTheme="majorHAnsi" w:cstheme="majorBidi"/>
      <w:color w:val="2F5496" w:themeColor="accent1" w:themeShade="BF"/>
      <w:kern w:val="0"/>
      <w:sz w:val="26"/>
      <w:szCs w:val="26"/>
      <w14:ligatures w14:val="none"/>
    </w:rPr>
  </w:style>
  <w:style w:type="character" w:styleId="Lienhypertexte">
    <w:name w:val="Hyperlink"/>
    <w:basedOn w:val="Policepardfaut"/>
    <w:uiPriority w:val="99"/>
    <w:unhideWhenUsed/>
    <w:rsid w:val="000726C7"/>
    <w:rPr>
      <w:color w:val="0563C1" w:themeColor="hyperlink"/>
      <w:u w:val="single"/>
    </w:rPr>
  </w:style>
  <w:style w:type="paragraph" w:styleId="En-ttedetabledesmatires">
    <w:name w:val="TOC Heading"/>
    <w:basedOn w:val="Titre1"/>
    <w:next w:val="Normal"/>
    <w:uiPriority w:val="39"/>
    <w:unhideWhenUsed/>
    <w:qFormat/>
    <w:rsid w:val="000726C7"/>
    <w:pPr>
      <w:keepNext/>
      <w:keepLines/>
      <w:pageBreakBefore w:val="0"/>
      <w:widowControl/>
      <w:spacing w:after="0" w:line="256" w:lineRule="auto"/>
      <w:outlineLvl w:val="9"/>
    </w:pPr>
    <w:rPr>
      <w:rFonts w:asciiTheme="majorHAnsi" w:eastAsiaTheme="majorEastAsia" w:hAnsiTheme="majorHAnsi" w:cstheme="majorBidi"/>
      <w:b w:val="0"/>
      <w:bCs w:val="0"/>
      <w:caps w:val="0"/>
      <w:color w:val="2F5496" w:themeColor="accent1" w:themeShade="BF"/>
      <w:sz w:val="32"/>
    </w:rPr>
  </w:style>
  <w:style w:type="paragraph" w:customStyle="1" w:styleId="Default">
    <w:name w:val="Default"/>
    <w:qFormat/>
    <w:rsid w:val="000726C7"/>
    <w:pPr>
      <w:suppressAutoHyphens/>
      <w:spacing w:after="0" w:line="240" w:lineRule="auto"/>
    </w:pPr>
    <w:rPr>
      <w:rFonts w:ascii="Arial" w:eastAsia="Calibri" w:hAnsi="Arial" w:cs="Arial"/>
      <w:color w:val="000000"/>
      <w:sz w:val="24"/>
      <w:szCs w:val="24"/>
      <w:lang w:eastAsia="zh-CN"/>
      <w14:ligatures w14:val="none"/>
    </w:rPr>
  </w:style>
  <w:style w:type="paragraph" w:customStyle="1" w:styleId="Normal1">
    <w:name w:val="Normal1"/>
    <w:uiPriority w:val="99"/>
    <w:qFormat/>
    <w:rsid w:val="000726C7"/>
    <w:pPr>
      <w:widowControl w:val="0"/>
      <w:suppressAutoHyphens/>
      <w:spacing w:after="0" w:line="240" w:lineRule="auto"/>
    </w:pPr>
    <w:rPr>
      <w:rFonts w:ascii="Liberation Serif" w:eastAsia="SimSun" w:hAnsi="Liberation Serif" w:cs="Mangal"/>
      <w:color w:val="00000A"/>
      <w:kern w:val="0"/>
      <w:sz w:val="24"/>
      <w:szCs w:val="24"/>
      <w:lang w:eastAsia="zh-CN" w:bidi="hi-IN"/>
      <w14:ligatures w14:val="none"/>
    </w:rPr>
  </w:style>
  <w:style w:type="paragraph" w:customStyle="1" w:styleId="Normal11">
    <w:name w:val="Normal11"/>
    <w:qFormat/>
    <w:rsid w:val="000726C7"/>
    <w:pPr>
      <w:suppressAutoHyphens/>
      <w:spacing w:after="60" w:line="240" w:lineRule="auto"/>
    </w:pPr>
    <w:rPr>
      <w:rFonts w:ascii="Arial" w:eastAsia="SimSun" w:hAnsi="Arial" w:cs="Arial"/>
      <w:color w:val="000000"/>
      <w:kern w:val="0"/>
      <w:sz w:val="24"/>
      <w:szCs w:val="24"/>
      <w:lang w:eastAsia="ar-SA" w:bidi="hi-IN"/>
      <w14:ligatures w14:val="none"/>
    </w:rPr>
  </w:style>
  <w:style w:type="paragraph" w:customStyle="1" w:styleId="En-ttedetabledesmatires1">
    <w:name w:val="En-tête de table des matières1"/>
    <w:basedOn w:val="Normal11"/>
    <w:next w:val="Normal11"/>
    <w:uiPriority w:val="99"/>
    <w:qFormat/>
    <w:rsid w:val="000726C7"/>
    <w:pPr>
      <w:keepLines/>
      <w:spacing w:before="480" w:after="0" w:line="276" w:lineRule="auto"/>
    </w:pPr>
    <w:rPr>
      <w:rFonts w:ascii="Cambria" w:hAnsi="Cambria" w:cs="Cambria"/>
      <w:color w:val="365F91"/>
      <w:sz w:val="28"/>
      <w:szCs w:val="28"/>
    </w:rPr>
  </w:style>
  <w:style w:type="character" w:styleId="Appelnotedebasdep">
    <w:name w:val="footnote reference"/>
    <w:aliases w:val="fr,ftref,BVI fnr,Footnote Reference Number,Error-Fußnotenzeichen5,Error-Fußnotenzeichen6,Error-Fußnotenzeichen3,Footnote Reference1,Error-Fu?notenzeichen5,Error-Fu?notenzeichen6,Error-Fu?notenzeichen3,referencia nota al pie,Nota"/>
    <w:uiPriority w:val="99"/>
    <w:unhideWhenUsed/>
    <w:qFormat/>
    <w:rsid w:val="000726C7"/>
    <w:rPr>
      <w:vertAlign w:val="superscript"/>
    </w:rPr>
  </w:style>
  <w:style w:type="character" w:styleId="Marquedecommentaire">
    <w:name w:val="annotation reference"/>
    <w:semiHidden/>
    <w:unhideWhenUsed/>
    <w:qFormat/>
    <w:rsid w:val="000726C7"/>
    <w:rPr>
      <w:sz w:val="16"/>
      <w:szCs w:val="16"/>
    </w:rPr>
  </w:style>
  <w:style w:type="character" w:customStyle="1" w:styleId="LienInternet">
    <w:name w:val="Lien Internet"/>
    <w:basedOn w:val="Policepardfaut"/>
    <w:uiPriority w:val="99"/>
    <w:rsid w:val="000726C7"/>
    <w:rPr>
      <w:color w:val="0563C1" w:themeColor="hyperlink"/>
      <w:u w:val="single"/>
    </w:rPr>
  </w:style>
  <w:style w:type="character" w:customStyle="1" w:styleId="Ancredenotedebasdepage">
    <w:name w:val="Ancre de note de bas de page"/>
    <w:rsid w:val="000726C7"/>
    <w:rPr>
      <w:vertAlign w:val="superscript"/>
    </w:rPr>
  </w:style>
  <w:style w:type="paragraph" w:styleId="Notedebasdepage">
    <w:name w:val="footnote text"/>
    <w:basedOn w:val="Normal11"/>
    <w:link w:val="NotedebasdepageCar1"/>
    <w:uiPriority w:val="99"/>
    <w:unhideWhenUsed/>
    <w:qFormat/>
    <w:rsid w:val="000726C7"/>
    <w:pPr>
      <w:suppressAutoHyphens w:val="0"/>
      <w:spacing w:after="0"/>
      <w:jc w:val="both"/>
    </w:pPr>
    <w:rPr>
      <w:rFonts w:eastAsia="Times New Roman"/>
      <w:color w:val="00000A"/>
      <w:sz w:val="22"/>
      <w:szCs w:val="20"/>
      <w:lang w:bidi="ar-SA"/>
    </w:rPr>
  </w:style>
  <w:style w:type="character" w:customStyle="1" w:styleId="NotedebasdepageCar">
    <w:name w:val="Note de bas de page Car"/>
    <w:basedOn w:val="Policepardfaut"/>
    <w:uiPriority w:val="99"/>
    <w:semiHidden/>
    <w:rsid w:val="000726C7"/>
    <w:rPr>
      <w:kern w:val="0"/>
      <w:sz w:val="20"/>
      <w:szCs w:val="20"/>
      <w14:ligatures w14:val="none"/>
    </w:rPr>
  </w:style>
  <w:style w:type="character" w:customStyle="1" w:styleId="NotedebasdepageCar1">
    <w:name w:val="Note de bas de page Car1"/>
    <w:basedOn w:val="Policepardfaut"/>
    <w:link w:val="Notedebasdepage"/>
    <w:uiPriority w:val="99"/>
    <w:qFormat/>
    <w:locked/>
    <w:rsid w:val="000726C7"/>
    <w:rPr>
      <w:rFonts w:ascii="Arial" w:eastAsia="Times New Roman" w:hAnsi="Arial" w:cs="Arial"/>
      <w:color w:val="00000A"/>
      <w:kern w:val="0"/>
      <w:szCs w:val="20"/>
      <w:lang w:eastAsia="ar-SA"/>
      <w14:ligatures w14:val="none"/>
    </w:rPr>
  </w:style>
  <w:style w:type="paragraph" w:styleId="Paragraphedeliste">
    <w:name w:val="List Paragraph"/>
    <w:aliases w:val="Paragraphe EI,EC,Colorful List Accent 1,Paragraphe de liste11,Liste couleur - Accent 11,List Paragraph (numbered (a)),List_Paragraph,Multilevel para_II,List Paragraph1,Rec para,Dot pt,F5 List Paragraph,Puce,L,No Spacing1,Listes,3"/>
    <w:basedOn w:val="Normal11"/>
    <w:link w:val="ParagraphedelisteCar"/>
    <w:qFormat/>
    <w:rsid w:val="000726C7"/>
    <w:pPr>
      <w:suppressAutoHyphens w:val="0"/>
      <w:spacing w:after="0"/>
      <w:ind w:left="720"/>
    </w:pPr>
    <w:rPr>
      <w:rFonts w:ascii="Calibri" w:eastAsia="Calibri" w:hAnsi="Calibri" w:cs="Calibri"/>
      <w:szCs w:val="22"/>
      <w:lang w:eastAsia="en-US"/>
    </w:rPr>
  </w:style>
  <w:style w:type="character" w:customStyle="1" w:styleId="ParagraphedelisteCar">
    <w:name w:val="Paragraphe de liste Car"/>
    <w:aliases w:val="Paragraphe EI Car,EC Car,Colorful List Accent 1 Car,Paragraphe de liste11 Car,Liste couleur - Accent 11 Car,List Paragraph (numbered (a)) Car,List_Paragraph Car,Multilevel para_II Car,List Paragraph1 Car,Rec para Car,Dot pt Car"/>
    <w:link w:val="Paragraphedeliste"/>
    <w:qFormat/>
    <w:locked/>
    <w:rsid w:val="000726C7"/>
    <w:rPr>
      <w:rFonts w:ascii="Calibri" w:eastAsia="Calibri" w:hAnsi="Calibri" w:cs="Calibri"/>
      <w:color w:val="000000"/>
      <w:kern w:val="0"/>
      <w:sz w:val="24"/>
      <w:lang w:bidi="hi-IN"/>
      <w14:ligatures w14:val="none"/>
    </w:rPr>
  </w:style>
  <w:style w:type="table" w:styleId="Grilledutableau">
    <w:name w:val="Table Grid"/>
    <w:aliases w:val="Tableau CISI"/>
    <w:basedOn w:val="TableauNormal"/>
    <w:rsid w:val="000726C7"/>
    <w:pPr>
      <w:spacing w:after="0" w:line="240" w:lineRule="auto"/>
    </w:pPr>
    <w:rPr>
      <w:rFonts w:ascii="Times New Roman" w:eastAsia="Times New Roman" w:hAnsi="Times New Roman" w:cs="Times New Roman"/>
      <w:kern w:val="0"/>
      <w:sz w:val="20"/>
      <w:szCs w:val="20"/>
      <w:lang w:eastAsia="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11"/>
    <w:next w:val="Normal"/>
    <w:autoRedefine/>
    <w:uiPriority w:val="39"/>
    <w:unhideWhenUsed/>
    <w:qFormat/>
    <w:rsid w:val="000726C7"/>
    <w:pPr>
      <w:tabs>
        <w:tab w:val="left" w:pos="567"/>
        <w:tab w:val="right" w:leader="dot" w:pos="9628"/>
      </w:tabs>
      <w:suppressAutoHyphens w:val="0"/>
      <w:spacing w:after="100"/>
      <w:jc w:val="both"/>
    </w:pPr>
    <w:rPr>
      <w:rFonts w:eastAsia="Times New Roman" w:cs="Times New Roman"/>
      <w:color w:val="00000A"/>
      <w:sz w:val="22"/>
      <w:szCs w:val="20"/>
      <w:lang w:eastAsia="fr-FR" w:bidi="ar-SA"/>
    </w:rPr>
  </w:style>
  <w:style w:type="paragraph" w:styleId="Commentaire">
    <w:name w:val="annotation text"/>
    <w:basedOn w:val="Normal"/>
    <w:link w:val="CommentaireCar"/>
    <w:uiPriority w:val="99"/>
    <w:semiHidden/>
    <w:unhideWhenUsed/>
    <w:rsid w:val="000726C7"/>
    <w:pPr>
      <w:spacing w:line="240" w:lineRule="auto"/>
    </w:pPr>
    <w:rPr>
      <w:sz w:val="20"/>
      <w:szCs w:val="20"/>
    </w:rPr>
  </w:style>
  <w:style w:type="character" w:customStyle="1" w:styleId="CommentaireCar">
    <w:name w:val="Commentaire Car"/>
    <w:basedOn w:val="Policepardfaut"/>
    <w:link w:val="Commentaire"/>
    <w:uiPriority w:val="99"/>
    <w:semiHidden/>
    <w:rsid w:val="000726C7"/>
    <w:rPr>
      <w:kern w:val="0"/>
      <w:sz w:val="20"/>
      <w:szCs w:val="20"/>
      <w14:ligatures w14:val="none"/>
    </w:rPr>
  </w:style>
  <w:style w:type="paragraph" w:styleId="TM2">
    <w:name w:val="toc 2"/>
    <w:basedOn w:val="Normal"/>
    <w:next w:val="Normal"/>
    <w:autoRedefine/>
    <w:uiPriority w:val="39"/>
    <w:unhideWhenUsed/>
    <w:rsid w:val="000726C7"/>
    <w:pPr>
      <w:spacing w:after="100"/>
      <w:ind w:left="220"/>
    </w:pPr>
    <w:rPr>
      <w:rFonts w:eastAsiaTheme="minorEastAsia" w:cs="Times New Roman"/>
      <w:lang w:eastAsia="fr-FR"/>
    </w:rPr>
  </w:style>
  <w:style w:type="paragraph" w:customStyle="1" w:styleId="TableParagraph">
    <w:name w:val="Table Paragraph"/>
    <w:basedOn w:val="Normal"/>
    <w:link w:val="TableParagraphCar"/>
    <w:uiPriority w:val="1"/>
    <w:qFormat/>
    <w:rsid w:val="000726C7"/>
    <w:pPr>
      <w:widowControl w:val="0"/>
      <w:autoSpaceDE w:val="0"/>
      <w:autoSpaceDN w:val="0"/>
      <w:spacing w:after="100" w:line="240" w:lineRule="auto"/>
      <w:jc w:val="center"/>
    </w:pPr>
    <w:rPr>
      <w:rFonts w:ascii="Marianne" w:eastAsia="Arial" w:hAnsi="Marianne" w:cs="Arial"/>
      <w:b/>
      <w:color w:val="000091"/>
      <w:sz w:val="20"/>
    </w:rPr>
  </w:style>
  <w:style w:type="paragraph" w:customStyle="1" w:styleId="Pucesbleus">
    <w:name w:val="Puces bleus"/>
    <w:basedOn w:val="Normal"/>
    <w:link w:val="PucesbleusCar"/>
    <w:qFormat/>
    <w:rsid w:val="000726C7"/>
    <w:pPr>
      <w:widowControl w:val="0"/>
      <w:numPr>
        <w:numId w:val="13"/>
      </w:numPr>
      <w:autoSpaceDE w:val="0"/>
      <w:autoSpaceDN w:val="0"/>
      <w:spacing w:after="0" w:line="240" w:lineRule="auto"/>
      <w:ind w:left="284" w:hanging="284"/>
    </w:pPr>
    <w:rPr>
      <w:rFonts w:ascii="Marianne" w:eastAsia="Lucida Sans Unicode" w:hAnsi="Marianne" w:cs="Lucida Sans Unicode"/>
      <w:noProof/>
      <w:sz w:val="20"/>
    </w:rPr>
  </w:style>
  <w:style w:type="character" w:customStyle="1" w:styleId="PucesbleusCar">
    <w:name w:val="Puces bleus Car"/>
    <w:basedOn w:val="Policepardfaut"/>
    <w:link w:val="Pucesbleus"/>
    <w:rsid w:val="000726C7"/>
    <w:rPr>
      <w:rFonts w:ascii="Marianne" w:eastAsia="Lucida Sans Unicode" w:hAnsi="Marianne" w:cs="Lucida Sans Unicode"/>
      <w:noProof/>
      <w:kern w:val="0"/>
      <w:sz w:val="20"/>
      <w14:ligatures w14:val="none"/>
    </w:rPr>
  </w:style>
  <w:style w:type="character" w:customStyle="1" w:styleId="TableParagraphCar">
    <w:name w:val="Table Paragraph Car"/>
    <w:basedOn w:val="Policepardfaut"/>
    <w:link w:val="TableParagraph"/>
    <w:uiPriority w:val="1"/>
    <w:rsid w:val="000726C7"/>
    <w:rPr>
      <w:rFonts w:ascii="Marianne" w:eastAsia="Arial" w:hAnsi="Marianne" w:cs="Arial"/>
      <w:b/>
      <w:color w:val="000091"/>
      <w:kern w:val="0"/>
      <w:sz w:val="20"/>
      <w14:ligatures w14:val="none"/>
    </w:rPr>
  </w:style>
  <w:style w:type="paragraph" w:styleId="Rvision">
    <w:name w:val="Revision"/>
    <w:hidden/>
    <w:uiPriority w:val="99"/>
    <w:semiHidden/>
    <w:rsid w:val="00992EB0"/>
    <w:pPr>
      <w:spacing w:after="0" w:line="240" w:lineRule="auto"/>
    </w:pPr>
    <w:rPr>
      <w:kern w:val="0"/>
      <w14:ligatures w14:val="none"/>
    </w:rPr>
  </w:style>
  <w:style w:type="paragraph" w:styleId="Textedebulles">
    <w:name w:val="Balloon Text"/>
    <w:basedOn w:val="Normal"/>
    <w:link w:val="TextedebullesCar"/>
    <w:uiPriority w:val="99"/>
    <w:semiHidden/>
    <w:unhideWhenUsed/>
    <w:rsid w:val="003B4F4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B4F4C"/>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57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ap.tase@adem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girpourlatransition.ademe.fr/entrepris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ur-lex.europa.eu/legal-content/FR/TXT/?uri=CELEX%3A52014XC0731(01)" TargetMode="External"/><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15</Pages>
  <Words>4168</Words>
  <Characters>22924</Characters>
  <Application>Microsoft Office Word</Application>
  <DocSecurity>0</DocSecurity>
  <Lines>191</Lines>
  <Paragraphs>54</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27038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TOUCHET Adélaïde</dc:creator>
  <cp:keywords/>
  <dc:description/>
  <cp:lastModifiedBy>BUSTROS Elodie</cp:lastModifiedBy>
  <cp:revision>11</cp:revision>
  <cp:lastPrinted>2023-08-25T15:36:00Z</cp:lastPrinted>
  <dcterms:created xsi:type="dcterms:W3CDTF">2023-08-25T15:32:00Z</dcterms:created>
  <dcterms:modified xsi:type="dcterms:W3CDTF">2024-04-12T10:08:00Z</dcterms:modified>
</cp:coreProperties>
</file>