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5936E" w14:textId="1526C15A" w:rsidR="00B3629C" w:rsidRDefault="007246F5" w:rsidP="00BB2AD4">
      <w:pPr>
        <w:pBdr>
          <w:top w:val="single" w:sz="4" w:space="1" w:color="auto"/>
          <w:left w:val="single" w:sz="4" w:space="4" w:color="auto"/>
          <w:bottom w:val="single" w:sz="4" w:space="1" w:color="auto"/>
          <w:right w:val="single" w:sz="4" w:space="4" w:color="auto"/>
        </w:pBdr>
        <w:ind w:left="0" w:firstLine="0"/>
        <w:rPr>
          <w:b/>
          <w:bCs/>
          <w:caps/>
          <w:sz w:val="32"/>
          <w:szCs w:val="24"/>
        </w:rPr>
      </w:pPr>
      <w:r>
        <w:rPr>
          <w:b/>
          <w:bCs/>
          <w:caps/>
          <w:sz w:val="32"/>
          <w:szCs w:val="24"/>
        </w:rPr>
        <w:tab/>
      </w:r>
    </w:p>
    <w:p w14:paraId="2CA77873" w14:textId="6286D6DE" w:rsidR="00BB2AD4" w:rsidRPr="00BB2AD4" w:rsidRDefault="00BB2AD4" w:rsidP="00BB2AD4">
      <w:pPr>
        <w:pBdr>
          <w:top w:val="single" w:sz="4" w:space="1" w:color="auto"/>
          <w:left w:val="single" w:sz="4" w:space="4" w:color="auto"/>
          <w:bottom w:val="single" w:sz="4" w:space="1" w:color="auto"/>
          <w:right w:val="single" w:sz="4" w:space="4" w:color="auto"/>
        </w:pBdr>
        <w:jc w:val="center"/>
        <w:rPr>
          <w:rFonts w:cs="Times New Roman"/>
          <w:b/>
          <w:bCs/>
          <w:caps/>
          <w:sz w:val="56"/>
          <w:szCs w:val="56"/>
        </w:rPr>
      </w:pPr>
      <w:r>
        <w:rPr>
          <w:b/>
          <w:bCs/>
          <w:caps/>
          <w:sz w:val="56"/>
          <w:szCs w:val="56"/>
        </w:rPr>
        <w:t>Stratégie décarbonation de l’industrie</w:t>
      </w:r>
    </w:p>
    <w:p w14:paraId="2670A1A4" w14:textId="77777777" w:rsidR="00BB2AD4" w:rsidRDefault="00BB2AD4">
      <w:pPr>
        <w:pBdr>
          <w:top w:val="single" w:sz="4" w:space="1" w:color="auto"/>
          <w:left w:val="single" w:sz="4" w:space="4" w:color="auto"/>
          <w:bottom w:val="single" w:sz="4" w:space="1" w:color="auto"/>
          <w:right w:val="single" w:sz="4" w:space="4" w:color="auto"/>
        </w:pBdr>
        <w:ind w:left="0" w:firstLine="0"/>
        <w:jc w:val="center"/>
        <w:rPr>
          <w:b/>
          <w:bCs/>
          <w:caps/>
          <w:sz w:val="44"/>
          <w:szCs w:val="36"/>
          <w:highlight w:val="white"/>
        </w:rPr>
      </w:pPr>
    </w:p>
    <w:p w14:paraId="1525CB74" w14:textId="2FC4A813" w:rsidR="00652D99" w:rsidRDefault="00D011FB">
      <w:pPr>
        <w:pBdr>
          <w:top w:val="single" w:sz="4" w:space="1" w:color="auto"/>
          <w:left w:val="single" w:sz="4" w:space="4" w:color="auto"/>
          <w:bottom w:val="single" w:sz="4" w:space="1" w:color="auto"/>
          <w:right w:val="single" w:sz="4" w:space="4" w:color="auto"/>
        </w:pBdr>
        <w:ind w:left="0" w:firstLine="0"/>
        <w:jc w:val="center"/>
        <w:rPr>
          <w:b/>
          <w:bCs/>
          <w:caps/>
          <w:sz w:val="44"/>
          <w:szCs w:val="36"/>
          <w:highlight w:val="white"/>
        </w:rPr>
      </w:pPr>
      <w:r>
        <w:rPr>
          <w:b/>
          <w:bCs/>
          <w:caps/>
          <w:sz w:val="44"/>
          <w:szCs w:val="36"/>
          <w:highlight w:val="white"/>
        </w:rPr>
        <w:t>APPEL A PROJETS</w:t>
      </w:r>
    </w:p>
    <w:p w14:paraId="65FAE5A9" w14:textId="472161EE" w:rsidR="00652D99" w:rsidRDefault="00D011FB">
      <w:pPr>
        <w:pBdr>
          <w:top w:val="single" w:sz="4" w:space="1" w:color="auto"/>
          <w:left w:val="single" w:sz="4" w:space="4" w:color="auto"/>
          <w:bottom w:val="single" w:sz="4" w:space="1" w:color="auto"/>
          <w:right w:val="single" w:sz="4" w:space="4" w:color="auto"/>
        </w:pBdr>
        <w:ind w:left="0" w:firstLine="0"/>
        <w:jc w:val="center"/>
        <w:rPr>
          <w:b/>
          <w:bCs/>
          <w:caps/>
          <w:sz w:val="44"/>
          <w:szCs w:val="36"/>
          <w:highlight w:val="white"/>
        </w:rPr>
      </w:pPr>
      <w:r>
        <w:rPr>
          <w:b/>
          <w:bCs/>
          <w:caps/>
          <w:sz w:val="44"/>
          <w:szCs w:val="36"/>
          <w:highlight w:val="white"/>
        </w:rPr>
        <w:t>DECARB IND</w:t>
      </w:r>
    </w:p>
    <w:p w14:paraId="654975A6" w14:textId="77777777" w:rsidR="00652D99" w:rsidRDefault="00652D99">
      <w:pPr>
        <w:pBdr>
          <w:top w:val="single" w:sz="4" w:space="1" w:color="auto"/>
          <w:left w:val="single" w:sz="4" w:space="4" w:color="auto"/>
          <w:bottom w:val="single" w:sz="4" w:space="1" w:color="auto"/>
          <w:right w:val="single" w:sz="4" w:space="4" w:color="auto"/>
        </w:pBdr>
        <w:ind w:left="0" w:firstLine="0"/>
        <w:jc w:val="center"/>
        <w:rPr>
          <w:b/>
          <w:bCs/>
          <w:caps/>
          <w:sz w:val="32"/>
          <w:szCs w:val="24"/>
        </w:rPr>
      </w:pPr>
    </w:p>
    <w:p w14:paraId="4E333D04" w14:textId="77777777" w:rsidR="00652D99" w:rsidRDefault="00652D99">
      <w:pPr>
        <w:ind w:left="0" w:firstLine="0"/>
      </w:pPr>
    </w:p>
    <w:p w14:paraId="1EB8A8E2" w14:textId="0535A4E7" w:rsidR="00652D99" w:rsidRDefault="00D011FB">
      <w:pPr>
        <w:ind w:left="0" w:firstLine="0"/>
        <w:jc w:val="center"/>
        <w:rPr>
          <w:rFonts w:cstheme="minorHAnsi"/>
          <w:b/>
          <w:smallCaps/>
          <w:sz w:val="32"/>
          <w:szCs w:val="32"/>
        </w:rPr>
      </w:pPr>
      <w:r>
        <w:rPr>
          <w:rFonts w:cstheme="minorHAnsi"/>
          <w:b/>
          <w:smallCaps/>
          <w:sz w:val="32"/>
          <w:szCs w:val="32"/>
        </w:rPr>
        <w:t>Volet Technique</w:t>
      </w:r>
    </w:p>
    <w:p w14:paraId="2D33A531" w14:textId="77777777" w:rsidR="00652D99" w:rsidRDefault="00652D99">
      <w:pPr>
        <w:ind w:left="0" w:firstLine="0"/>
        <w:rPr>
          <w:sz w:val="20"/>
          <w:u w:val="single"/>
        </w:rPr>
      </w:pPr>
    </w:p>
    <w:p w14:paraId="5DB03838" w14:textId="3F7BE1FE" w:rsidR="00807F15" w:rsidRDefault="00CB6609">
      <w:pPr>
        <w:ind w:left="0" w:firstLine="0"/>
        <w:rPr>
          <w:sz w:val="20"/>
        </w:rPr>
      </w:pPr>
      <w:r>
        <w:rPr>
          <w:sz w:val="20"/>
        </w:rPr>
        <w:t>La</w:t>
      </w:r>
      <w:r w:rsidR="00D011FB" w:rsidRPr="00D47735">
        <w:rPr>
          <w:sz w:val="20"/>
        </w:rPr>
        <w:t xml:space="preserve"> </w:t>
      </w:r>
      <w:r w:rsidR="00807F15">
        <w:rPr>
          <w:sz w:val="20"/>
        </w:rPr>
        <w:t xml:space="preserve">date de la </w:t>
      </w:r>
      <w:r w:rsidR="00D011FB" w:rsidRPr="00D47735">
        <w:rPr>
          <w:sz w:val="20"/>
        </w:rPr>
        <w:t>relè</w:t>
      </w:r>
      <w:r w:rsidR="00807F15">
        <w:rPr>
          <w:sz w:val="20"/>
        </w:rPr>
        <w:t>ve est fixée au</w:t>
      </w:r>
      <w:r w:rsidR="00D011FB" w:rsidRPr="00D47735">
        <w:rPr>
          <w:sz w:val="20"/>
        </w:rPr>
        <w:t xml:space="preserve"> </w:t>
      </w:r>
      <w:r w:rsidR="00340642">
        <w:rPr>
          <w:sz w:val="20"/>
        </w:rPr>
        <w:t xml:space="preserve">13 mars </w:t>
      </w:r>
      <w:r w:rsidR="00D011FB" w:rsidRPr="00D47735">
        <w:rPr>
          <w:sz w:val="20"/>
        </w:rPr>
        <w:t>202</w:t>
      </w:r>
      <w:r w:rsidR="00340642">
        <w:rPr>
          <w:sz w:val="20"/>
        </w:rPr>
        <w:t>5</w:t>
      </w:r>
      <w:r w:rsidR="00D011FB" w:rsidRPr="00D47735">
        <w:rPr>
          <w:sz w:val="20"/>
        </w:rPr>
        <w:t xml:space="preserve"> à 15h00 </w:t>
      </w:r>
      <w:r w:rsidR="00807F15">
        <w:rPr>
          <w:sz w:val="20"/>
        </w:rPr>
        <w:t xml:space="preserve">(GMT+1). </w:t>
      </w:r>
    </w:p>
    <w:p w14:paraId="05F53AEF" w14:textId="77777777" w:rsidR="00807F15" w:rsidRPr="00D47735" w:rsidRDefault="00807F15">
      <w:pPr>
        <w:ind w:left="0" w:firstLine="0"/>
        <w:rPr>
          <w:sz w:val="20"/>
        </w:rPr>
      </w:pPr>
    </w:p>
    <w:p w14:paraId="2A21A2B9" w14:textId="0FB11DBE" w:rsidR="00652D99" w:rsidRDefault="00D011FB">
      <w:pPr>
        <w:spacing w:line="259" w:lineRule="auto"/>
        <w:ind w:left="0" w:firstLine="0"/>
        <w:rPr>
          <w:rFonts w:eastAsiaTheme="minorHAnsi" w:cstheme="minorBidi"/>
        </w:rPr>
      </w:pPr>
      <w:r>
        <w:rPr>
          <w:sz w:val="20"/>
        </w:rPr>
        <w:t xml:space="preserve">D‘autres </w:t>
      </w:r>
      <w:r w:rsidR="00807F15">
        <w:rPr>
          <w:sz w:val="20"/>
        </w:rPr>
        <w:t xml:space="preserve">échéances </w:t>
      </w:r>
      <w:r w:rsidR="00E00564">
        <w:rPr>
          <w:sz w:val="20"/>
        </w:rPr>
        <w:t>pourront</w:t>
      </w:r>
      <w:r>
        <w:rPr>
          <w:sz w:val="20"/>
        </w:rPr>
        <w:t xml:space="preserve"> </w:t>
      </w:r>
      <w:r w:rsidR="00807F15">
        <w:rPr>
          <w:sz w:val="20"/>
        </w:rPr>
        <w:t xml:space="preserve">avoir </w:t>
      </w:r>
      <w:r>
        <w:rPr>
          <w:sz w:val="20"/>
        </w:rPr>
        <w:t xml:space="preserve">lieu </w:t>
      </w:r>
      <w:r w:rsidR="00807F15">
        <w:rPr>
          <w:sz w:val="20"/>
        </w:rPr>
        <w:t>en 2025 et 2026</w:t>
      </w:r>
      <w:r>
        <w:rPr>
          <w:sz w:val="20"/>
        </w:rPr>
        <w:t>.</w:t>
      </w:r>
    </w:p>
    <w:p w14:paraId="676C5584" w14:textId="77777777" w:rsidR="00652D99" w:rsidRDefault="00652D99">
      <w:pPr>
        <w:spacing w:line="259" w:lineRule="auto"/>
        <w:ind w:left="0" w:firstLine="0"/>
        <w:rPr>
          <w:rFonts w:eastAsiaTheme="minorHAnsi" w:cstheme="minorBidi"/>
          <w:sz w:val="20"/>
          <w:u w:val="single"/>
          <w:lang w:eastAsia="en-US"/>
        </w:rPr>
      </w:pPr>
    </w:p>
    <w:p w14:paraId="1BD4856D" w14:textId="18930C10" w:rsidR="00807F15" w:rsidRDefault="00D011FB">
      <w:pPr>
        <w:ind w:left="0" w:right="-711" w:firstLine="0"/>
        <w:rPr>
          <w:sz w:val="20"/>
        </w:rPr>
      </w:pPr>
      <w:r>
        <w:rPr>
          <w:rFonts w:eastAsiaTheme="minorHAnsi" w:cstheme="minorBidi"/>
          <w:sz w:val="20"/>
          <w:lang w:eastAsia="en-US"/>
        </w:rPr>
        <w:t>Dossier complet à envoyer par voie électronique sur la plateforme ADEME</w:t>
      </w:r>
      <w:r>
        <w:rPr>
          <w:rFonts w:ascii="Calibri" w:eastAsiaTheme="minorHAnsi" w:hAnsi="Calibri" w:cs="Calibri"/>
          <w:sz w:val="20"/>
          <w:lang w:eastAsia="en-US"/>
        </w:rPr>
        <w:t xml:space="preserve"> </w:t>
      </w:r>
      <w:r>
        <w:rPr>
          <w:rFonts w:eastAsiaTheme="minorHAnsi" w:cstheme="minorBidi"/>
          <w:sz w:val="20"/>
          <w:lang w:eastAsia="en-US"/>
        </w:rPr>
        <w:t>AGIR</w:t>
      </w:r>
      <w:r>
        <w:rPr>
          <w:rFonts w:ascii="Calibri" w:eastAsiaTheme="minorHAnsi" w:hAnsi="Calibri" w:cs="Calibri"/>
          <w:sz w:val="20"/>
          <w:lang w:eastAsia="en-US"/>
        </w:rPr>
        <w:t> </w:t>
      </w:r>
      <w:r>
        <w:rPr>
          <w:rFonts w:eastAsiaTheme="minorHAnsi" w:cstheme="minorBidi"/>
          <w:sz w:val="20"/>
          <w:lang w:eastAsia="en-US"/>
        </w:rPr>
        <w:t xml:space="preserve">: </w:t>
      </w:r>
      <w:hyperlink r:id="rId9" w:history="1">
        <w:r w:rsidR="00807F15" w:rsidRPr="000E3E74">
          <w:rPr>
            <w:rStyle w:val="Lienhypertexte"/>
            <w:sz w:val="20"/>
          </w:rPr>
          <w:t>https://agirpourlatransition.ademe.fr/entreprises</w:t>
        </w:r>
      </w:hyperlink>
    </w:p>
    <w:p w14:paraId="55F0FFC7" w14:textId="77777777" w:rsidR="00652D99" w:rsidRDefault="00652D99">
      <w:pPr>
        <w:ind w:left="0" w:right="-711" w:firstLine="0"/>
        <w:rPr>
          <w:rFonts w:eastAsiaTheme="minorHAnsi" w:cstheme="minorBidi"/>
          <w:sz w:val="20"/>
          <w:u w:val="single"/>
          <w:lang w:eastAsia="en-US"/>
        </w:rPr>
      </w:pPr>
    </w:p>
    <w:p w14:paraId="19916850" w14:textId="0464DF20" w:rsidR="00652D99" w:rsidRDefault="00D011FB">
      <w:pPr>
        <w:ind w:left="0" w:firstLine="0"/>
        <w:rPr>
          <w:rFonts w:cstheme="minorHAnsi"/>
          <w:sz w:val="20"/>
        </w:rPr>
      </w:pPr>
      <w:r>
        <w:rPr>
          <w:rFonts w:eastAsiaTheme="minorHAnsi" w:cstheme="minorBidi"/>
          <w:sz w:val="20"/>
          <w:u w:val="single"/>
          <w:lang w:eastAsia="en-US"/>
        </w:rPr>
        <w:t>Contact pour toute information complémentaire par courriel :</w:t>
      </w:r>
      <w:r>
        <w:rPr>
          <w:rFonts w:cstheme="minorHAnsi"/>
          <w:sz w:val="20"/>
        </w:rPr>
        <w:t xml:space="preserve"> </w:t>
      </w:r>
      <w:hyperlink r:id="rId10" w:tooltip="mailto:decarbonation.industrie@ademe.fr" w:history="1">
        <w:r>
          <w:rPr>
            <w:rStyle w:val="Lienhypertexte"/>
            <w:rFonts w:cstheme="minorHAnsi"/>
            <w:sz w:val="20"/>
          </w:rPr>
          <w:t>decarbonation.industrie@ademe.fr</w:t>
        </w:r>
      </w:hyperlink>
    </w:p>
    <w:p w14:paraId="7A5B7191" w14:textId="77777777" w:rsidR="00652D99" w:rsidRDefault="00652D99">
      <w:pPr>
        <w:ind w:left="0" w:firstLine="0"/>
        <w:rPr>
          <w:rFonts w:cstheme="minorHAnsi"/>
          <w:sz w:val="20"/>
          <w:u w:val="single"/>
        </w:rPr>
      </w:pPr>
    </w:p>
    <w:p w14:paraId="2120C3D6" w14:textId="77777777" w:rsidR="00652D99" w:rsidRDefault="00D011FB">
      <w:pPr>
        <w:pBdr>
          <w:top w:val="single" w:sz="4" w:space="1" w:color="auto"/>
          <w:left w:val="single" w:sz="4" w:space="4" w:color="auto"/>
          <w:bottom w:val="single" w:sz="4" w:space="1" w:color="auto"/>
          <w:right w:val="single" w:sz="4" w:space="4" w:color="auto"/>
        </w:pBdr>
        <w:spacing w:line="360" w:lineRule="auto"/>
        <w:ind w:left="0" w:firstLine="0"/>
        <w:jc w:val="center"/>
        <w:rPr>
          <w:rFonts w:cstheme="minorHAnsi"/>
          <w:b/>
          <w:smallCaps/>
          <w:sz w:val="20"/>
        </w:rPr>
      </w:pPr>
      <w:r>
        <w:rPr>
          <w:rFonts w:cstheme="minorHAnsi"/>
          <w:b/>
          <w:smallCaps/>
          <w:sz w:val="20"/>
        </w:rPr>
        <w:t xml:space="preserve">LES AIDES DE L’ADEME NE CONSTITUENT PAS UN DROIT DE DELIVRANCE </w:t>
      </w:r>
    </w:p>
    <w:p w14:paraId="01059B79" w14:textId="77777777" w:rsidR="00652D99" w:rsidRDefault="00D011FB">
      <w:pPr>
        <w:pBdr>
          <w:top w:val="single" w:sz="4" w:space="1" w:color="auto"/>
          <w:left w:val="single" w:sz="4" w:space="4" w:color="auto"/>
          <w:bottom w:val="single" w:sz="4" w:space="1" w:color="auto"/>
          <w:right w:val="single" w:sz="4" w:space="4" w:color="auto"/>
        </w:pBdr>
        <w:spacing w:line="360" w:lineRule="auto"/>
        <w:ind w:left="0" w:firstLine="0"/>
        <w:jc w:val="center"/>
        <w:rPr>
          <w:rFonts w:cstheme="minorHAnsi"/>
          <w:b/>
          <w:smallCaps/>
          <w:sz w:val="20"/>
        </w:rPr>
      </w:pPr>
      <w:r>
        <w:rPr>
          <w:rFonts w:cstheme="minorHAnsi"/>
          <w:b/>
          <w:smallCaps/>
          <w:sz w:val="20"/>
        </w:rPr>
        <w:t>ET N’ONT PAS DE CARACTERE SYSTEMATIQUE</w:t>
      </w:r>
    </w:p>
    <w:p w14:paraId="4F2A234F" w14:textId="77777777" w:rsidR="00652D99" w:rsidRDefault="00652D99">
      <w:pPr>
        <w:ind w:left="0" w:firstLine="0"/>
        <w:rPr>
          <w:sz w:val="20"/>
        </w:rPr>
      </w:pPr>
    </w:p>
    <w:p w14:paraId="1E9969F1" w14:textId="77777777" w:rsidR="00652D99" w:rsidRDefault="00D011FB">
      <w:pPr>
        <w:ind w:left="0" w:firstLine="0"/>
        <w:jc w:val="both"/>
        <w:rPr>
          <w:rFonts w:cstheme="minorHAnsi"/>
          <w:sz w:val="20"/>
        </w:rPr>
      </w:pPr>
      <w:r>
        <w:rPr>
          <w:rFonts w:cstheme="minorHAnsi"/>
          <w:sz w:val="20"/>
        </w:rPr>
        <w:t>Le document ci-joint constitue le volet technique à remplir par le porteur d’un projet concernant</w:t>
      </w:r>
      <w:r>
        <w:rPr>
          <w:rFonts w:cstheme="minorHAnsi"/>
          <w:smallCaps/>
          <w:sz w:val="20"/>
        </w:rPr>
        <w:t xml:space="preserve"> </w:t>
      </w:r>
      <w:r>
        <w:rPr>
          <w:rFonts w:cstheme="minorHAnsi"/>
          <w:sz w:val="20"/>
        </w:rPr>
        <w:t>la mise en œuvre d’une opération de décarbonation de l’outil productif.</w:t>
      </w:r>
    </w:p>
    <w:p w14:paraId="7E81F220" w14:textId="77777777" w:rsidR="00652D99" w:rsidRDefault="00D011FB">
      <w:pPr>
        <w:ind w:left="0" w:firstLine="0"/>
        <w:jc w:val="both"/>
        <w:rPr>
          <w:rFonts w:cstheme="minorHAnsi"/>
          <w:sz w:val="20"/>
        </w:rPr>
      </w:pPr>
      <w:r>
        <w:rPr>
          <w:rFonts w:cstheme="minorHAnsi"/>
          <w:sz w:val="20"/>
        </w:rPr>
        <w:t>Les conditions d’éligibilité d’un projet sont précisées dans le cahier des charges.</w:t>
      </w:r>
    </w:p>
    <w:p w14:paraId="5A32C2F0" w14:textId="77777777" w:rsidR="00652D99" w:rsidRDefault="00652D99">
      <w:pPr>
        <w:ind w:left="0" w:firstLine="0"/>
        <w:jc w:val="both"/>
        <w:rPr>
          <w:rFonts w:cstheme="minorHAnsi"/>
          <w:sz w:val="20"/>
        </w:rPr>
      </w:pPr>
    </w:p>
    <w:p w14:paraId="686D6134" w14:textId="77777777" w:rsidR="00652D99" w:rsidRDefault="00D011FB">
      <w:pPr>
        <w:ind w:left="0" w:firstLine="0"/>
        <w:jc w:val="both"/>
        <w:rPr>
          <w:rFonts w:cstheme="minorHAnsi"/>
          <w:sz w:val="20"/>
        </w:rPr>
      </w:pPr>
      <w:r>
        <w:rPr>
          <w:rFonts w:cstheme="minorHAnsi"/>
          <w:sz w:val="20"/>
        </w:rPr>
        <w:t xml:space="preserve">Il est impératif de rendre ce dossier complété au format texte modifiable (type Word). </w:t>
      </w:r>
      <w:r>
        <w:rPr>
          <w:rFonts w:eastAsia="Arial,TimesNewRoman" w:cstheme="minorHAnsi"/>
          <w:sz w:val="20"/>
        </w:rPr>
        <w:t>Les réponses aux questions soulevées dans ce document ne sont pas optionnelles</w:t>
      </w:r>
      <w:r>
        <w:rPr>
          <w:rFonts w:eastAsia="Arial,TimesNewRoman" w:cs="Calibri"/>
          <w:sz w:val="20"/>
        </w:rPr>
        <w:t>.</w:t>
      </w:r>
    </w:p>
    <w:p w14:paraId="4736F6EF" w14:textId="77777777" w:rsidR="00652D99" w:rsidRPr="00B25438" w:rsidRDefault="00D011FB">
      <w:pPr>
        <w:ind w:left="0" w:firstLine="0"/>
        <w:jc w:val="both"/>
        <w:rPr>
          <w:rFonts w:eastAsia="Arial" w:cstheme="minorHAnsi"/>
          <w:color w:val="FF0000"/>
          <w:sz w:val="20"/>
          <w:highlight w:val="white"/>
        </w:rPr>
      </w:pPr>
      <w:r>
        <w:rPr>
          <w:rFonts w:eastAsia="Arial" w:cstheme="minorHAnsi"/>
          <w:color w:val="FF0000"/>
          <w:sz w:val="20"/>
        </w:rPr>
        <w:t>Tout dossier incomplet ne sera pas traité. Le dossier ne devra pas excéder</w:t>
      </w:r>
      <w:r>
        <w:rPr>
          <w:rFonts w:eastAsia="Arial" w:cstheme="minorHAnsi"/>
          <w:color w:val="FF0000"/>
          <w:sz w:val="20"/>
          <w:highlight w:val="white"/>
        </w:rPr>
        <w:t xml:space="preserve"> 30 pages.</w:t>
      </w:r>
    </w:p>
    <w:p w14:paraId="22AC1002" w14:textId="77777777" w:rsidR="00652D99" w:rsidRDefault="00652D99">
      <w:pPr>
        <w:ind w:left="0" w:firstLine="0"/>
        <w:jc w:val="both"/>
        <w:rPr>
          <w:rFonts w:eastAsia="Arial" w:cstheme="minorHAnsi"/>
          <w:sz w:val="20"/>
        </w:rPr>
      </w:pPr>
    </w:p>
    <w:p w14:paraId="3DEEE6C2" w14:textId="54614508" w:rsidR="00652D99" w:rsidRDefault="00D011FB">
      <w:pPr>
        <w:ind w:left="0" w:firstLine="0"/>
        <w:jc w:val="both"/>
        <w:rPr>
          <w:rFonts w:cs="Segoe UI"/>
          <w:color w:val="0000FF"/>
          <w:sz w:val="20"/>
          <w:u w:val="single"/>
        </w:rPr>
      </w:pPr>
      <w:r>
        <w:rPr>
          <w:rFonts w:cstheme="minorHAnsi"/>
          <w:sz w:val="20"/>
        </w:rPr>
        <w:t>Au préalable, il est demandé au porteur de projet de prendre connaissance des règles générales de l’ADEME</w:t>
      </w:r>
      <w:r>
        <w:rPr>
          <w:rFonts w:ascii="Calibri" w:hAnsi="Calibri" w:cs="Calibri"/>
          <w:sz w:val="20"/>
        </w:rPr>
        <w:t> </w:t>
      </w:r>
      <w:r>
        <w:rPr>
          <w:rFonts w:cstheme="minorHAnsi"/>
          <w:sz w:val="20"/>
        </w:rPr>
        <w:t xml:space="preserve">: </w:t>
      </w:r>
      <w:hyperlink r:id="rId11" w:history="1">
        <w:r>
          <w:rPr>
            <w:rStyle w:val="Lienhypertexte"/>
            <w:rFonts w:cstheme="minorHAnsi"/>
            <w:sz w:val="20"/>
          </w:rPr>
          <w:t>https://www.ademe.fr/wp-content/uploads/2022/09/2022-regles-generales-attribution-aides-ademe.pdf</w:t>
        </w:r>
      </w:hyperlink>
    </w:p>
    <w:p w14:paraId="49A2EACB" w14:textId="77777777" w:rsidR="00652D99" w:rsidRDefault="00652D99">
      <w:pPr>
        <w:ind w:left="0" w:firstLine="0"/>
        <w:jc w:val="both"/>
        <w:rPr>
          <w:rFonts w:cstheme="minorHAnsi"/>
          <w:sz w:val="20"/>
        </w:rPr>
      </w:pPr>
    </w:p>
    <w:p w14:paraId="343B8604" w14:textId="47452648" w:rsidR="00652D99" w:rsidRDefault="00652D99">
      <w:pPr>
        <w:ind w:left="0" w:firstLine="0"/>
        <w:jc w:val="both"/>
        <w:rPr>
          <w:rFonts w:cstheme="minorHAnsi"/>
          <w:b/>
          <w:bCs/>
          <w:sz w:val="20"/>
          <w:u w:val="single"/>
        </w:rPr>
      </w:pPr>
    </w:p>
    <w:p w14:paraId="42DA748B" w14:textId="0D9E2FB6" w:rsidR="00B3629C" w:rsidRDefault="00B3629C">
      <w:pPr>
        <w:ind w:left="0" w:firstLine="0"/>
        <w:jc w:val="both"/>
        <w:rPr>
          <w:rFonts w:cstheme="minorHAnsi"/>
          <w:b/>
          <w:bCs/>
          <w:sz w:val="20"/>
          <w:u w:val="single"/>
        </w:rPr>
      </w:pPr>
    </w:p>
    <w:p w14:paraId="08992313" w14:textId="77777777" w:rsidR="00B3629C" w:rsidRDefault="00B3629C">
      <w:pPr>
        <w:ind w:left="0" w:firstLine="0"/>
        <w:jc w:val="both"/>
        <w:rPr>
          <w:rFonts w:cstheme="minorHAnsi"/>
          <w:b/>
          <w:bCs/>
          <w:sz w:val="20"/>
          <w:u w:val="single"/>
        </w:rPr>
      </w:pPr>
    </w:p>
    <w:p w14:paraId="471C615F" w14:textId="77777777" w:rsidR="00B3629C" w:rsidRDefault="00B3629C">
      <w:pPr>
        <w:ind w:left="0" w:firstLine="0"/>
        <w:jc w:val="both"/>
        <w:rPr>
          <w:rFonts w:cstheme="minorHAnsi"/>
          <w:sz w:val="20"/>
        </w:rPr>
      </w:pPr>
    </w:p>
    <w:p w14:paraId="6A911CF2" w14:textId="69EDDCA3" w:rsidR="00652D99" w:rsidRDefault="00652D99">
      <w:pPr>
        <w:ind w:left="0" w:firstLine="0"/>
        <w:jc w:val="both"/>
        <w:rPr>
          <w:rFonts w:cstheme="minorHAnsi"/>
          <w:sz w:val="20"/>
        </w:rPr>
      </w:pPr>
    </w:p>
    <w:p w14:paraId="3615D370" w14:textId="77777777" w:rsidR="00807F15" w:rsidRDefault="00807F15">
      <w:pPr>
        <w:ind w:left="0" w:firstLine="0"/>
        <w:jc w:val="both"/>
        <w:rPr>
          <w:rFonts w:cstheme="minorHAnsi"/>
          <w:sz w:val="20"/>
        </w:rPr>
      </w:pPr>
    </w:p>
    <w:sdt>
      <w:sdtPr>
        <w:rPr>
          <w:rFonts w:ascii="Marianne" w:eastAsia="Times New Roman" w:hAnsi="Marianne" w:cs="Arial"/>
          <w:b/>
          <w:bCs/>
          <w:color w:val="0070C0"/>
          <w:spacing w:val="0"/>
          <w:sz w:val="32"/>
          <w:szCs w:val="32"/>
          <w:lang w:eastAsia="fr-FR"/>
        </w:rPr>
        <w:id w:val="-1053615114"/>
        <w:docPartObj>
          <w:docPartGallery w:val="Table of Contents"/>
          <w:docPartUnique/>
        </w:docPartObj>
      </w:sdtPr>
      <w:sdtContent>
        <w:p w14:paraId="5C10536B" w14:textId="77777777" w:rsidR="00652D99" w:rsidRDefault="00D011FB">
          <w:pPr>
            <w:pStyle w:val="Titre"/>
            <w:jc w:val="center"/>
            <w:rPr>
              <w:rFonts w:ascii="Marianne" w:hAnsi="Marianne"/>
              <w:b/>
              <w:bCs/>
              <w:color w:val="0070C0"/>
              <w:sz w:val="32"/>
              <w:szCs w:val="32"/>
            </w:rPr>
          </w:pPr>
          <w:r>
            <w:rPr>
              <w:rFonts w:ascii="Marianne" w:hAnsi="Marianne"/>
              <w:b/>
              <w:bCs/>
              <w:color w:val="0070C0"/>
              <w:sz w:val="32"/>
              <w:szCs w:val="32"/>
            </w:rPr>
            <w:t>Table des matières</w:t>
          </w:r>
        </w:p>
        <w:p w14:paraId="4BB1F1F5" w14:textId="3B4D4EB3" w:rsidR="0087799D" w:rsidRDefault="00D011FB">
          <w:pPr>
            <w:pStyle w:val="TM1"/>
            <w:rPr>
              <w:rFonts w:asciiTheme="minorHAnsi" w:eastAsiaTheme="minorEastAsia" w:hAnsiTheme="minorHAnsi" w:cstheme="minorBidi"/>
              <w:b w:val="0"/>
              <w:noProof/>
              <w:kern w:val="2"/>
              <w:sz w:val="22"/>
              <w:szCs w:val="22"/>
              <w14:ligatures w14:val="standardContextual"/>
            </w:rPr>
          </w:pPr>
          <w:r>
            <w:rPr>
              <w:rFonts w:cstheme="minorHAnsi"/>
              <w:bCs/>
              <w:sz w:val="22"/>
              <w:szCs w:val="18"/>
            </w:rPr>
            <w:fldChar w:fldCharType="begin"/>
          </w:r>
          <w:r>
            <w:rPr>
              <w:rFonts w:cstheme="minorHAnsi"/>
              <w:bCs/>
              <w:sz w:val="22"/>
              <w:szCs w:val="18"/>
            </w:rPr>
            <w:instrText xml:space="preserve"> TOC \o "1-3" \h \z \u </w:instrText>
          </w:r>
          <w:r>
            <w:rPr>
              <w:rFonts w:cstheme="minorHAnsi"/>
              <w:bCs/>
              <w:sz w:val="22"/>
              <w:szCs w:val="18"/>
            </w:rPr>
            <w:fldChar w:fldCharType="separate"/>
          </w:r>
          <w:hyperlink w:anchor="_Toc153893231" w:history="1">
            <w:r w:rsidR="0087799D" w:rsidRPr="00FB18D1">
              <w:rPr>
                <w:rStyle w:val="Lienhypertexte"/>
                <w:rFonts w:eastAsia="Arial" w:cs="Times New Roman"/>
                <w:noProof/>
              </w:rPr>
              <w:t>1</w:t>
            </w:r>
            <w:r w:rsidR="0087799D">
              <w:rPr>
                <w:rFonts w:asciiTheme="minorHAnsi" w:eastAsiaTheme="minorEastAsia" w:hAnsiTheme="minorHAnsi" w:cstheme="minorBidi"/>
                <w:b w:val="0"/>
                <w:noProof/>
                <w:kern w:val="2"/>
                <w:sz w:val="22"/>
                <w:szCs w:val="22"/>
                <w14:ligatures w14:val="standardContextual"/>
              </w:rPr>
              <w:tab/>
            </w:r>
            <w:r w:rsidR="0087799D" w:rsidRPr="00FB18D1">
              <w:rPr>
                <w:rStyle w:val="Lienhypertexte"/>
                <w:rFonts w:eastAsia="Arial" w:cs="Times New Roman"/>
                <w:noProof/>
              </w:rPr>
              <w:t>Présentation du projet</w:t>
            </w:r>
            <w:r w:rsidR="0087799D">
              <w:rPr>
                <w:noProof/>
                <w:webHidden/>
              </w:rPr>
              <w:tab/>
            </w:r>
            <w:r w:rsidR="0087799D">
              <w:rPr>
                <w:noProof/>
                <w:webHidden/>
              </w:rPr>
              <w:fldChar w:fldCharType="begin"/>
            </w:r>
            <w:r w:rsidR="0087799D">
              <w:rPr>
                <w:noProof/>
                <w:webHidden/>
              </w:rPr>
              <w:instrText xml:space="preserve"> PAGEREF _Toc153893231 \h </w:instrText>
            </w:r>
            <w:r w:rsidR="0087799D">
              <w:rPr>
                <w:noProof/>
                <w:webHidden/>
              </w:rPr>
            </w:r>
            <w:r w:rsidR="0087799D">
              <w:rPr>
                <w:noProof/>
                <w:webHidden/>
              </w:rPr>
              <w:fldChar w:fldCharType="separate"/>
            </w:r>
            <w:r w:rsidR="0087799D">
              <w:rPr>
                <w:noProof/>
                <w:webHidden/>
              </w:rPr>
              <w:t>3</w:t>
            </w:r>
            <w:r w:rsidR="0087799D">
              <w:rPr>
                <w:noProof/>
                <w:webHidden/>
              </w:rPr>
              <w:fldChar w:fldCharType="end"/>
            </w:r>
          </w:hyperlink>
        </w:p>
        <w:p w14:paraId="049C26B0" w14:textId="3ECB893F" w:rsidR="0087799D" w:rsidRDefault="0087799D">
          <w:pPr>
            <w:pStyle w:val="TM2"/>
            <w:rPr>
              <w:rFonts w:asciiTheme="minorHAnsi" w:eastAsiaTheme="minorEastAsia" w:hAnsiTheme="minorHAnsi" w:cstheme="minorBidi"/>
              <w:noProof/>
              <w:kern w:val="2"/>
              <w:szCs w:val="22"/>
              <w14:ligatures w14:val="standardContextual"/>
            </w:rPr>
          </w:pPr>
          <w:hyperlink w:anchor="_Toc153893232" w:history="1">
            <w:r w:rsidRPr="00FB18D1">
              <w:rPr>
                <w:rStyle w:val="Lienhypertexte"/>
                <w:rFonts w:cstheme="minorHAnsi"/>
                <w:b/>
                <w:noProof/>
              </w:rPr>
              <w:t>1.1</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Carte d’identité du projet</w:t>
            </w:r>
            <w:r>
              <w:rPr>
                <w:noProof/>
                <w:webHidden/>
              </w:rPr>
              <w:tab/>
            </w:r>
            <w:r>
              <w:rPr>
                <w:noProof/>
                <w:webHidden/>
              </w:rPr>
              <w:fldChar w:fldCharType="begin"/>
            </w:r>
            <w:r>
              <w:rPr>
                <w:noProof/>
                <w:webHidden/>
              </w:rPr>
              <w:instrText xml:space="preserve"> PAGEREF _Toc153893232 \h </w:instrText>
            </w:r>
            <w:r>
              <w:rPr>
                <w:noProof/>
                <w:webHidden/>
              </w:rPr>
            </w:r>
            <w:r>
              <w:rPr>
                <w:noProof/>
                <w:webHidden/>
              </w:rPr>
              <w:fldChar w:fldCharType="separate"/>
            </w:r>
            <w:r>
              <w:rPr>
                <w:noProof/>
                <w:webHidden/>
              </w:rPr>
              <w:t>3</w:t>
            </w:r>
            <w:r>
              <w:rPr>
                <w:noProof/>
                <w:webHidden/>
              </w:rPr>
              <w:fldChar w:fldCharType="end"/>
            </w:r>
          </w:hyperlink>
        </w:p>
        <w:p w14:paraId="7584E9E1" w14:textId="025D8130" w:rsidR="0087799D" w:rsidRDefault="0087799D">
          <w:pPr>
            <w:pStyle w:val="TM2"/>
            <w:rPr>
              <w:rFonts w:asciiTheme="minorHAnsi" w:eastAsiaTheme="minorEastAsia" w:hAnsiTheme="minorHAnsi" w:cstheme="minorBidi"/>
              <w:noProof/>
              <w:kern w:val="2"/>
              <w:szCs w:val="22"/>
              <w14:ligatures w14:val="standardContextual"/>
            </w:rPr>
          </w:pPr>
          <w:hyperlink w:anchor="_Toc153893233" w:history="1">
            <w:r w:rsidRPr="00FB18D1">
              <w:rPr>
                <w:rStyle w:val="Lienhypertexte"/>
                <w:rFonts w:cstheme="minorHAnsi"/>
                <w:b/>
                <w:noProof/>
              </w:rPr>
              <w:t>1.2</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Description de la situation initiale (actuelle)</w:t>
            </w:r>
            <w:r>
              <w:rPr>
                <w:noProof/>
                <w:webHidden/>
              </w:rPr>
              <w:tab/>
            </w:r>
            <w:r>
              <w:rPr>
                <w:noProof/>
                <w:webHidden/>
              </w:rPr>
              <w:fldChar w:fldCharType="begin"/>
            </w:r>
            <w:r>
              <w:rPr>
                <w:noProof/>
                <w:webHidden/>
              </w:rPr>
              <w:instrText xml:space="preserve"> PAGEREF _Toc153893233 \h </w:instrText>
            </w:r>
            <w:r>
              <w:rPr>
                <w:noProof/>
                <w:webHidden/>
              </w:rPr>
            </w:r>
            <w:r>
              <w:rPr>
                <w:noProof/>
                <w:webHidden/>
              </w:rPr>
              <w:fldChar w:fldCharType="separate"/>
            </w:r>
            <w:r>
              <w:rPr>
                <w:noProof/>
                <w:webHidden/>
              </w:rPr>
              <w:t>3</w:t>
            </w:r>
            <w:r>
              <w:rPr>
                <w:noProof/>
                <w:webHidden/>
              </w:rPr>
              <w:fldChar w:fldCharType="end"/>
            </w:r>
          </w:hyperlink>
        </w:p>
        <w:p w14:paraId="070D4292" w14:textId="479A2FE3" w:rsidR="0087799D" w:rsidRDefault="0087799D">
          <w:pPr>
            <w:pStyle w:val="TM2"/>
            <w:rPr>
              <w:rFonts w:asciiTheme="minorHAnsi" w:eastAsiaTheme="minorEastAsia" w:hAnsiTheme="minorHAnsi" w:cstheme="minorBidi"/>
              <w:noProof/>
              <w:kern w:val="2"/>
              <w:szCs w:val="22"/>
              <w14:ligatures w14:val="standardContextual"/>
            </w:rPr>
          </w:pPr>
          <w:hyperlink w:anchor="_Toc153893234" w:history="1">
            <w:r w:rsidRPr="00FB18D1">
              <w:rPr>
                <w:rStyle w:val="Lienhypertexte"/>
                <w:rFonts w:cstheme="minorHAnsi"/>
                <w:b/>
                <w:noProof/>
              </w:rPr>
              <w:t>1.3</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Description de l’opération et de la situation après travaux (future)</w:t>
            </w:r>
            <w:r>
              <w:rPr>
                <w:noProof/>
                <w:webHidden/>
              </w:rPr>
              <w:tab/>
            </w:r>
            <w:r>
              <w:rPr>
                <w:noProof/>
                <w:webHidden/>
              </w:rPr>
              <w:fldChar w:fldCharType="begin"/>
            </w:r>
            <w:r>
              <w:rPr>
                <w:noProof/>
                <w:webHidden/>
              </w:rPr>
              <w:instrText xml:space="preserve"> PAGEREF _Toc153893234 \h </w:instrText>
            </w:r>
            <w:r>
              <w:rPr>
                <w:noProof/>
                <w:webHidden/>
              </w:rPr>
            </w:r>
            <w:r>
              <w:rPr>
                <w:noProof/>
                <w:webHidden/>
              </w:rPr>
              <w:fldChar w:fldCharType="separate"/>
            </w:r>
            <w:r>
              <w:rPr>
                <w:noProof/>
                <w:webHidden/>
              </w:rPr>
              <w:t>5</w:t>
            </w:r>
            <w:r>
              <w:rPr>
                <w:noProof/>
                <w:webHidden/>
              </w:rPr>
              <w:fldChar w:fldCharType="end"/>
            </w:r>
          </w:hyperlink>
        </w:p>
        <w:p w14:paraId="22BF88D3" w14:textId="708A1DB7" w:rsidR="0087799D" w:rsidRDefault="0087799D">
          <w:pPr>
            <w:pStyle w:val="TM2"/>
            <w:rPr>
              <w:rFonts w:asciiTheme="minorHAnsi" w:eastAsiaTheme="minorEastAsia" w:hAnsiTheme="minorHAnsi" w:cstheme="minorBidi"/>
              <w:noProof/>
              <w:kern w:val="2"/>
              <w:szCs w:val="22"/>
              <w14:ligatures w14:val="standardContextual"/>
            </w:rPr>
          </w:pPr>
          <w:hyperlink w:anchor="_Toc153893235" w:history="1">
            <w:r w:rsidRPr="00FB18D1">
              <w:rPr>
                <w:rStyle w:val="Lienhypertexte"/>
                <w:rFonts w:cstheme="minorHAnsi"/>
                <w:b/>
                <w:noProof/>
              </w:rPr>
              <w:t>1.4</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Cas des projets de pyrolyse ou de pyrogazéification</w:t>
            </w:r>
            <w:r>
              <w:rPr>
                <w:noProof/>
                <w:webHidden/>
              </w:rPr>
              <w:tab/>
            </w:r>
            <w:r>
              <w:rPr>
                <w:noProof/>
                <w:webHidden/>
              </w:rPr>
              <w:fldChar w:fldCharType="begin"/>
            </w:r>
            <w:r>
              <w:rPr>
                <w:noProof/>
                <w:webHidden/>
              </w:rPr>
              <w:instrText xml:space="preserve"> PAGEREF _Toc153893235 \h </w:instrText>
            </w:r>
            <w:r>
              <w:rPr>
                <w:noProof/>
                <w:webHidden/>
              </w:rPr>
            </w:r>
            <w:r>
              <w:rPr>
                <w:noProof/>
                <w:webHidden/>
              </w:rPr>
              <w:fldChar w:fldCharType="separate"/>
            </w:r>
            <w:r>
              <w:rPr>
                <w:noProof/>
                <w:webHidden/>
              </w:rPr>
              <w:t>6</w:t>
            </w:r>
            <w:r>
              <w:rPr>
                <w:noProof/>
                <w:webHidden/>
              </w:rPr>
              <w:fldChar w:fldCharType="end"/>
            </w:r>
          </w:hyperlink>
        </w:p>
        <w:p w14:paraId="23B09713" w14:textId="4A1D8C0E" w:rsidR="0087799D" w:rsidRDefault="0087799D">
          <w:pPr>
            <w:pStyle w:val="TM2"/>
            <w:rPr>
              <w:rFonts w:asciiTheme="minorHAnsi" w:eastAsiaTheme="minorEastAsia" w:hAnsiTheme="minorHAnsi" w:cstheme="minorBidi"/>
              <w:noProof/>
              <w:kern w:val="2"/>
              <w:szCs w:val="22"/>
              <w14:ligatures w14:val="standardContextual"/>
            </w:rPr>
          </w:pPr>
          <w:hyperlink w:anchor="_Toc153893244" w:history="1">
            <w:r w:rsidRPr="00FB18D1">
              <w:rPr>
                <w:rStyle w:val="Lienhypertexte"/>
                <w:rFonts w:cstheme="minorHAnsi"/>
                <w:b/>
                <w:noProof/>
              </w:rPr>
              <w:t>1.5</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Description du scénario contrefactuel</w:t>
            </w:r>
            <w:r>
              <w:rPr>
                <w:noProof/>
                <w:webHidden/>
              </w:rPr>
              <w:tab/>
            </w:r>
            <w:r>
              <w:rPr>
                <w:noProof/>
                <w:webHidden/>
              </w:rPr>
              <w:fldChar w:fldCharType="begin"/>
            </w:r>
            <w:r>
              <w:rPr>
                <w:noProof/>
                <w:webHidden/>
              </w:rPr>
              <w:instrText xml:space="preserve"> PAGEREF _Toc153893244 \h </w:instrText>
            </w:r>
            <w:r>
              <w:rPr>
                <w:noProof/>
                <w:webHidden/>
              </w:rPr>
            </w:r>
            <w:r>
              <w:rPr>
                <w:noProof/>
                <w:webHidden/>
              </w:rPr>
              <w:fldChar w:fldCharType="separate"/>
            </w:r>
            <w:r>
              <w:rPr>
                <w:noProof/>
                <w:webHidden/>
              </w:rPr>
              <w:t>9</w:t>
            </w:r>
            <w:r>
              <w:rPr>
                <w:noProof/>
                <w:webHidden/>
              </w:rPr>
              <w:fldChar w:fldCharType="end"/>
            </w:r>
          </w:hyperlink>
        </w:p>
        <w:p w14:paraId="48A07E62" w14:textId="2308DFBC" w:rsidR="0087799D" w:rsidRDefault="0087799D">
          <w:pPr>
            <w:pStyle w:val="TM2"/>
            <w:rPr>
              <w:rFonts w:asciiTheme="minorHAnsi" w:eastAsiaTheme="minorEastAsia" w:hAnsiTheme="minorHAnsi" w:cstheme="minorBidi"/>
              <w:noProof/>
              <w:kern w:val="2"/>
              <w:szCs w:val="22"/>
              <w14:ligatures w14:val="standardContextual"/>
            </w:rPr>
          </w:pPr>
          <w:hyperlink w:anchor="_Toc153893245" w:history="1">
            <w:r w:rsidRPr="00FB18D1">
              <w:rPr>
                <w:rStyle w:val="Lienhypertexte"/>
                <w:rFonts w:cstheme="minorHAnsi"/>
                <w:b/>
                <w:noProof/>
              </w:rPr>
              <w:t>1.6</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Adaptation au changement climatique</w:t>
            </w:r>
            <w:r>
              <w:rPr>
                <w:noProof/>
                <w:webHidden/>
              </w:rPr>
              <w:tab/>
            </w:r>
            <w:r>
              <w:rPr>
                <w:noProof/>
                <w:webHidden/>
              </w:rPr>
              <w:fldChar w:fldCharType="begin"/>
            </w:r>
            <w:r>
              <w:rPr>
                <w:noProof/>
                <w:webHidden/>
              </w:rPr>
              <w:instrText xml:space="preserve"> PAGEREF _Toc153893245 \h </w:instrText>
            </w:r>
            <w:r>
              <w:rPr>
                <w:noProof/>
                <w:webHidden/>
              </w:rPr>
            </w:r>
            <w:r>
              <w:rPr>
                <w:noProof/>
                <w:webHidden/>
              </w:rPr>
              <w:fldChar w:fldCharType="separate"/>
            </w:r>
            <w:r>
              <w:rPr>
                <w:noProof/>
                <w:webHidden/>
              </w:rPr>
              <w:t>11</w:t>
            </w:r>
            <w:r>
              <w:rPr>
                <w:noProof/>
                <w:webHidden/>
              </w:rPr>
              <w:fldChar w:fldCharType="end"/>
            </w:r>
          </w:hyperlink>
        </w:p>
        <w:p w14:paraId="501D3E35" w14:textId="06FCA435" w:rsidR="0087799D" w:rsidRDefault="0087799D">
          <w:pPr>
            <w:pStyle w:val="TM1"/>
            <w:rPr>
              <w:rFonts w:asciiTheme="minorHAnsi" w:eastAsiaTheme="minorEastAsia" w:hAnsiTheme="minorHAnsi" w:cstheme="minorBidi"/>
              <w:b w:val="0"/>
              <w:noProof/>
              <w:kern w:val="2"/>
              <w:sz w:val="22"/>
              <w:szCs w:val="22"/>
              <w14:ligatures w14:val="standardContextual"/>
            </w:rPr>
          </w:pPr>
          <w:hyperlink w:anchor="_Toc153893246" w:history="1">
            <w:r w:rsidRPr="00FB18D1">
              <w:rPr>
                <w:rStyle w:val="Lienhypertexte"/>
                <w:rFonts w:eastAsia="Arial" w:cs="Times New Roman"/>
                <w:noProof/>
              </w:rPr>
              <w:t>2</w:t>
            </w:r>
            <w:r>
              <w:rPr>
                <w:rFonts w:asciiTheme="minorHAnsi" w:eastAsiaTheme="minorEastAsia" w:hAnsiTheme="minorHAnsi" w:cstheme="minorBidi"/>
                <w:b w:val="0"/>
                <w:noProof/>
                <w:kern w:val="2"/>
                <w:sz w:val="22"/>
                <w:szCs w:val="22"/>
                <w14:ligatures w14:val="standardContextual"/>
              </w:rPr>
              <w:tab/>
            </w:r>
            <w:r w:rsidRPr="00FB18D1">
              <w:rPr>
                <w:rStyle w:val="Lienhypertexte"/>
                <w:rFonts w:eastAsia="Arial" w:cs="Times New Roman"/>
                <w:noProof/>
              </w:rPr>
              <w:t>Phase d’éligibilité</w:t>
            </w:r>
            <w:r>
              <w:rPr>
                <w:noProof/>
                <w:webHidden/>
              </w:rPr>
              <w:tab/>
            </w:r>
            <w:r>
              <w:rPr>
                <w:noProof/>
                <w:webHidden/>
              </w:rPr>
              <w:fldChar w:fldCharType="begin"/>
            </w:r>
            <w:r>
              <w:rPr>
                <w:noProof/>
                <w:webHidden/>
              </w:rPr>
              <w:instrText xml:space="preserve"> PAGEREF _Toc153893246 \h </w:instrText>
            </w:r>
            <w:r>
              <w:rPr>
                <w:noProof/>
                <w:webHidden/>
              </w:rPr>
            </w:r>
            <w:r>
              <w:rPr>
                <w:noProof/>
                <w:webHidden/>
              </w:rPr>
              <w:fldChar w:fldCharType="separate"/>
            </w:r>
            <w:r>
              <w:rPr>
                <w:noProof/>
                <w:webHidden/>
              </w:rPr>
              <w:t>12</w:t>
            </w:r>
            <w:r>
              <w:rPr>
                <w:noProof/>
                <w:webHidden/>
              </w:rPr>
              <w:fldChar w:fldCharType="end"/>
            </w:r>
          </w:hyperlink>
        </w:p>
        <w:p w14:paraId="0CE85179" w14:textId="78A2C4F2" w:rsidR="0087799D" w:rsidRDefault="0087799D">
          <w:pPr>
            <w:pStyle w:val="TM1"/>
            <w:rPr>
              <w:rFonts w:asciiTheme="minorHAnsi" w:eastAsiaTheme="minorEastAsia" w:hAnsiTheme="minorHAnsi" w:cstheme="minorBidi"/>
              <w:b w:val="0"/>
              <w:noProof/>
              <w:kern w:val="2"/>
              <w:sz w:val="22"/>
              <w:szCs w:val="22"/>
              <w14:ligatures w14:val="standardContextual"/>
            </w:rPr>
          </w:pPr>
          <w:hyperlink w:anchor="_Toc153893247" w:history="1">
            <w:r w:rsidRPr="00FB18D1">
              <w:rPr>
                <w:rStyle w:val="Lienhypertexte"/>
                <w:rFonts w:eastAsia="Arial" w:cs="Times New Roman"/>
                <w:noProof/>
              </w:rPr>
              <w:t>3</w:t>
            </w:r>
            <w:r>
              <w:rPr>
                <w:rFonts w:asciiTheme="minorHAnsi" w:eastAsiaTheme="minorEastAsia" w:hAnsiTheme="minorHAnsi" w:cstheme="minorBidi"/>
                <w:b w:val="0"/>
                <w:noProof/>
                <w:kern w:val="2"/>
                <w:sz w:val="22"/>
                <w:szCs w:val="22"/>
                <w14:ligatures w14:val="standardContextual"/>
              </w:rPr>
              <w:tab/>
            </w:r>
            <w:r w:rsidRPr="00FB18D1">
              <w:rPr>
                <w:rStyle w:val="Lienhypertexte"/>
                <w:rFonts w:eastAsia="Arial" w:cs="Times New Roman"/>
                <w:noProof/>
              </w:rPr>
              <w:t>Phase de notation</w:t>
            </w:r>
            <w:r>
              <w:rPr>
                <w:noProof/>
                <w:webHidden/>
              </w:rPr>
              <w:tab/>
            </w:r>
            <w:r>
              <w:rPr>
                <w:noProof/>
                <w:webHidden/>
              </w:rPr>
              <w:fldChar w:fldCharType="begin"/>
            </w:r>
            <w:r>
              <w:rPr>
                <w:noProof/>
                <w:webHidden/>
              </w:rPr>
              <w:instrText xml:space="preserve"> PAGEREF _Toc153893247 \h </w:instrText>
            </w:r>
            <w:r>
              <w:rPr>
                <w:noProof/>
                <w:webHidden/>
              </w:rPr>
            </w:r>
            <w:r>
              <w:rPr>
                <w:noProof/>
                <w:webHidden/>
              </w:rPr>
              <w:fldChar w:fldCharType="separate"/>
            </w:r>
            <w:r>
              <w:rPr>
                <w:noProof/>
                <w:webHidden/>
              </w:rPr>
              <w:t>12</w:t>
            </w:r>
            <w:r>
              <w:rPr>
                <w:noProof/>
                <w:webHidden/>
              </w:rPr>
              <w:fldChar w:fldCharType="end"/>
            </w:r>
          </w:hyperlink>
        </w:p>
        <w:p w14:paraId="478A36BE" w14:textId="38DBFCA1" w:rsidR="0087799D" w:rsidRDefault="0087799D">
          <w:pPr>
            <w:pStyle w:val="TM2"/>
            <w:rPr>
              <w:rFonts w:asciiTheme="minorHAnsi" w:eastAsiaTheme="minorEastAsia" w:hAnsiTheme="minorHAnsi" w:cstheme="minorBidi"/>
              <w:noProof/>
              <w:kern w:val="2"/>
              <w:szCs w:val="22"/>
              <w14:ligatures w14:val="standardContextual"/>
            </w:rPr>
          </w:pPr>
          <w:hyperlink w:anchor="_Toc153893248" w:history="1">
            <w:r w:rsidRPr="00FB18D1">
              <w:rPr>
                <w:rStyle w:val="Lienhypertexte"/>
                <w:rFonts w:cstheme="minorHAnsi"/>
                <w:b/>
                <w:noProof/>
              </w:rPr>
              <w:t>3.1</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Performance de décarbonation et note N1 d’efficacité économique</w:t>
            </w:r>
            <w:r>
              <w:rPr>
                <w:noProof/>
                <w:webHidden/>
              </w:rPr>
              <w:tab/>
            </w:r>
            <w:r>
              <w:rPr>
                <w:noProof/>
                <w:webHidden/>
              </w:rPr>
              <w:fldChar w:fldCharType="begin"/>
            </w:r>
            <w:r>
              <w:rPr>
                <w:noProof/>
                <w:webHidden/>
              </w:rPr>
              <w:instrText xml:space="preserve"> PAGEREF _Toc153893248 \h </w:instrText>
            </w:r>
            <w:r>
              <w:rPr>
                <w:noProof/>
                <w:webHidden/>
              </w:rPr>
            </w:r>
            <w:r>
              <w:rPr>
                <w:noProof/>
                <w:webHidden/>
              </w:rPr>
              <w:fldChar w:fldCharType="separate"/>
            </w:r>
            <w:r>
              <w:rPr>
                <w:noProof/>
                <w:webHidden/>
              </w:rPr>
              <w:t>12</w:t>
            </w:r>
            <w:r>
              <w:rPr>
                <w:noProof/>
                <w:webHidden/>
              </w:rPr>
              <w:fldChar w:fldCharType="end"/>
            </w:r>
          </w:hyperlink>
        </w:p>
        <w:p w14:paraId="1C63022C" w14:textId="479196CB" w:rsidR="0087799D" w:rsidRDefault="0087799D">
          <w:pPr>
            <w:pStyle w:val="TM2"/>
            <w:rPr>
              <w:rFonts w:asciiTheme="minorHAnsi" w:eastAsiaTheme="minorEastAsia" w:hAnsiTheme="minorHAnsi" w:cstheme="minorBidi"/>
              <w:noProof/>
              <w:kern w:val="2"/>
              <w:szCs w:val="22"/>
              <w14:ligatures w14:val="standardContextual"/>
            </w:rPr>
          </w:pPr>
          <w:hyperlink w:anchor="_Toc153893249" w:history="1">
            <w:r w:rsidRPr="00FB18D1">
              <w:rPr>
                <w:rStyle w:val="Lienhypertexte"/>
                <w:rFonts w:cstheme="minorHAnsi"/>
                <w:b/>
                <w:noProof/>
                <w:highlight w:val="white"/>
              </w:rPr>
              <w:t>3.2</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Eléments pour évaluation de la note N2</w:t>
            </w:r>
            <w:r w:rsidRPr="00FB18D1">
              <w:rPr>
                <w:rStyle w:val="Lienhypertexte"/>
                <w:rFonts w:cstheme="minorHAnsi"/>
                <w:b/>
                <w:bCs/>
                <w:noProof/>
                <w:highlight w:val="white"/>
              </w:rPr>
              <w:t>, relative à l’ambition du projet en termes de décarbonation de l’industrie</w:t>
            </w:r>
            <w:r>
              <w:rPr>
                <w:noProof/>
                <w:webHidden/>
              </w:rPr>
              <w:tab/>
            </w:r>
            <w:r>
              <w:rPr>
                <w:noProof/>
                <w:webHidden/>
              </w:rPr>
              <w:fldChar w:fldCharType="begin"/>
            </w:r>
            <w:r>
              <w:rPr>
                <w:noProof/>
                <w:webHidden/>
              </w:rPr>
              <w:instrText xml:space="preserve"> PAGEREF _Toc153893249 \h </w:instrText>
            </w:r>
            <w:r>
              <w:rPr>
                <w:noProof/>
                <w:webHidden/>
              </w:rPr>
            </w:r>
            <w:r>
              <w:rPr>
                <w:noProof/>
                <w:webHidden/>
              </w:rPr>
              <w:fldChar w:fldCharType="separate"/>
            </w:r>
            <w:r>
              <w:rPr>
                <w:noProof/>
                <w:webHidden/>
              </w:rPr>
              <w:t>12</w:t>
            </w:r>
            <w:r>
              <w:rPr>
                <w:noProof/>
                <w:webHidden/>
              </w:rPr>
              <w:fldChar w:fldCharType="end"/>
            </w:r>
          </w:hyperlink>
        </w:p>
        <w:p w14:paraId="1D572216" w14:textId="3E904C74" w:rsidR="0087799D" w:rsidRDefault="0087799D">
          <w:pPr>
            <w:pStyle w:val="TM3"/>
            <w:rPr>
              <w:rFonts w:asciiTheme="minorHAnsi" w:eastAsiaTheme="minorEastAsia" w:hAnsiTheme="minorHAnsi" w:cstheme="minorBidi"/>
              <w:noProof/>
              <w:kern w:val="2"/>
              <w:szCs w:val="22"/>
              <w14:ligatures w14:val="standardContextual"/>
            </w:rPr>
          </w:pPr>
          <w:hyperlink w:anchor="_Toc153893250" w:history="1">
            <w:r w:rsidRPr="00FB18D1">
              <w:rPr>
                <w:rStyle w:val="Lienhypertexte"/>
                <w:b/>
                <w:bCs/>
                <w:noProof/>
              </w:rPr>
              <w:t>3.2.1</w:t>
            </w:r>
            <w:r>
              <w:rPr>
                <w:rFonts w:asciiTheme="minorHAnsi" w:eastAsiaTheme="minorEastAsia" w:hAnsiTheme="minorHAnsi" w:cstheme="minorBidi"/>
                <w:noProof/>
                <w:kern w:val="2"/>
                <w:szCs w:val="22"/>
                <w14:ligatures w14:val="standardContextual"/>
              </w:rPr>
              <w:tab/>
            </w:r>
            <w:r w:rsidRPr="00FB18D1">
              <w:rPr>
                <w:rStyle w:val="Lienhypertexte"/>
                <w:b/>
                <w:bCs/>
                <w:noProof/>
              </w:rPr>
              <w:t>Eléments pour évaluation de la sous-note N2A d’ambition technologique</w:t>
            </w:r>
            <w:r>
              <w:rPr>
                <w:noProof/>
                <w:webHidden/>
              </w:rPr>
              <w:tab/>
            </w:r>
            <w:r>
              <w:rPr>
                <w:noProof/>
                <w:webHidden/>
              </w:rPr>
              <w:fldChar w:fldCharType="begin"/>
            </w:r>
            <w:r>
              <w:rPr>
                <w:noProof/>
                <w:webHidden/>
              </w:rPr>
              <w:instrText xml:space="preserve"> PAGEREF _Toc153893250 \h </w:instrText>
            </w:r>
            <w:r>
              <w:rPr>
                <w:noProof/>
                <w:webHidden/>
              </w:rPr>
            </w:r>
            <w:r>
              <w:rPr>
                <w:noProof/>
                <w:webHidden/>
              </w:rPr>
              <w:fldChar w:fldCharType="separate"/>
            </w:r>
            <w:r>
              <w:rPr>
                <w:noProof/>
                <w:webHidden/>
              </w:rPr>
              <w:t>12</w:t>
            </w:r>
            <w:r>
              <w:rPr>
                <w:noProof/>
                <w:webHidden/>
              </w:rPr>
              <w:fldChar w:fldCharType="end"/>
            </w:r>
          </w:hyperlink>
        </w:p>
        <w:p w14:paraId="32C36023" w14:textId="6760DE0F" w:rsidR="0087799D" w:rsidRDefault="0087799D">
          <w:pPr>
            <w:pStyle w:val="TM3"/>
            <w:rPr>
              <w:rFonts w:asciiTheme="minorHAnsi" w:eastAsiaTheme="minorEastAsia" w:hAnsiTheme="minorHAnsi" w:cstheme="minorBidi"/>
              <w:noProof/>
              <w:kern w:val="2"/>
              <w:szCs w:val="22"/>
              <w14:ligatures w14:val="standardContextual"/>
            </w:rPr>
          </w:pPr>
          <w:hyperlink w:anchor="_Toc153893251" w:history="1">
            <w:r w:rsidRPr="00FB18D1">
              <w:rPr>
                <w:rStyle w:val="Lienhypertexte"/>
                <w:b/>
                <w:bCs/>
                <w:noProof/>
              </w:rPr>
              <w:t>3.2.2</w:t>
            </w:r>
            <w:r>
              <w:rPr>
                <w:rFonts w:asciiTheme="minorHAnsi" w:eastAsiaTheme="minorEastAsia" w:hAnsiTheme="minorHAnsi" w:cstheme="minorBidi"/>
                <w:noProof/>
                <w:kern w:val="2"/>
                <w:szCs w:val="22"/>
                <w14:ligatures w14:val="standardContextual"/>
              </w:rPr>
              <w:tab/>
            </w:r>
            <w:r w:rsidRPr="00FB18D1">
              <w:rPr>
                <w:rStyle w:val="Lienhypertexte"/>
                <w:b/>
                <w:bCs/>
                <w:noProof/>
              </w:rPr>
              <w:t>Eléments pour évaluation de la sous-note N2B de cohérence du projet avec une trajectoire ambitieuse de décarbonation aux horizons 2030 et 2050</w:t>
            </w:r>
            <w:r>
              <w:rPr>
                <w:noProof/>
                <w:webHidden/>
              </w:rPr>
              <w:tab/>
            </w:r>
            <w:r>
              <w:rPr>
                <w:noProof/>
                <w:webHidden/>
              </w:rPr>
              <w:fldChar w:fldCharType="begin"/>
            </w:r>
            <w:r>
              <w:rPr>
                <w:noProof/>
                <w:webHidden/>
              </w:rPr>
              <w:instrText xml:space="preserve"> PAGEREF _Toc153893251 \h </w:instrText>
            </w:r>
            <w:r>
              <w:rPr>
                <w:noProof/>
                <w:webHidden/>
              </w:rPr>
            </w:r>
            <w:r>
              <w:rPr>
                <w:noProof/>
                <w:webHidden/>
              </w:rPr>
              <w:fldChar w:fldCharType="separate"/>
            </w:r>
            <w:r>
              <w:rPr>
                <w:noProof/>
                <w:webHidden/>
              </w:rPr>
              <w:t>14</w:t>
            </w:r>
            <w:r>
              <w:rPr>
                <w:noProof/>
                <w:webHidden/>
              </w:rPr>
              <w:fldChar w:fldCharType="end"/>
            </w:r>
          </w:hyperlink>
        </w:p>
        <w:p w14:paraId="0C4BF6C2" w14:textId="18C988A1" w:rsidR="0087799D" w:rsidRDefault="0087799D">
          <w:pPr>
            <w:pStyle w:val="TM1"/>
            <w:rPr>
              <w:rFonts w:asciiTheme="minorHAnsi" w:eastAsiaTheme="minorEastAsia" w:hAnsiTheme="minorHAnsi" w:cstheme="minorBidi"/>
              <w:b w:val="0"/>
              <w:noProof/>
              <w:kern w:val="2"/>
              <w:sz w:val="22"/>
              <w:szCs w:val="22"/>
              <w14:ligatures w14:val="standardContextual"/>
            </w:rPr>
          </w:pPr>
          <w:hyperlink w:anchor="_Toc153893252" w:history="1">
            <w:r w:rsidRPr="00FB18D1">
              <w:rPr>
                <w:rStyle w:val="Lienhypertexte"/>
                <w:rFonts w:eastAsia="Arial" w:cs="Times New Roman"/>
                <w:noProof/>
              </w:rPr>
              <w:t>4</w:t>
            </w:r>
            <w:r>
              <w:rPr>
                <w:rFonts w:asciiTheme="minorHAnsi" w:eastAsiaTheme="minorEastAsia" w:hAnsiTheme="minorHAnsi" w:cstheme="minorBidi"/>
                <w:b w:val="0"/>
                <w:noProof/>
                <w:kern w:val="2"/>
                <w:sz w:val="22"/>
                <w:szCs w:val="22"/>
                <w14:ligatures w14:val="standardContextual"/>
              </w:rPr>
              <w:tab/>
            </w:r>
            <w:r w:rsidRPr="00FB18D1">
              <w:rPr>
                <w:rStyle w:val="Lienhypertexte"/>
                <w:rFonts w:eastAsia="Arial" w:cs="Times New Roman"/>
                <w:noProof/>
              </w:rPr>
              <w:t>Engagements du Bénéficiaire</w:t>
            </w:r>
            <w:r>
              <w:rPr>
                <w:noProof/>
                <w:webHidden/>
              </w:rPr>
              <w:tab/>
            </w:r>
            <w:r>
              <w:rPr>
                <w:noProof/>
                <w:webHidden/>
              </w:rPr>
              <w:fldChar w:fldCharType="begin"/>
            </w:r>
            <w:r>
              <w:rPr>
                <w:noProof/>
                <w:webHidden/>
              </w:rPr>
              <w:instrText xml:space="preserve"> PAGEREF _Toc153893252 \h </w:instrText>
            </w:r>
            <w:r>
              <w:rPr>
                <w:noProof/>
                <w:webHidden/>
              </w:rPr>
            </w:r>
            <w:r>
              <w:rPr>
                <w:noProof/>
                <w:webHidden/>
              </w:rPr>
              <w:fldChar w:fldCharType="separate"/>
            </w:r>
            <w:r>
              <w:rPr>
                <w:noProof/>
                <w:webHidden/>
              </w:rPr>
              <w:t>15</w:t>
            </w:r>
            <w:r>
              <w:rPr>
                <w:noProof/>
                <w:webHidden/>
              </w:rPr>
              <w:fldChar w:fldCharType="end"/>
            </w:r>
          </w:hyperlink>
        </w:p>
        <w:p w14:paraId="5946345C" w14:textId="63529346" w:rsidR="0087799D" w:rsidRDefault="0087799D">
          <w:pPr>
            <w:pStyle w:val="TM2"/>
            <w:rPr>
              <w:rFonts w:asciiTheme="minorHAnsi" w:eastAsiaTheme="minorEastAsia" w:hAnsiTheme="minorHAnsi" w:cstheme="minorBidi"/>
              <w:noProof/>
              <w:kern w:val="2"/>
              <w:szCs w:val="22"/>
              <w14:ligatures w14:val="standardContextual"/>
            </w:rPr>
          </w:pPr>
          <w:hyperlink w:anchor="_Toc153893253" w:history="1">
            <w:r w:rsidRPr="00FB18D1">
              <w:rPr>
                <w:rStyle w:val="Lienhypertexte"/>
                <w:rFonts w:cstheme="minorHAnsi"/>
                <w:b/>
                <w:noProof/>
              </w:rPr>
              <w:t>4.1</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Engagement sur la performance de décarbonation</w:t>
            </w:r>
            <w:r>
              <w:rPr>
                <w:noProof/>
                <w:webHidden/>
              </w:rPr>
              <w:tab/>
            </w:r>
            <w:r>
              <w:rPr>
                <w:noProof/>
                <w:webHidden/>
              </w:rPr>
              <w:fldChar w:fldCharType="begin"/>
            </w:r>
            <w:r>
              <w:rPr>
                <w:noProof/>
                <w:webHidden/>
              </w:rPr>
              <w:instrText xml:space="preserve"> PAGEREF _Toc153893253 \h </w:instrText>
            </w:r>
            <w:r>
              <w:rPr>
                <w:noProof/>
                <w:webHidden/>
              </w:rPr>
            </w:r>
            <w:r>
              <w:rPr>
                <w:noProof/>
                <w:webHidden/>
              </w:rPr>
              <w:fldChar w:fldCharType="separate"/>
            </w:r>
            <w:r>
              <w:rPr>
                <w:noProof/>
                <w:webHidden/>
              </w:rPr>
              <w:t>15</w:t>
            </w:r>
            <w:r>
              <w:rPr>
                <w:noProof/>
                <w:webHidden/>
              </w:rPr>
              <w:fldChar w:fldCharType="end"/>
            </w:r>
          </w:hyperlink>
        </w:p>
        <w:p w14:paraId="75539CFD" w14:textId="72469094" w:rsidR="0087799D" w:rsidRDefault="0087799D">
          <w:pPr>
            <w:pStyle w:val="TM2"/>
            <w:rPr>
              <w:rFonts w:asciiTheme="minorHAnsi" w:eastAsiaTheme="minorEastAsia" w:hAnsiTheme="minorHAnsi" w:cstheme="minorBidi"/>
              <w:noProof/>
              <w:kern w:val="2"/>
              <w:szCs w:val="22"/>
              <w14:ligatures w14:val="standardContextual"/>
            </w:rPr>
          </w:pPr>
          <w:hyperlink w:anchor="_Toc153893254" w:history="1">
            <w:r w:rsidRPr="00FB18D1">
              <w:rPr>
                <w:rStyle w:val="Lienhypertexte"/>
                <w:rFonts w:cstheme="minorHAnsi"/>
                <w:b/>
                <w:noProof/>
              </w:rPr>
              <w:t>4.2</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Engagement sur l’obtention de Certificats d’Economie d’Energie (CEE)</w:t>
            </w:r>
            <w:r>
              <w:rPr>
                <w:noProof/>
                <w:webHidden/>
              </w:rPr>
              <w:tab/>
            </w:r>
            <w:r>
              <w:rPr>
                <w:noProof/>
                <w:webHidden/>
              </w:rPr>
              <w:fldChar w:fldCharType="begin"/>
            </w:r>
            <w:r>
              <w:rPr>
                <w:noProof/>
                <w:webHidden/>
              </w:rPr>
              <w:instrText xml:space="preserve"> PAGEREF _Toc153893254 \h </w:instrText>
            </w:r>
            <w:r>
              <w:rPr>
                <w:noProof/>
                <w:webHidden/>
              </w:rPr>
            </w:r>
            <w:r>
              <w:rPr>
                <w:noProof/>
                <w:webHidden/>
              </w:rPr>
              <w:fldChar w:fldCharType="separate"/>
            </w:r>
            <w:r>
              <w:rPr>
                <w:noProof/>
                <w:webHidden/>
              </w:rPr>
              <w:t>16</w:t>
            </w:r>
            <w:r>
              <w:rPr>
                <w:noProof/>
                <w:webHidden/>
              </w:rPr>
              <w:fldChar w:fldCharType="end"/>
            </w:r>
          </w:hyperlink>
        </w:p>
        <w:p w14:paraId="23BA8182" w14:textId="397397F3" w:rsidR="0087799D" w:rsidRDefault="0087799D">
          <w:pPr>
            <w:pStyle w:val="TM2"/>
            <w:rPr>
              <w:rFonts w:asciiTheme="minorHAnsi" w:eastAsiaTheme="minorEastAsia" w:hAnsiTheme="minorHAnsi" w:cstheme="minorBidi"/>
              <w:noProof/>
              <w:kern w:val="2"/>
              <w:szCs w:val="22"/>
              <w14:ligatures w14:val="standardContextual"/>
            </w:rPr>
          </w:pPr>
          <w:hyperlink w:anchor="_Toc153893255" w:history="1">
            <w:r w:rsidRPr="00FB18D1">
              <w:rPr>
                <w:rStyle w:val="Lienhypertexte"/>
                <w:rFonts w:cstheme="minorHAnsi"/>
                <w:b/>
                <w:noProof/>
              </w:rPr>
              <w:t>4.3</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Engagement sur l’organisation interne</w:t>
            </w:r>
            <w:r>
              <w:rPr>
                <w:noProof/>
                <w:webHidden/>
              </w:rPr>
              <w:tab/>
            </w:r>
            <w:r>
              <w:rPr>
                <w:noProof/>
                <w:webHidden/>
              </w:rPr>
              <w:fldChar w:fldCharType="begin"/>
            </w:r>
            <w:r>
              <w:rPr>
                <w:noProof/>
                <w:webHidden/>
              </w:rPr>
              <w:instrText xml:space="preserve"> PAGEREF _Toc153893255 \h </w:instrText>
            </w:r>
            <w:r>
              <w:rPr>
                <w:noProof/>
                <w:webHidden/>
              </w:rPr>
            </w:r>
            <w:r>
              <w:rPr>
                <w:noProof/>
                <w:webHidden/>
              </w:rPr>
              <w:fldChar w:fldCharType="separate"/>
            </w:r>
            <w:r>
              <w:rPr>
                <w:noProof/>
                <w:webHidden/>
              </w:rPr>
              <w:t>16</w:t>
            </w:r>
            <w:r>
              <w:rPr>
                <w:noProof/>
                <w:webHidden/>
              </w:rPr>
              <w:fldChar w:fldCharType="end"/>
            </w:r>
          </w:hyperlink>
        </w:p>
        <w:p w14:paraId="45072BC6" w14:textId="1EE50A3B" w:rsidR="0087799D" w:rsidRDefault="0087799D">
          <w:pPr>
            <w:pStyle w:val="TM2"/>
            <w:rPr>
              <w:rFonts w:asciiTheme="minorHAnsi" w:eastAsiaTheme="minorEastAsia" w:hAnsiTheme="minorHAnsi" w:cstheme="minorBidi"/>
              <w:noProof/>
              <w:kern w:val="2"/>
              <w:szCs w:val="22"/>
              <w14:ligatures w14:val="standardContextual"/>
            </w:rPr>
          </w:pPr>
          <w:hyperlink w:anchor="_Toc153893256" w:history="1">
            <w:r w:rsidRPr="00FB18D1">
              <w:rPr>
                <w:rStyle w:val="Lienhypertexte"/>
                <w:rFonts w:cstheme="minorHAnsi"/>
                <w:b/>
                <w:noProof/>
              </w:rPr>
              <w:t>4.4</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Autres engagements liés à la communication</w:t>
            </w:r>
            <w:r>
              <w:rPr>
                <w:noProof/>
                <w:webHidden/>
              </w:rPr>
              <w:tab/>
            </w:r>
            <w:r>
              <w:rPr>
                <w:noProof/>
                <w:webHidden/>
              </w:rPr>
              <w:fldChar w:fldCharType="begin"/>
            </w:r>
            <w:r>
              <w:rPr>
                <w:noProof/>
                <w:webHidden/>
              </w:rPr>
              <w:instrText xml:space="preserve"> PAGEREF _Toc153893256 \h </w:instrText>
            </w:r>
            <w:r>
              <w:rPr>
                <w:noProof/>
                <w:webHidden/>
              </w:rPr>
            </w:r>
            <w:r>
              <w:rPr>
                <w:noProof/>
                <w:webHidden/>
              </w:rPr>
              <w:fldChar w:fldCharType="separate"/>
            </w:r>
            <w:r>
              <w:rPr>
                <w:noProof/>
                <w:webHidden/>
              </w:rPr>
              <w:t>16</w:t>
            </w:r>
            <w:r>
              <w:rPr>
                <w:noProof/>
                <w:webHidden/>
              </w:rPr>
              <w:fldChar w:fldCharType="end"/>
            </w:r>
          </w:hyperlink>
        </w:p>
        <w:p w14:paraId="3F2712B6" w14:textId="448563D9" w:rsidR="0087799D" w:rsidRDefault="0087799D">
          <w:pPr>
            <w:pStyle w:val="TM2"/>
            <w:rPr>
              <w:rFonts w:asciiTheme="minorHAnsi" w:eastAsiaTheme="minorEastAsia" w:hAnsiTheme="minorHAnsi" w:cstheme="minorBidi"/>
              <w:noProof/>
              <w:kern w:val="2"/>
              <w:szCs w:val="22"/>
              <w14:ligatures w14:val="standardContextual"/>
            </w:rPr>
          </w:pPr>
          <w:hyperlink w:anchor="_Toc153893257" w:history="1">
            <w:r w:rsidRPr="00FB18D1">
              <w:rPr>
                <w:rStyle w:val="Lienhypertexte"/>
                <w:rFonts w:cstheme="minorHAnsi"/>
                <w:b/>
                <w:noProof/>
              </w:rPr>
              <w:t>4.5</w:t>
            </w:r>
            <w:r>
              <w:rPr>
                <w:rFonts w:asciiTheme="minorHAnsi" w:eastAsiaTheme="minorEastAsia" w:hAnsiTheme="minorHAnsi" w:cstheme="minorBidi"/>
                <w:noProof/>
                <w:kern w:val="2"/>
                <w:szCs w:val="22"/>
                <w14:ligatures w14:val="standardContextual"/>
              </w:rPr>
              <w:tab/>
            </w:r>
            <w:r w:rsidRPr="00FB18D1">
              <w:rPr>
                <w:rStyle w:val="Lienhypertexte"/>
                <w:rFonts w:cstheme="minorHAnsi"/>
                <w:b/>
                <w:bCs/>
                <w:noProof/>
              </w:rPr>
              <w:t>Livrables à transmettre à l’ADEME</w:t>
            </w:r>
            <w:r>
              <w:rPr>
                <w:noProof/>
                <w:webHidden/>
              </w:rPr>
              <w:tab/>
            </w:r>
            <w:r>
              <w:rPr>
                <w:noProof/>
                <w:webHidden/>
              </w:rPr>
              <w:fldChar w:fldCharType="begin"/>
            </w:r>
            <w:r>
              <w:rPr>
                <w:noProof/>
                <w:webHidden/>
              </w:rPr>
              <w:instrText xml:space="preserve"> PAGEREF _Toc153893257 \h </w:instrText>
            </w:r>
            <w:r>
              <w:rPr>
                <w:noProof/>
                <w:webHidden/>
              </w:rPr>
            </w:r>
            <w:r>
              <w:rPr>
                <w:noProof/>
                <w:webHidden/>
              </w:rPr>
              <w:fldChar w:fldCharType="separate"/>
            </w:r>
            <w:r>
              <w:rPr>
                <w:noProof/>
                <w:webHidden/>
              </w:rPr>
              <w:t>16</w:t>
            </w:r>
            <w:r>
              <w:rPr>
                <w:noProof/>
                <w:webHidden/>
              </w:rPr>
              <w:fldChar w:fldCharType="end"/>
            </w:r>
          </w:hyperlink>
        </w:p>
        <w:p w14:paraId="5905AA68" w14:textId="25B62EBA" w:rsidR="0087799D" w:rsidRDefault="0087799D">
          <w:pPr>
            <w:pStyle w:val="TM1"/>
            <w:rPr>
              <w:rFonts w:asciiTheme="minorHAnsi" w:eastAsiaTheme="minorEastAsia" w:hAnsiTheme="minorHAnsi" w:cstheme="minorBidi"/>
              <w:b w:val="0"/>
              <w:noProof/>
              <w:kern w:val="2"/>
              <w:sz w:val="22"/>
              <w:szCs w:val="22"/>
              <w14:ligatures w14:val="standardContextual"/>
            </w:rPr>
          </w:pPr>
          <w:hyperlink w:anchor="_Toc153893258" w:history="1">
            <w:r w:rsidRPr="00FB18D1">
              <w:rPr>
                <w:rStyle w:val="Lienhypertexte"/>
                <w:rFonts w:eastAsia="Arial" w:cs="Times New Roman"/>
                <w:noProof/>
              </w:rPr>
              <w:t>Annexe 1</w:t>
            </w:r>
            <w:r w:rsidRPr="00FB18D1">
              <w:rPr>
                <w:rStyle w:val="Lienhypertexte"/>
                <w:rFonts w:ascii="Calibri" w:eastAsia="Arial" w:hAnsi="Calibri"/>
                <w:noProof/>
              </w:rPr>
              <w:t> </w:t>
            </w:r>
            <w:r w:rsidRPr="00FB18D1">
              <w:rPr>
                <w:rStyle w:val="Lienhypertexte"/>
                <w:rFonts w:eastAsia="Arial" w:cs="Times New Roman"/>
                <w:noProof/>
              </w:rPr>
              <w:t>– Facteurs d’émissions de GES</w:t>
            </w:r>
            <w:r>
              <w:rPr>
                <w:noProof/>
                <w:webHidden/>
              </w:rPr>
              <w:tab/>
            </w:r>
            <w:r>
              <w:rPr>
                <w:noProof/>
                <w:webHidden/>
              </w:rPr>
              <w:fldChar w:fldCharType="begin"/>
            </w:r>
            <w:r>
              <w:rPr>
                <w:noProof/>
                <w:webHidden/>
              </w:rPr>
              <w:instrText xml:space="preserve"> PAGEREF _Toc153893258 \h </w:instrText>
            </w:r>
            <w:r>
              <w:rPr>
                <w:noProof/>
                <w:webHidden/>
              </w:rPr>
            </w:r>
            <w:r>
              <w:rPr>
                <w:noProof/>
                <w:webHidden/>
              </w:rPr>
              <w:fldChar w:fldCharType="separate"/>
            </w:r>
            <w:r>
              <w:rPr>
                <w:noProof/>
                <w:webHidden/>
              </w:rPr>
              <w:t>19</w:t>
            </w:r>
            <w:r>
              <w:rPr>
                <w:noProof/>
                <w:webHidden/>
              </w:rPr>
              <w:fldChar w:fldCharType="end"/>
            </w:r>
          </w:hyperlink>
        </w:p>
        <w:p w14:paraId="49672CE6" w14:textId="1EFBE752" w:rsidR="0087799D" w:rsidRDefault="0087799D">
          <w:pPr>
            <w:pStyle w:val="TM1"/>
            <w:rPr>
              <w:rFonts w:asciiTheme="minorHAnsi" w:eastAsiaTheme="minorEastAsia" w:hAnsiTheme="minorHAnsi" w:cstheme="minorBidi"/>
              <w:b w:val="0"/>
              <w:noProof/>
              <w:kern w:val="2"/>
              <w:sz w:val="22"/>
              <w:szCs w:val="22"/>
              <w14:ligatures w14:val="standardContextual"/>
            </w:rPr>
          </w:pPr>
          <w:hyperlink w:anchor="_Toc153893259" w:history="1">
            <w:r w:rsidRPr="00FB18D1">
              <w:rPr>
                <w:rStyle w:val="Lienhypertexte"/>
                <w:rFonts w:eastAsia="Arial" w:cs="Times New Roman"/>
                <w:noProof/>
              </w:rPr>
              <w:t>Annexe 2</w:t>
            </w:r>
            <w:r w:rsidRPr="00FB18D1">
              <w:rPr>
                <w:rStyle w:val="Lienhypertexte"/>
                <w:rFonts w:ascii="Calibri" w:eastAsia="Arial" w:hAnsi="Calibri"/>
                <w:noProof/>
              </w:rPr>
              <w:t> </w:t>
            </w:r>
            <w:r w:rsidRPr="00FB18D1">
              <w:rPr>
                <w:rStyle w:val="Lienhypertexte"/>
                <w:rFonts w:eastAsia="Arial" w:cs="Times New Roman"/>
                <w:noProof/>
              </w:rPr>
              <w:t>– Liste indicative de technologies clés pour la décarbonation de l’industrie</w:t>
            </w:r>
            <w:r>
              <w:rPr>
                <w:noProof/>
                <w:webHidden/>
              </w:rPr>
              <w:tab/>
            </w:r>
            <w:r>
              <w:rPr>
                <w:noProof/>
                <w:webHidden/>
              </w:rPr>
              <w:fldChar w:fldCharType="begin"/>
            </w:r>
            <w:r>
              <w:rPr>
                <w:noProof/>
                <w:webHidden/>
              </w:rPr>
              <w:instrText xml:space="preserve"> PAGEREF _Toc153893259 \h </w:instrText>
            </w:r>
            <w:r>
              <w:rPr>
                <w:noProof/>
                <w:webHidden/>
              </w:rPr>
            </w:r>
            <w:r>
              <w:rPr>
                <w:noProof/>
                <w:webHidden/>
              </w:rPr>
              <w:fldChar w:fldCharType="separate"/>
            </w:r>
            <w:r>
              <w:rPr>
                <w:noProof/>
                <w:webHidden/>
              </w:rPr>
              <w:t>20</w:t>
            </w:r>
            <w:r>
              <w:rPr>
                <w:noProof/>
                <w:webHidden/>
              </w:rPr>
              <w:fldChar w:fldCharType="end"/>
            </w:r>
          </w:hyperlink>
        </w:p>
        <w:p w14:paraId="16325A95" w14:textId="1B12C118" w:rsidR="0087799D" w:rsidRDefault="0087799D">
          <w:pPr>
            <w:pStyle w:val="TM1"/>
            <w:rPr>
              <w:rFonts w:asciiTheme="minorHAnsi" w:eastAsiaTheme="minorEastAsia" w:hAnsiTheme="minorHAnsi" w:cstheme="minorBidi"/>
              <w:b w:val="0"/>
              <w:noProof/>
              <w:kern w:val="2"/>
              <w:sz w:val="22"/>
              <w:szCs w:val="22"/>
              <w14:ligatures w14:val="standardContextual"/>
            </w:rPr>
          </w:pPr>
          <w:hyperlink w:anchor="_Toc153893260" w:history="1">
            <w:r w:rsidRPr="00FB18D1">
              <w:rPr>
                <w:rStyle w:val="Lienhypertexte"/>
                <w:rFonts w:eastAsia="Arial" w:cs="Times New Roman"/>
                <w:noProof/>
              </w:rPr>
              <w:t>Annexe 3</w:t>
            </w:r>
            <w:r w:rsidRPr="00FB18D1">
              <w:rPr>
                <w:rStyle w:val="Lienhypertexte"/>
                <w:rFonts w:ascii="Calibri" w:eastAsia="Arial" w:hAnsi="Calibri"/>
                <w:noProof/>
              </w:rPr>
              <w:t> </w:t>
            </w:r>
            <w:r w:rsidRPr="00FB18D1">
              <w:rPr>
                <w:rStyle w:val="Lienhypertexte"/>
                <w:rFonts w:eastAsia="Arial" w:cs="Times New Roman"/>
                <w:noProof/>
              </w:rPr>
              <w:t>– Éléments explicatifs du concept de Scénario contrefactuel</w:t>
            </w:r>
            <w:r>
              <w:rPr>
                <w:noProof/>
                <w:webHidden/>
              </w:rPr>
              <w:tab/>
            </w:r>
            <w:r>
              <w:rPr>
                <w:noProof/>
                <w:webHidden/>
              </w:rPr>
              <w:fldChar w:fldCharType="begin"/>
            </w:r>
            <w:r>
              <w:rPr>
                <w:noProof/>
                <w:webHidden/>
              </w:rPr>
              <w:instrText xml:space="preserve"> PAGEREF _Toc153893260 \h </w:instrText>
            </w:r>
            <w:r>
              <w:rPr>
                <w:noProof/>
                <w:webHidden/>
              </w:rPr>
            </w:r>
            <w:r>
              <w:rPr>
                <w:noProof/>
                <w:webHidden/>
              </w:rPr>
              <w:fldChar w:fldCharType="separate"/>
            </w:r>
            <w:r>
              <w:rPr>
                <w:noProof/>
                <w:webHidden/>
              </w:rPr>
              <w:t>21</w:t>
            </w:r>
            <w:r>
              <w:rPr>
                <w:noProof/>
                <w:webHidden/>
              </w:rPr>
              <w:fldChar w:fldCharType="end"/>
            </w:r>
          </w:hyperlink>
        </w:p>
        <w:p w14:paraId="24C9D69B" w14:textId="12CEC827" w:rsidR="0087799D" w:rsidRDefault="0087799D">
          <w:pPr>
            <w:pStyle w:val="TM1"/>
            <w:rPr>
              <w:rFonts w:asciiTheme="minorHAnsi" w:eastAsiaTheme="minorEastAsia" w:hAnsiTheme="minorHAnsi" w:cstheme="minorBidi"/>
              <w:b w:val="0"/>
              <w:noProof/>
              <w:kern w:val="2"/>
              <w:sz w:val="22"/>
              <w:szCs w:val="22"/>
              <w14:ligatures w14:val="standardContextual"/>
            </w:rPr>
          </w:pPr>
          <w:hyperlink w:anchor="_Toc153893261" w:history="1">
            <w:r w:rsidRPr="00FB18D1">
              <w:rPr>
                <w:rStyle w:val="Lienhypertexte"/>
                <w:rFonts w:eastAsia="Arial" w:cs="Times New Roman"/>
                <w:noProof/>
              </w:rPr>
              <w:t>Annexe 4 – Dépenses éligibles</w:t>
            </w:r>
            <w:r>
              <w:rPr>
                <w:noProof/>
                <w:webHidden/>
              </w:rPr>
              <w:tab/>
            </w:r>
            <w:r>
              <w:rPr>
                <w:noProof/>
                <w:webHidden/>
              </w:rPr>
              <w:fldChar w:fldCharType="begin"/>
            </w:r>
            <w:r>
              <w:rPr>
                <w:noProof/>
                <w:webHidden/>
              </w:rPr>
              <w:instrText xml:space="preserve"> PAGEREF _Toc153893261 \h </w:instrText>
            </w:r>
            <w:r>
              <w:rPr>
                <w:noProof/>
                <w:webHidden/>
              </w:rPr>
            </w:r>
            <w:r>
              <w:rPr>
                <w:noProof/>
                <w:webHidden/>
              </w:rPr>
              <w:fldChar w:fldCharType="separate"/>
            </w:r>
            <w:r>
              <w:rPr>
                <w:noProof/>
                <w:webHidden/>
              </w:rPr>
              <w:t>24</w:t>
            </w:r>
            <w:r>
              <w:rPr>
                <w:noProof/>
                <w:webHidden/>
              </w:rPr>
              <w:fldChar w:fldCharType="end"/>
            </w:r>
          </w:hyperlink>
        </w:p>
        <w:p w14:paraId="28711C37" w14:textId="6E3AAEEE" w:rsidR="00652D99" w:rsidRDefault="00D011FB">
          <w:pPr>
            <w:pStyle w:val="TM1"/>
          </w:pPr>
          <w:r>
            <w:rPr>
              <w:rFonts w:cstheme="minorHAnsi"/>
            </w:rPr>
            <w:fldChar w:fldCharType="end"/>
          </w:r>
        </w:p>
      </w:sdtContent>
    </w:sdt>
    <w:p w14:paraId="376A929B" w14:textId="77777777" w:rsidR="00652D99" w:rsidRDefault="00652D99">
      <w:pPr>
        <w:pStyle w:val="Titre1"/>
        <w:keepLines/>
        <w:shd w:val="clear" w:color="auto" w:fill="auto"/>
        <w:spacing w:before="0" w:after="0" w:line="259" w:lineRule="auto"/>
        <w:rPr>
          <w:rFonts w:eastAsia="Arial" w:cs="Times New Roman"/>
          <w:smallCaps w:val="0"/>
          <w:color w:val="4F81BD"/>
          <w:szCs w:val="32"/>
        </w:rPr>
      </w:pPr>
    </w:p>
    <w:p w14:paraId="61B9CAE2" w14:textId="77777777" w:rsidR="00340642" w:rsidRDefault="00340642" w:rsidP="00340642">
      <w:pPr>
        <w:rPr>
          <w:rFonts w:eastAsia="Arial"/>
          <w:lang w:eastAsia="en-US"/>
        </w:rPr>
      </w:pPr>
    </w:p>
    <w:p w14:paraId="39D7FF7C" w14:textId="77777777" w:rsidR="00340642" w:rsidRDefault="00340642" w:rsidP="00340642">
      <w:pPr>
        <w:rPr>
          <w:rFonts w:eastAsia="Arial"/>
          <w:lang w:eastAsia="en-US"/>
        </w:rPr>
      </w:pPr>
    </w:p>
    <w:p w14:paraId="44BB4FA0" w14:textId="77777777" w:rsidR="00340642" w:rsidRPr="0021634B" w:rsidRDefault="00340642" w:rsidP="0021634B">
      <w:pPr>
        <w:rPr>
          <w:rFonts w:eastAsia="Arial"/>
          <w:smallCaps/>
        </w:rPr>
      </w:pPr>
    </w:p>
    <w:p w14:paraId="0E871995" w14:textId="77777777" w:rsidR="00652D99" w:rsidRDefault="00D011FB">
      <w:pPr>
        <w:pStyle w:val="Titre1"/>
        <w:keepLines/>
        <w:numPr>
          <w:ilvl w:val="0"/>
          <w:numId w:val="1"/>
        </w:numPr>
        <w:shd w:val="clear" w:color="auto" w:fill="auto"/>
        <w:spacing w:before="0" w:after="0" w:line="259" w:lineRule="auto"/>
        <w:ind w:left="360" w:hanging="360"/>
        <w:rPr>
          <w:rFonts w:eastAsia="Arial" w:cs="Times New Roman"/>
          <w:smallCaps w:val="0"/>
          <w:color w:val="4F81BD"/>
          <w:szCs w:val="32"/>
        </w:rPr>
      </w:pPr>
      <w:bookmarkStart w:id="0" w:name="_Toc153893231"/>
      <w:r>
        <w:rPr>
          <w:rFonts w:eastAsia="Arial" w:cs="Times New Roman"/>
          <w:smallCaps w:val="0"/>
          <w:color w:val="4F81BD" w:themeColor="accent1"/>
          <w:szCs w:val="32"/>
        </w:rPr>
        <w:t>Présentation du projet</w:t>
      </w:r>
      <w:bookmarkEnd w:id="0"/>
    </w:p>
    <w:p w14:paraId="6FED115D" w14:textId="77777777" w:rsidR="00652D99" w:rsidRDefault="00652D99">
      <w:pPr>
        <w:ind w:left="0" w:firstLine="0"/>
        <w:rPr>
          <w:lang w:eastAsia="en-US"/>
        </w:rPr>
      </w:pPr>
    </w:p>
    <w:p w14:paraId="74C00B60" w14:textId="77777777" w:rsidR="00652D99" w:rsidRDefault="00D011FB">
      <w:pPr>
        <w:pStyle w:val="Titre2"/>
        <w:ind w:left="0" w:firstLine="0"/>
        <w:rPr>
          <w:rFonts w:cstheme="minorHAnsi"/>
          <w:b/>
          <w:bCs/>
          <w:color w:val="4F81BD"/>
          <w:sz w:val="28"/>
          <w:szCs w:val="24"/>
        </w:rPr>
      </w:pPr>
      <w:bookmarkStart w:id="1" w:name="_Toc153893232"/>
      <w:r>
        <w:rPr>
          <w:rFonts w:cstheme="minorHAnsi"/>
          <w:b/>
          <w:bCs/>
          <w:color w:val="4F81BD" w:themeColor="accent1"/>
          <w:sz w:val="28"/>
          <w:szCs w:val="24"/>
        </w:rPr>
        <w:t>Carte d’identité du projet</w:t>
      </w:r>
      <w:bookmarkEnd w:id="1"/>
    </w:p>
    <w:p w14:paraId="068165FA" w14:textId="77777777" w:rsidR="00652D99" w:rsidRDefault="00652D99">
      <w:pPr>
        <w:ind w:left="0" w:firstLine="0"/>
        <w:jc w:val="both"/>
        <w:rPr>
          <w:rFonts w:cstheme="minorHAnsi"/>
          <w:iCs/>
          <w:sz w:val="20"/>
        </w:rPr>
      </w:pPr>
    </w:p>
    <w:p w14:paraId="2D31E44A" w14:textId="77777777" w:rsidR="00652D99" w:rsidRDefault="00D011FB">
      <w:pPr>
        <w:ind w:left="0" w:firstLine="0"/>
        <w:jc w:val="both"/>
        <w:rPr>
          <w:rFonts w:cstheme="minorHAnsi"/>
          <w:iCs/>
          <w:sz w:val="20"/>
        </w:rPr>
      </w:pPr>
      <w:r>
        <w:rPr>
          <w:rFonts w:cstheme="minorHAnsi"/>
          <w:iCs/>
          <w:sz w:val="20"/>
        </w:rPr>
        <w:t>Il est demandé au porteur de projet de faire une synthèse de son projet en 10 lignes maximum dans le cadre ci-dessous. Il s’agira de donner une vision globale du dossier en répondant à minima aux questions suivantes</w:t>
      </w:r>
      <w:r>
        <w:rPr>
          <w:rFonts w:ascii="Calibri" w:hAnsi="Calibri" w:cs="Calibri"/>
          <w:iCs/>
          <w:sz w:val="20"/>
        </w:rPr>
        <w:t> </w:t>
      </w:r>
      <w:r>
        <w:rPr>
          <w:rFonts w:cstheme="minorHAnsi"/>
          <w:iCs/>
          <w:sz w:val="20"/>
        </w:rPr>
        <w:t xml:space="preserve">: </w:t>
      </w:r>
    </w:p>
    <w:p w14:paraId="6E0FB4C2" w14:textId="77777777" w:rsidR="00652D99" w:rsidRDefault="00D011FB" w:rsidP="00426530">
      <w:pPr>
        <w:pStyle w:val="Paragraphedeliste"/>
        <w:numPr>
          <w:ilvl w:val="0"/>
          <w:numId w:val="9"/>
        </w:numPr>
        <w:jc w:val="both"/>
        <w:rPr>
          <w:rFonts w:cstheme="minorHAnsi"/>
          <w:iCs/>
          <w:sz w:val="20"/>
        </w:rPr>
      </w:pPr>
      <w:r>
        <w:rPr>
          <w:rFonts w:cstheme="minorHAnsi"/>
          <w:iCs/>
          <w:sz w:val="20"/>
        </w:rPr>
        <w:t>Nature du projet, leviers et technologies de décarbonation envisagés</w:t>
      </w:r>
    </w:p>
    <w:p w14:paraId="6B967A6C" w14:textId="77777777" w:rsidR="00652D99" w:rsidRDefault="00D011FB" w:rsidP="00426530">
      <w:pPr>
        <w:pStyle w:val="Paragraphedeliste"/>
        <w:numPr>
          <w:ilvl w:val="0"/>
          <w:numId w:val="9"/>
        </w:numPr>
        <w:jc w:val="both"/>
        <w:rPr>
          <w:rFonts w:cstheme="minorHAnsi"/>
          <w:iCs/>
          <w:sz w:val="20"/>
        </w:rPr>
      </w:pPr>
      <w:r>
        <w:rPr>
          <w:rFonts w:cstheme="minorHAnsi"/>
          <w:iCs/>
          <w:sz w:val="20"/>
        </w:rPr>
        <w:t>Activité de production impactée par l’opération, conséquences en matière de capacité, de qualité, d’évolution de la production industrielle</w:t>
      </w:r>
    </w:p>
    <w:p w14:paraId="06E37C7F" w14:textId="77777777" w:rsidR="00652D99" w:rsidRDefault="00D011FB" w:rsidP="00426530">
      <w:pPr>
        <w:pStyle w:val="Paragraphedeliste"/>
        <w:numPr>
          <w:ilvl w:val="0"/>
          <w:numId w:val="9"/>
        </w:numPr>
        <w:jc w:val="both"/>
        <w:rPr>
          <w:rFonts w:cstheme="minorHAnsi"/>
          <w:iCs/>
          <w:sz w:val="20"/>
        </w:rPr>
      </w:pPr>
      <w:r>
        <w:rPr>
          <w:rFonts w:cstheme="minorHAnsi"/>
          <w:iCs/>
          <w:sz w:val="20"/>
        </w:rPr>
        <w:t>Calendrier du projet</w:t>
      </w:r>
    </w:p>
    <w:p w14:paraId="602BBFF8" w14:textId="23B754D3" w:rsidR="00652D99" w:rsidRDefault="00D011FB" w:rsidP="00426530">
      <w:pPr>
        <w:pStyle w:val="Paragraphedeliste"/>
        <w:numPr>
          <w:ilvl w:val="0"/>
          <w:numId w:val="9"/>
        </w:numPr>
        <w:jc w:val="both"/>
        <w:rPr>
          <w:rFonts w:cstheme="minorHAnsi"/>
          <w:iCs/>
          <w:sz w:val="20"/>
        </w:rPr>
      </w:pPr>
      <w:r>
        <w:rPr>
          <w:rFonts w:cstheme="minorHAnsi"/>
          <w:iCs/>
          <w:sz w:val="20"/>
        </w:rPr>
        <w:t>Résumé du contexte local de l’opération et de ses enjeux en matière de décarbonation</w:t>
      </w:r>
      <w:r w:rsidR="00C03A5B">
        <w:rPr>
          <w:rFonts w:cstheme="minorHAnsi"/>
          <w:iCs/>
          <w:sz w:val="20"/>
        </w:rPr>
        <w:t xml:space="preserve"> et </w:t>
      </w:r>
      <w:r w:rsidR="003F50BB">
        <w:rPr>
          <w:rFonts w:cstheme="minorHAnsi"/>
          <w:iCs/>
          <w:sz w:val="20"/>
        </w:rPr>
        <w:t xml:space="preserve">éventuellement </w:t>
      </w:r>
      <w:r w:rsidR="00C03A5B">
        <w:rPr>
          <w:rFonts w:cstheme="minorHAnsi"/>
          <w:iCs/>
          <w:sz w:val="20"/>
        </w:rPr>
        <w:t>d’adaptation</w:t>
      </w:r>
      <w:r w:rsidR="0021634B">
        <w:rPr>
          <w:rFonts w:cstheme="minorHAnsi"/>
          <w:iCs/>
          <w:sz w:val="20"/>
        </w:rPr>
        <w:t xml:space="preserve"> aux impacts du changement climatique</w:t>
      </w:r>
      <w:r>
        <w:rPr>
          <w:rFonts w:cstheme="minorHAnsi"/>
          <w:iCs/>
          <w:sz w:val="20"/>
        </w:rPr>
        <w:t xml:space="preserve"> du site ou de l’entreprise</w:t>
      </w:r>
    </w:p>
    <w:p w14:paraId="097070E7" w14:textId="77777777" w:rsidR="00652D99" w:rsidRDefault="00652D99">
      <w:pPr>
        <w:jc w:val="both"/>
        <w:rPr>
          <w:rFonts w:cstheme="minorHAnsi"/>
          <w:iCs/>
          <w:sz w:val="20"/>
        </w:rPr>
      </w:pPr>
    </w:p>
    <w:p w14:paraId="39A7FF4C"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7CF9D4F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176CA13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3D7264F9"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689866B1"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39A88405"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10DD86F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1D906337" w14:textId="77777777" w:rsidR="00652D99" w:rsidRDefault="00652D99">
      <w:pPr>
        <w:jc w:val="both"/>
        <w:rPr>
          <w:rFonts w:cstheme="minorHAnsi"/>
          <w:iCs/>
          <w:sz w:val="20"/>
        </w:rPr>
      </w:pPr>
    </w:p>
    <w:p w14:paraId="0B1B9868" w14:textId="6939DF06" w:rsidR="00D47735" w:rsidRDefault="00D47735" w:rsidP="00FB3F36">
      <w:pPr>
        <w:ind w:left="0" w:firstLine="0"/>
        <w:jc w:val="both"/>
        <w:rPr>
          <w:rFonts w:cstheme="minorHAnsi"/>
          <w:iCs/>
          <w:sz w:val="20"/>
        </w:rPr>
      </w:pPr>
      <w:r>
        <w:rPr>
          <w:rFonts w:cstheme="minorHAnsi"/>
          <w:iCs/>
          <w:sz w:val="20"/>
        </w:rPr>
        <w:t>Il est également demandé au porteur de préciser le montage juridique de son projet</w:t>
      </w:r>
      <w:r>
        <w:rPr>
          <w:rFonts w:ascii="Calibri" w:hAnsi="Calibri" w:cs="Calibri"/>
          <w:iCs/>
          <w:sz w:val="20"/>
        </w:rPr>
        <w:t> </w:t>
      </w:r>
      <w:r>
        <w:rPr>
          <w:rFonts w:cstheme="minorHAnsi"/>
          <w:iCs/>
          <w:sz w:val="20"/>
        </w:rPr>
        <w:t>: nom du bénéficiaire de l’aide et modalités de financement du projet (sur fonds propres, sur emprunt, CEE etc.)</w:t>
      </w:r>
    </w:p>
    <w:p w14:paraId="0550FF15" w14:textId="77777777" w:rsidR="00D47735" w:rsidRDefault="00D47735">
      <w:pPr>
        <w:jc w:val="both"/>
        <w:rPr>
          <w:rFonts w:cstheme="minorHAnsi"/>
          <w:iCs/>
          <w:sz w:val="20"/>
        </w:rPr>
      </w:pPr>
    </w:p>
    <w:p w14:paraId="504CF232" w14:textId="77777777" w:rsidR="00D47735" w:rsidRDefault="00D47735" w:rsidP="00D47735">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32F44E11" w14:textId="77777777" w:rsidR="00D47735" w:rsidRDefault="00D47735" w:rsidP="00D47735">
      <w:pPr>
        <w:pBdr>
          <w:top w:val="single" w:sz="4" w:space="1" w:color="auto"/>
          <w:left w:val="single" w:sz="4" w:space="4" w:color="auto"/>
          <w:bottom w:val="single" w:sz="4" w:space="1" w:color="auto"/>
          <w:right w:val="single" w:sz="4" w:space="4" w:color="auto"/>
        </w:pBdr>
        <w:ind w:left="0" w:firstLine="0"/>
        <w:rPr>
          <w:sz w:val="20"/>
          <w:szCs w:val="18"/>
        </w:rPr>
      </w:pPr>
    </w:p>
    <w:p w14:paraId="6163BD36" w14:textId="77777777" w:rsidR="00D47735" w:rsidRDefault="00D47735" w:rsidP="00D47735">
      <w:pPr>
        <w:pBdr>
          <w:top w:val="single" w:sz="4" w:space="1" w:color="auto"/>
          <w:left w:val="single" w:sz="4" w:space="4" w:color="auto"/>
          <w:bottom w:val="single" w:sz="4" w:space="1" w:color="auto"/>
          <w:right w:val="single" w:sz="4" w:space="4" w:color="auto"/>
        </w:pBdr>
        <w:ind w:left="0" w:firstLine="0"/>
        <w:rPr>
          <w:sz w:val="20"/>
          <w:szCs w:val="18"/>
        </w:rPr>
      </w:pPr>
    </w:p>
    <w:p w14:paraId="4A5EB50E" w14:textId="77777777" w:rsidR="00D47735" w:rsidRDefault="00D47735" w:rsidP="00D47735">
      <w:pPr>
        <w:pBdr>
          <w:top w:val="single" w:sz="4" w:space="1" w:color="auto"/>
          <w:left w:val="single" w:sz="4" w:space="4" w:color="auto"/>
          <w:bottom w:val="single" w:sz="4" w:space="1" w:color="auto"/>
          <w:right w:val="single" w:sz="4" w:space="4" w:color="auto"/>
        </w:pBdr>
        <w:ind w:left="0" w:firstLine="0"/>
        <w:rPr>
          <w:sz w:val="20"/>
          <w:szCs w:val="18"/>
        </w:rPr>
      </w:pPr>
    </w:p>
    <w:p w14:paraId="2E54BE44" w14:textId="77777777" w:rsidR="00D47735" w:rsidRDefault="00D47735" w:rsidP="00D47735">
      <w:pPr>
        <w:pBdr>
          <w:top w:val="single" w:sz="4" w:space="1" w:color="auto"/>
          <w:left w:val="single" w:sz="4" w:space="4" w:color="auto"/>
          <w:bottom w:val="single" w:sz="4" w:space="1" w:color="auto"/>
          <w:right w:val="single" w:sz="4" w:space="4" w:color="auto"/>
        </w:pBdr>
        <w:ind w:left="0" w:firstLine="0"/>
        <w:rPr>
          <w:sz w:val="20"/>
          <w:szCs w:val="18"/>
        </w:rPr>
      </w:pPr>
    </w:p>
    <w:p w14:paraId="04140AED" w14:textId="77777777" w:rsidR="00D47735" w:rsidRDefault="00D47735" w:rsidP="00D47735">
      <w:pPr>
        <w:pBdr>
          <w:top w:val="single" w:sz="4" w:space="1" w:color="auto"/>
          <w:left w:val="single" w:sz="4" w:space="4" w:color="auto"/>
          <w:bottom w:val="single" w:sz="4" w:space="1" w:color="auto"/>
          <w:right w:val="single" w:sz="4" w:space="4" w:color="auto"/>
        </w:pBdr>
        <w:ind w:left="0" w:firstLine="0"/>
        <w:rPr>
          <w:sz w:val="20"/>
          <w:szCs w:val="18"/>
        </w:rPr>
      </w:pPr>
    </w:p>
    <w:p w14:paraId="0D0A02DB" w14:textId="77777777" w:rsidR="00D47735" w:rsidRDefault="00D47735">
      <w:pPr>
        <w:jc w:val="both"/>
        <w:rPr>
          <w:rFonts w:cstheme="minorHAnsi"/>
          <w:iCs/>
          <w:sz w:val="20"/>
        </w:rPr>
      </w:pPr>
    </w:p>
    <w:p w14:paraId="43E60BA8" w14:textId="77777777" w:rsidR="00D47735" w:rsidRDefault="00D47735">
      <w:pPr>
        <w:jc w:val="both"/>
        <w:rPr>
          <w:rFonts w:cstheme="minorHAnsi"/>
          <w:iCs/>
          <w:sz w:val="20"/>
        </w:rPr>
      </w:pPr>
    </w:p>
    <w:p w14:paraId="473AFD83" w14:textId="77777777" w:rsidR="00652D99" w:rsidRDefault="00D011FB">
      <w:pPr>
        <w:pStyle w:val="Titre2"/>
        <w:ind w:left="0" w:firstLine="0"/>
        <w:rPr>
          <w:rFonts w:cstheme="minorHAnsi"/>
          <w:b/>
          <w:bCs/>
          <w:color w:val="4F81BD"/>
          <w:sz w:val="28"/>
          <w:szCs w:val="24"/>
        </w:rPr>
      </w:pPr>
      <w:bookmarkStart w:id="2" w:name="_Ref100587567"/>
      <w:bookmarkStart w:id="3" w:name="_Ref100588530"/>
      <w:bookmarkStart w:id="4" w:name="_Ref100588534"/>
      <w:bookmarkStart w:id="5" w:name="_Ref100588546"/>
      <w:bookmarkStart w:id="6" w:name="_Toc153893233"/>
      <w:r>
        <w:rPr>
          <w:rFonts w:cstheme="minorHAnsi"/>
          <w:b/>
          <w:bCs/>
          <w:color w:val="4F81BD" w:themeColor="accent1"/>
          <w:sz w:val="28"/>
          <w:szCs w:val="24"/>
        </w:rPr>
        <w:t>Description de la situation initiale (actuelle)</w:t>
      </w:r>
      <w:bookmarkEnd w:id="2"/>
      <w:bookmarkEnd w:id="3"/>
      <w:bookmarkEnd w:id="4"/>
      <w:bookmarkEnd w:id="5"/>
      <w:bookmarkEnd w:id="6"/>
    </w:p>
    <w:p w14:paraId="3D1C5DD6" w14:textId="77777777" w:rsidR="00652D99" w:rsidRDefault="00652D99">
      <w:pPr>
        <w:ind w:left="0" w:firstLine="0"/>
        <w:contextualSpacing/>
        <w:rPr>
          <w:rFonts w:cstheme="minorHAnsi"/>
          <w:b/>
          <w:iCs/>
          <w:sz w:val="20"/>
          <w:highlight w:val="lightGray"/>
        </w:rPr>
      </w:pPr>
    </w:p>
    <w:p w14:paraId="0448AD04" w14:textId="7B3E4854" w:rsidR="00652D99" w:rsidRDefault="00D011FB">
      <w:pPr>
        <w:ind w:left="0" w:firstLine="0"/>
        <w:jc w:val="both"/>
        <w:rPr>
          <w:rFonts w:cstheme="minorHAnsi"/>
          <w:iCs/>
          <w:sz w:val="20"/>
        </w:rPr>
      </w:pPr>
      <w:r>
        <w:rPr>
          <w:rFonts w:cstheme="minorHAnsi"/>
          <w:iCs/>
          <w:sz w:val="20"/>
        </w:rPr>
        <w:t>Dans un premier temps, le porteur de projet est invité à décrire dans le cadre ci-dessous le contexte permettant de comprendre la nature de l’activité industrielle et ses impacts. C’est une démarche en entonnoir pour aboutir au procédé concerné par l’opération.</w:t>
      </w:r>
      <w:r w:rsidR="00AF2BC3">
        <w:rPr>
          <w:rFonts w:cstheme="minorHAnsi"/>
          <w:iCs/>
          <w:sz w:val="20"/>
        </w:rPr>
        <w:t xml:space="preserve"> Un </w:t>
      </w:r>
      <w:r w:rsidR="00340642">
        <w:rPr>
          <w:rFonts w:cstheme="minorHAnsi"/>
          <w:iCs/>
          <w:sz w:val="20"/>
        </w:rPr>
        <w:t>schéma</w:t>
      </w:r>
      <w:r w:rsidR="00807F15">
        <w:rPr>
          <w:rFonts w:cstheme="minorHAnsi"/>
          <w:iCs/>
          <w:sz w:val="20"/>
        </w:rPr>
        <w:t xml:space="preserve"> récapitulant les activités du</w:t>
      </w:r>
      <w:r w:rsidR="00340642">
        <w:rPr>
          <w:rFonts w:cstheme="minorHAnsi"/>
          <w:iCs/>
          <w:sz w:val="20"/>
        </w:rPr>
        <w:t xml:space="preserve"> site industriel</w:t>
      </w:r>
      <w:r w:rsidR="00AF2BC3">
        <w:rPr>
          <w:rFonts w:cstheme="minorHAnsi"/>
          <w:iCs/>
          <w:sz w:val="20"/>
        </w:rPr>
        <w:t xml:space="preserve"> </w:t>
      </w:r>
      <w:r w:rsidR="00340642">
        <w:rPr>
          <w:rFonts w:cstheme="minorHAnsi"/>
          <w:iCs/>
          <w:sz w:val="20"/>
        </w:rPr>
        <w:t>ser</w:t>
      </w:r>
      <w:r w:rsidR="00AF2BC3">
        <w:rPr>
          <w:rFonts w:cstheme="minorHAnsi"/>
          <w:iCs/>
          <w:sz w:val="20"/>
        </w:rPr>
        <w:t xml:space="preserve">a </w:t>
      </w:r>
      <w:r w:rsidR="00340642">
        <w:rPr>
          <w:rFonts w:cstheme="minorHAnsi"/>
          <w:iCs/>
          <w:sz w:val="20"/>
        </w:rPr>
        <w:t>apprécié.</w:t>
      </w:r>
      <w:r w:rsidR="00AF2BC3">
        <w:rPr>
          <w:rFonts w:cstheme="minorHAnsi"/>
          <w:iCs/>
          <w:sz w:val="20"/>
        </w:rPr>
        <w:t xml:space="preserve"> </w:t>
      </w:r>
      <w:r w:rsidR="00B770BA">
        <w:rPr>
          <w:rFonts w:cstheme="minorHAnsi"/>
          <w:iCs/>
          <w:sz w:val="20"/>
        </w:rPr>
        <w:t>M</w:t>
      </w:r>
      <w:r>
        <w:rPr>
          <w:rFonts w:cstheme="minorHAnsi"/>
          <w:iCs/>
          <w:sz w:val="20"/>
        </w:rPr>
        <w:t>erci de répondre notamment aux questions suivantes :</w:t>
      </w:r>
    </w:p>
    <w:p w14:paraId="732236DC" w14:textId="5DF7E43F" w:rsidR="00652D99" w:rsidRDefault="00AF2BC3">
      <w:pPr>
        <w:ind w:left="0" w:firstLine="0"/>
        <w:jc w:val="both"/>
        <w:rPr>
          <w:rFonts w:cstheme="minorHAnsi"/>
          <w:iCs/>
          <w:sz w:val="20"/>
        </w:rPr>
      </w:pPr>
      <w:r>
        <w:rPr>
          <w:rFonts w:cstheme="minorHAnsi"/>
          <w:iCs/>
          <w:sz w:val="20"/>
        </w:rPr>
        <w:t xml:space="preserve"> </w:t>
      </w:r>
    </w:p>
    <w:p w14:paraId="029F8FE9" w14:textId="77777777" w:rsidR="00652D99" w:rsidRDefault="00D011FB" w:rsidP="00426530">
      <w:pPr>
        <w:pStyle w:val="Paragraphedeliste"/>
        <w:numPr>
          <w:ilvl w:val="0"/>
          <w:numId w:val="6"/>
        </w:numPr>
        <w:jc w:val="both"/>
        <w:rPr>
          <w:rFonts w:cstheme="minorHAnsi"/>
          <w:iCs/>
          <w:sz w:val="20"/>
        </w:rPr>
      </w:pPr>
      <w:r>
        <w:rPr>
          <w:rFonts w:cstheme="minorHAnsi"/>
          <w:iCs/>
          <w:sz w:val="20"/>
        </w:rPr>
        <w:t>Quel est le « service rendu » par le site et comment ce service est-il rendu ? (Organisation de la production, activité, nature du produit, description synthétique du procédé de fabrication, etc.) ;</w:t>
      </w:r>
    </w:p>
    <w:p w14:paraId="3E608608" w14:textId="77777777" w:rsidR="00652D99" w:rsidRDefault="00652D99">
      <w:pPr>
        <w:ind w:left="0" w:firstLine="0"/>
        <w:jc w:val="both"/>
        <w:rPr>
          <w:rFonts w:cstheme="minorHAnsi"/>
          <w:iCs/>
          <w:sz w:val="20"/>
        </w:rPr>
      </w:pPr>
    </w:p>
    <w:p w14:paraId="1802B714" w14:textId="011B6A75" w:rsidR="00652D99" w:rsidRDefault="00D011FB" w:rsidP="00426530">
      <w:pPr>
        <w:pStyle w:val="Paragraphedeliste"/>
        <w:numPr>
          <w:ilvl w:val="0"/>
          <w:numId w:val="6"/>
        </w:numPr>
        <w:jc w:val="both"/>
        <w:rPr>
          <w:rFonts w:cstheme="minorHAnsi"/>
          <w:iCs/>
          <w:sz w:val="20"/>
        </w:rPr>
      </w:pPr>
      <w:r>
        <w:rPr>
          <w:rFonts w:cstheme="minorHAnsi"/>
          <w:iCs/>
          <w:sz w:val="20"/>
        </w:rPr>
        <w:t xml:space="preserve">Quelles sont les émissions de </w:t>
      </w:r>
      <w:r w:rsidR="00F2432D">
        <w:rPr>
          <w:rFonts w:cstheme="minorHAnsi"/>
          <w:iCs/>
          <w:sz w:val="20"/>
        </w:rPr>
        <w:t xml:space="preserve">GES </w:t>
      </w:r>
      <w:r>
        <w:rPr>
          <w:rFonts w:cstheme="minorHAnsi"/>
          <w:iCs/>
          <w:sz w:val="20"/>
        </w:rPr>
        <w:t xml:space="preserve">sur les catégories 1 et 2 (anciennement scopes 1 et 2) générées pour rendre ce service ? Quelles sont les consommations d’énergie </w:t>
      </w:r>
      <w:r>
        <w:rPr>
          <w:rFonts w:cstheme="minorHAnsi"/>
          <w:iCs/>
          <w:sz w:val="20"/>
        </w:rPr>
        <w:lastRenderedPageBreak/>
        <w:t xml:space="preserve">primaire (MWh EP) par vecteur énergétique pour rendre ce service ? Vous devrez présenter </w:t>
      </w:r>
      <w:r>
        <w:rPr>
          <w:rFonts w:cstheme="minorHAnsi"/>
          <w:iCs/>
          <w:sz w:val="20"/>
          <w:u w:val="single"/>
        </w:rPr>
        <w:t>l’historique des émissions et des consommations sur 3 ans</w:t>
      </w:r>
      <w:r>
        <w:rPr>
          <w:rFonts w:ascii="Calibri" w:hAnsi="Calibri" w:cs="Calibri"/>
          <w:iCs/>
          <w:sz w:val="20"/>
          <w:u w:val="single"/>
        </w:rPr>
        <w:t> </w:t>
      </w:r>
      <w:r>
        <w:rPr>
          <w:rFonts w:cstheme="minorHAnsi"/>
          <w:iCs/>
          <w:sz w:val="20"/>
          <w:u w:val="single"/>
        </w:rPr>
        <w:t>;</w:t>
      </w:r>
    </w:p>
    <w:p w14:paraId="3B364066" w14:textId="77777777" w:rsidR="00652D99" w:rsidRDefault="00652D99">
      <w:pPr>
        <w:ind w:left="0" w:firstLine="0"/>
        <w:jc w:val="both"/>
        <w:rPr>
          <w:rFonts w:cstheme="minorHAnsi"/>
          <w:iCs/>
          <w:sz w:val="20"/>
        </w:rPr>
      </w:pPr>
    </w:p>
    <w:p w14:paraId="2B51637F" w14:textId="77777777" w:rsidR="00652D99" w:rsidRDefault="00652D99">
      <w:pPr>
        <w:jc w:val="both"/>
        <w:rPr>
          <w:rFonts w:cstheme="minorHAnsi"/>
          <w:iCs/>
          <w:sz w:val="20"/>
        </w:rPr>
      </w:pPr>
    </w:p>
    <w:p w14:paraId="6C62BBD4"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22CC92CD"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1D2893C6"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38B9C97A"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4A733027"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400B120C"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03C033F3"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18A08E9C" w14:textId="77777777" w:rsidR="006B434A" w:rsidRDefault="006B434A">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231C84B4" w14:textId="77777777" w:rsidR="006B434A" w:rsidRDefault="006B434A">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78F11F8E" w14:textId="77777777" w:rsidR="006B434A" w:rsidRDefault="006B434A">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7F959FBB"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2A1DBA74" w14:textId="77777777" w:rsidR="00652D99" w:rsidRDefault="00652D99">
      <w:pPr>
        <w:ind w:left="0" w:firstLine="0"/>
        <w:jc w:val="both"/>
        <w:rPr>
          <w:rFonts w:cstheme="minorHAnsi"/>
          <w:iCs/>
          <w:sz w:val="20"/>
        </w:rPr>
      </w:pPr>
    </w:p>
    <w:p w14:paraId="5186AECF" w14:textId="12066623" w:rsidR="00652D99" w:rsidRDefault="00D011FB">
      <w:pPr>
        <w:ind w:left="0" w:firstLine="0"/>
        <w:jc w:val="both"/>
        <w:rPr>
          <w:rFonts w:cstheme="minorHAnsi"/>
          <w:iCs/>
          <w:sz w:val="20"/>
        </w:rPr>
      </w:pPr>
      <w:r>
        <w:rPr>
          <w:rFonts w:cstheme="minorHAnsi"/>
          <w:iCs/>
          <w:sz w:val="20"/>
        </w:rPr>
        <w:t xml:space="preserve">Dans un second temps, le porteur de projet est invité à décrire la situation </w:t>
      </w:r>
      <w:r>
        <w:rPr>
          <w:rFonts w:cstheme="minorHAnsi"/>
          <w:iCs/>
          <w:sz w:val="20"/>
          <w:u w:val="single"/>
        </w:rPr>
        <w:t>avant l’opération</w:t>
      </w:r>
      <w:r>
        <w:rPr>
          <w:rFonts w:cstheme="minorHAnsi"/>
          <w:iCs/>
          <w:sz w:val="20"/>
        </w:rPr>
        <w:t xml:space="preserve"> en termes d'usages, de services, de production, etc. de la partie du site ou du procédé considéré mais également des parties dont les émissions </w:t>
      </w:r>
      <w:r w:rsidR="00F2432D">
        <w:rPr>
          <w:rFonts w:cstheme="minorHAnsi"/>
          <w:iCs/>
          <w:sz w:val="20"/>
        </w:rPr>
        <w:t xml:space="preserve">de </w:t>
      </w:r>
      <w:r>
        <w:rPr>
          <w:rFonts w:cstheme="minorHAnsi"/>
          <w:iCs/>
          <w:sz w:val="20"/>
        </w:rPr>
        <w:t>GES sont directement ou indirectement impactées par les opérations envisagées.</w:t>
      </w:r>
      <w:r w:rsidR="00AF2BC3" w:rsidRPr="00AF2BC3">
        <w:rPr>
          <w:rFonts w:cstheme="minorHAnsi"/>
          <w:iCs/>
          <w:sz w:val="20"/>
        </w:rPr>
        <w:t xml:space="preserve"> </w:t>
      </w:r>
      <w:r w:rsidR="00AF2BC3">
        <w:rPr>
          <w:rFonts w:cstheme="minorHAnsi"/>
          <w:iCs/>
          <w:sz w:val="20"/>
        </w:rPr>
        <w:t>Un schéma du procédé industriel concerné par l’opération sera apprécié.</w:t>
      </w:r>
      <w:r>
        <w:rPr>
          <w:rFonts w:cstheme="minorHAnsi"/>
          <w:iCs/>
          <w:sz w:val="20"/>
        </w:rPr>
        <w:t xml:space="preserve"> Il sera également attendu de préciser les énergies et intrants concernés par la partie du site ou du procédé considéré.</w:t>
      </w:r>
    </w:p>
    <w:p w14:paraId="36ED1DA8" w14:textId="77777777" w:rsidR="00652D99" w:rsidRDefault="00652D99">
      <w:pPr>
        <w:ind w:left="0" w:firstLine="0"/>
        <w:jc w:val="both"/>
        <w:rPr>
          <w:rFonts w:cstheme="minorHAnsi"/>
          <w:iCs/>
          <w:sz w:val="20"/>
        </w:rPr>
      </w:pPr>
    </w:p>
    <w:p w14:paraId="4197836F" w14:textId="1DC92F71" w:rsidR="00652D99" w:rsidRDefault="00D011FB">
      <w:pPr>
        <w:ind w:left="0" w:firstLine="0"/>
        <w:jc w:val="both"/>
        <w:rPr>
          <w:rFonts w:cstheme="minorHAnsi"/>
          <w:iCs/>
          <w:sz w:val="20"/>
        </w:rPr>
      </w:pPr>
      <w:r>
        <w:rPr>
          <w:rFonts w:cstheme="minorHAnsi"/>
          <w:iCs/>
          <w:sz w:val="20"/>
        </w:rPr>
        <w:t>Les données énergétiques, matières et CO2</w:t>
      </w:r>
      <w:r w:rsidR="00F2432D">
        <w:rPr>
          <w:rFonts w:cstheme="minorHAnsi"/>
          <w:iCs/>
          <w:sz w:val="20"/>
        </w:rPr>
        <w:t>e</w:t>
      </w:r>
      <w:r>
        <w:rPr>
          <w:rFonts w:cstheme="minorHAnsi"/>
          <w:iCs/>
          <w:sz w:val="20"/>
        </w:rPr>
        <w:t xml:space="preserve"> sont à préciser dans le Volet Technico-Financier (VTF). Une feuille de calculs justifiant les données inscrites dans </w:t>
      </w:r>
      <w:r w:rsidR="00F2432D">
        <w:rPr>
          <w:rFonts w:cstheme="minorHAnsi"/>
          <w:iCs/>
          <w:sz w:val="20"/>
        </w:rPr>
        <w:t xml:space="preserve">le </w:t>
      </w:r>
      <w:r>
        <w:rPr>
          <w:rFonts w:cstheme="minorHAnsi"/>
          <w:iCs/>
          <w:sz w:val="20"/>
        </w:rPr>
        <w:t>VTF est à fournir.</w:t>
      </w:r>
    </w:p>
    <w:p w14:paraId="6C9A0526" w14:textId="77777777" w:rsidR="00652D99" w:rsidRDefault="00652D99">
      <w:pPr>
        <w:ind w:left="0" w:firstLine="0"/>
        <w:jc w:val="both"/>
        <w:rPr>
          <w:rFonts w:cstheme="minorHAnsi"/>
          <w:iCs/>
          <w:sz w:val="20"/>
        </w:rPr>
      </w:pPr>
    </w:p>
    <w:p w14:paraId="6BC47C1C" w14:textId="77777777" w:rsidR="00652D99" w:rsidRDefault="00652D99">
      <w:pPr>
        <w:ind w:left="0" w:firstLine="0"/>
        <w:jc w:val="both"/>
        <w:rPr>
          <w:rFonts w:cstheme="minorHAnsi"/>
          <w:iCs/>
          <w:sz w:val="20"/>
        </w:rPr>
      </w:pPr>
    </w:p>
    <w:p w14:paraId="6BDA415E"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2F0AB573"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8DFD1D2"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D814559"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734E3BEC"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1B5DCFB6"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78F64012"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1A04F345"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AF553F1"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0A20F08"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24276E84"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17C771CE" w14:textId="77777777" w:rsidR="00652D99" w:rsidRDefault="00D011FB">
      <w:pPr>
        <w:spacing w:after="100"/>
        <w:rPr>
          <w:rFonts w:cstheme="minorHAnsi"/>
          <w:b/>
          <w:iCs/>
          <w:sz w:val="20"/>
          <w:highlight w:val="lightGray"/>
        </w:rPr>
      </w:pPr>
      <w:r>
        <w:rPr>
          <w:rFonts w:cstheme="minorHAnsi"/>
          <w:b/>
          <w:iCs/>
          <w:sz w:val="20"/>
          <w:highlight w:val="lightGray"/>
        </w:rPr>
        <w:br w:type="page" w:clear="all"/>
      </w:r>
    </w:p>
    <w:p w14:paraId="5965B9FC" w14:textId="77777777" w:rsidR="00652D99" w:rsidRDefault="00D011FB">
      <w:pPr>
        <w:pStyle w:val="Titre2"/>
        <w:ind w:left="0" w:firstLine="0"/>
        <w:rPr>
          <w:rFonts w:cstheme="minorHAnsi"/>
          <w:b/>
          <w:bCs/>
          <w:color w:val="4F81BD"/>
          <w:sz w:val="28"/>
          <w:szCs w:val="24"/>
        </w:rPr>
      </w:pPr>
      <w:bookmarkStart w:id="7" w:name="_Ref100588549"/>
      <w:bookmarkStart w:id="8" w:name="_Toc153893234"/>
      <w:r>
        <w:rPr>
          <w:rFonts w:cstheme="minorHAnsi"/>
          <w:b/>
          <w:bCs/>
          <w:color w:val="4F81BD" w:themeColor="accent1"/>
          <w:sz w:val="28"/>
          <w:szCs w:val="24"/>
        </w:rPr>
        <w:lastRenderedPageBreak/>
        <w:t>Description de l’opération et de la situation après travaux (future)</w:t>
      </w:r>
      <w:bookmarkEnd w:id="7"/>
      <w:bookmarkEnd w:id="8"/>
    </w:p>
    <w:p w14:paraId="2E9CE3B2" w14:textId="77777777" w:rsidR="00652D99" w:rsidRDefault="00652D99">
      <w:pPr>
        <w:ind w:left="0" w:firstLine="0"/>
        <w:contextualSpacing/>
        <w:rPr>
          <w:rFonts w:cstheme="minorHAnsi"/>
          <w:b/>
          <w:i/>
          <w:sz w:val="20"/>
          <w:highlight w:val="lightGray"/>
        </w:rPr>
      </w:pPr>
    </w:p>
    <w:p w14:paraId="53D7F3C3" w14:textId="77777777" w:rsidR="00652D99" w:rsidRDefault="00D011FB">
      <w:pPr>
        <w:ind w:left="0" w:firstLine="0"/>
        <w:rPr>
          <w:rFonts w:cstheme="minorHAnsi"/>
          <w:iCs/>
          <w:sz w:val="20"/>
        </w:rPr>
      </w:pPr>
      <w:r>
        <w:rPr>
          <w:rFonts w:cstheme="minorHAnsi"/>
          <w:iCs/>
          <w:sz w:val="20"/>
        </w:rPr>
        <w:t xml:space="preserve">Afin de déterminer la </w:t>
      </w:r>
      <w:r>
        <w:rPr>
          <w:rFonts w:cstheme="minorHAnsi"/>
          <w:iCs/>
          <w:sz w:val="20"/>
          <w:u w:val="single"/>
        </w:rPr>
        <w:t>situation après l’opération</w:t>
      </w:r>
      <w:r>
        <w:rPr>
          <w:rFonts w:cstheme="minorHAnsi"/>
          <w:iCs/>
          <w:sz w:val="20"/>
        </w:rPr>
        <w:t>, le porteur de projet est invité à :</w:t>
      </w:r>
    </w:p>
    <w:p w14:paraId="1EAF605A" w14:textId="77777777" w:rsidR="00652D99" w:rsidRDefault="00D011FB" w:rsidP="00426530">
      <w:pPr>
        <w:pStyle w:val="Paragraphedeliste"/>
        <w:numPr>
          <w:ilvl w:val="0"/>
          <w:numId w:val="7"/>
        </w:numPr>
        <w:jc w:val="both"/>
        <w:rPr>
          <w:rFonts w:cstheme="minorHAnsi"/>
          <w:iCs/>
          <w:sz w:val="20"/>
        </w:rPr>
      </w:pPr>
      <w:r>
        <w:rPr>
          <w:rFonts w:cstheme="minorHAnsi"/>
          <w:iCs/>
          <w:sz w:val="20"/>
        </w:rPr>
        <w:t>Détailler l’ensemble des éléments ayant permis de dimensionner l’opération : quantification des besoins, hypothèses de fonctionnement, dimensionnement des installations, etc. Une étude de faisabilité sera à fournir ;</w:t>
      </w:r>
    </w:p>
    <w:p w14:paraId="49100E5F" w14:textId="77777777" w:rsidR="00652D99" w:rsidRDefault="00D011FB" w:rsidP="00426530">
      <w:pPr>
        <w:pStyle w:val="Paragraphedeliste"/>
        <w:numPr>
          <w:ilvl w:val="0"/>
          <w:numId w:val="7"/>
        </w:numPr>
        <w:jc w:val="both"/>
        <w:rPr>
          <w:rFonts w:cstheme="minorHAnsi"/>
          <w:iCs/>
          <w:sz w:val="20"/>
        </w:rPr>
      </w:pPr>
      <w:r>
        <w:rPr>
          <w:rFonts w:cstheme="minorHAnsi"/>
          <w:iCs/>
          <w:sz w:val="20"/>
        </w:rPr>
        <w:t xml:space="preserve">Décrire la solution retenue ainsi que la performance énergétique et la réduction des émissions de GES attendues via la mise en place de l’opération (préciser le cas échéant les outils méthodologiques utilisés). </w:t>
      </w:r>
    </w:p>
    <w:p w14:paraId="08043CC4" w14:textId="77777777" w:rsidR="00652D99" w:rsidRDefault="00D011FB" w:rsidP="00426530">
      <w:pPr>
        <w:pStyle w:val="Paragraphedeliste"/>
        <w:numPr>
          <w:ilvl w:val="0"/>
          <w:numId w:val="7"/>
        </w:numPr>
        <w:jc w:val="both"/>
        <w:rPr>
          <w:rFonts w:cstheme="minorHAnsi"/>
          <w:iCs/>
          <w:sz w:val="20"/>
        </w:rPr>
      </w:pPr>
      <w:r>
        <w:rPr>
          <w:rFonts w:cstheme="minorHAnsi"/>
          <w:iCs/>
          <w:sz w:val="20"/>
        </w:rPr>
        <w:t xml:space="preserve">Préciser les principales caractéristiques techniques des équipements retenus (rendements, matériaux, etc.) ainsi que le nom des équipementiers pressentis pour le projet ; </w:t>
      </w:r>
    </w:p>
    <w:p w14:paraId="259BCE0C" w14:textId="77777777" w:rsidR="00652D99" w:rsidRDefault="00D011FB" w:rsidP="00426530">
      <w:pPr>
        <w:pStyle w:val="Paragraphedeliste"/>
        <w:numPr>
          <w:ilvl w:val="0"/>
          <w:numId w:val="7"/>
        </w:numPr>
        <w:jc w:val="both"/>
        <w:rPr>
          <w:rFonts w:cstheme="minorHAnsi"/>
          <w:iCs/>
          <w:sz w:val="20"/>
        </w:rPr>
      </w:pPr>
      <w:r>
        <w:rPr>
          <w:rFonts w:cstheme="minorHAnsi"/>
          <w:iCs/>
          <w:sz w:val="20"/>
        </w:rPr>
        <w:t>Préciser les énergies et intrants concernés par la partie du site ou du procédé considéré.</w:t>
      </w:r>
    </w:p>
    <w:p w14:paraId="653C6797" w14:textId="77777777" w:rsidR="00652D99" w:rsidRDefault="00652D99">
      <w:pPr>
        <w:ind w:left="0" w:firstLine="0"/>
        <w:jc w:val="both"/>
        <w:rPr>
          <w:rFonts w:cstheme="minorHAnsi"/>
          <w:iCs/>
          <w:sz w:val="20"/>
        </w:rPr>
      </w:pPr>
    </w:p>
    <w:p w14:paraId="595F05C3" w14:textId="79290E74" w:rsidR="00652D99" w:rsidRDefault="00D011FB">
      <w:pPr>
        <w:ind w:left="0" w:firstLine="0"/>
        <w:jc w:val="both"/>
        <w:rPr>
          <w:rFonts w:cstheme="minorHAnsi"/>
          <w:iCs/>
          <w:sz w:val="20"/>
        </w:rPr>
      </w:pPr>
      <w:r>
        <w:rPr>
          <w:rFonts w:cstheme="minorHAnsi"/>
          <w:iCs/>
          <w:sz w:val="20"/>
        </w:rPr>
        <w:t>Les données énergétiques, matières et CO2</w:t>
      </w:r>
      <w:r w:rsidR="00733228">
        <w:rPr>
          <w:rFonts w:cstheme="minorHAnsi"/>
          <w:iCs/>
          <w:sz w:val="20"/>
        </w:rPr>
        <w:t>e</w:t>
      </w:r>
      <w:r>
        <w:rPr>
          <w:rFonts w:cstheme="minorHAnsi"/>
          <w:iCs/>
          <w:sz w:val="20"/>
        </w:rPr>
        <w:t xml:space="preserve"> sont à préciser dans le Volet Technico-Financier. Une feuille de calculs justifiant les données inscrites dans </w:t>
      </w:r>
      <w:r w:rsidR="00733228">
        <w:rPr>
          <w:rFonts w:cstheme="minorHAnsi"/>
          <w:iCs/>
          <w:sz w:val="20"/>
        </w:rPr>
        <w:t xml:space="preserve">le </w:t>
      </w:r>
      <w:r>
        <w:rPr>
          <w:rFonts w:cstheme="minorHAnsi"/>
          <w:iCs/>
          <w:sz w:val="20"/>
        </w:rPr>
        <w:t>VTF est à fournir.</w:t>
      </w:r>
    </w:p>
    <w:p w14:paraId="2D6CF7FC" w14:textId="77777777" w:rsidR="00652D99" w:rsidRDefault="00652D99">
      <w:pPr>
        <w:jc w:val="both"/>
        <w:rPr>
          <w:rFonts w:cstheme="minorHAnsi"/>
          <w:iCs/>
          <w:sz w:val="20"/>
        </w:rPr>
      </w:pPr>
    </w:p>
    <w:p w14:paraId="487258D6" w14:textId="77777777" w:rsidR="00652D99" w:rsidRDefault="00652D99">
      <w:pPr>
        <w:ind w:left="0" w:firstLine="0"/>
        <w:jc w:val="both"/>
        <w:rPr>
          <w:rFonts w:cstheme="minorHAnsi"/>
          <w:bCs/>
          <w:iCs/>
          <w:sz w:val="20"/>
          <w:u w:val="single"/>
        </w:rPr>
      </w:pPr>
    </w:p>
    <w:p w14:paraId="65C6DEDC" w14:textId="77777777" w:rsidR="00652D99" w:rsidRDefault="00D011FB">
      <w:pPr>
        <w:ind w:left="0" w:firstLine="0"/>
        <w:jc w:val="both"/>
        <w:rPr>
          <w:rFonts w:cs="Marianne"/>
          <w:b/>
          <w:iCs/>
          <w:sz w:val="20"/>
          <w:u w:val="single"/>
        </w:rPr>
      </w:pPr>
      <w:r>
        <w:rPr>
          <w:rFonts w:cstheme="minorHAnsi"/>
          <w:b/>
          <w:iCs/>
          <w:sz w:val="20"/>
          <w:u w:val="single"/>
        </w:rPr>
        <w:t>Plan de mesure et de vérification «</w:t>
      </w:r>
      <w:r>
        <w:rPr>
          <w:rFonts w:ascii="Calibri" w:hAnsi="Calibri" w:cs="Calibri"/>
          <w:b/>
          <w:iCs/>
          <w:sz w:val="20"/>
          <w:u w:val="single"/>
        </w:rPr>
        <w:t> </w:t>
      </w:r>
      <w:r>
        <w:rPr>
          <w:rFonts w:cstheme="minorHAnsi"/>
          <w:b/>
          <w:iCs/>
          <w:sz w:val="20"/>
          <w:u w:val="single"/>
        </w:rPr>
        <w:t>M&amp;V</w:t>
      </w:r>
      <w:r>
        <w:rPr>
          <w:rFonts w:ascii="Calibri" w:hAnsi="Calibri" w:cs="Calibri"/>
          <w:b/>
          <w:iCs/>
          <w:sz w:val="20"/>
          <w:u w:val="single"/>
        </w:rPr>
        <w:t> </w:t>
      </w:r>
      <w:r>
        <w:rPr>
          <w:rFonts w:cs="Marianne"/>
          <w:b/>
          <w:iCs/>
          <w:sz w:val="20"/>
          <w:u w:val="single"/>
        </w:rPr>
        <w:t>»</w:t>
      </w:r>
    </w:p>
    <w:p w14:paraId="196084F3" w14:textId="77777777" w:rsidR="00652D99" w:rsidRDefault="00D011FB">
      <w:pPr>
        <w:ind w:left="0" w:firstLine="0"/>
        <w:jc w:val="both"/>
        <w:rPr>
          <w:rFonts w:cstheme="minorHAnsi"/>
          <w:bCs/>
          <w:iCs/>
          <w:sz w:val="20"/>
        </w:rPr>
      </w:pPr>
      <w:r>
        <w:rPr>
          <w:rFonts w:cs="Marianne"/>
          <w:bCs/>
          <w:iCs/>
          <w:sz w:val="20"/>
        </w:rPr>
        <w:t>Le porteur de projet est invité à</w:t>
      </w:r>
      <w:r>
        <w:rPr>
          <w:rFonts w:ascii="Calibri" w:hAnsi="Calibri" w:cs="Calibri"/>
          <w:bCs/>
          <w:iCs/>
          <w:sz w:val="20"/>
        </w:rPr>
        <w:t> </w:t>
      </w:r>
      <w:r>
        <w:rPr>
          <w:rFonts w:cs="Marianne"/>
          <w:bCs/>
          <w:iCs/>
          <w:sz w:val="20"/>
        </w:rPr>
        <w:t>:</w:t>
      </w:r>
    </w:p>
    <w:p w14:paraId="26D92EC1" w14:textId="77777777" w:rsidR="00652D99" w:rsidRDefault="00D011FB" w:rsidP="00426530">
      <w:pPr>
        <w:pStyle w:val="Paragraphedeliste"/>
        <w:numPr>
          <w:ilvl w:val="0"/>
          <w:numId w:val="7"/>
        </w:numPr>
        <w:jc w:val="both"/>
        <w:rPr>
          <w:rFonts w:cstheme="minorHAnsi"/>
          <w:iCs/>
          <w:sz w:val="20"/>
        </w:rPr>
      </w:pPr>
      <w:r>
        <w:rPr>
          <w:rFonts w:cstheme="minorHAnsi"/>
          <w:iCs/>
          <w:sz w:val="20"/>
        </w:rPr>
        <w:t>Définir les indicateurs de performance environnementale pertinents de la même manière que les indicateurs de performance énergétiques (IPE), les facteurs d’influence, les périodes de référence, le périmètre, etc.</w:t>
      </w:r>
      <w:r>
        <w:rPr>
          <w:rFonts w:ascii="Calibri" w:hAnsi="Calibri" w:cs="Calibri"/>
          <w:iCs/>
          <w:sz w:val="20"/>
        </w:rPr>
        <w:t> </w:t>
      </w:r>
      <w:r>
        <w:rPr>
          <w:rFonts w:cstheme="minorHAnsi"/>
          <w:iCs/>
          <w:sz w:val="20"/>
        </w:rPr>
        <w:t>;</w:t>
      </w:r>
    </w:p>
    <w:p w14:paraId="74E358BC" w14:textId="77777777" w:rsidR="00652D99" w:rsidRDefault="00D011FB" w:rsidP="00426530">
      <w:pPr>
        <w:pStyle w:val="Paragraphedeliste"/>
        <w:numPr>
          <w:ilvl w:val="0"/>
          <w:numId w:val="7"/>
        </w:numPr>
        <w:jc w:val="both"/>
        <w:rPr>
          <w:rFonts w:cstheme="minorHAnsi"/>
          <w:iCs/>
          <w:sz w:val="20"/>
        </w:rPr>
      </w:pPr>
      <w:r>
        <w:rPr>
          <w:rFonts w:cstheme="minorHAnsi"/>
          <w:iCs/>
          <w:sz w:val="20"/>
        </w:rPr>
        <w:t>Décrire l’instrumentation nécessaire au suivi de la performance environnementale et énergétique des installations ainsi qu’au suivi des consommations d’énergie.</w:t>
      </w:r>
    </w:p>
    <w:p w14:paraId="50D00E18" w14:textId="77777777" w:rsidR="00652D99" w:rsidRDefault="00652D99">
      <w:pPr>
        <w:jc w:val="both"/>
        <w:rPr>
          <w:rFonts w:cstheme="minorHAnsi"/>
          <w:iCs/>
          <w:sz w:val="20"/>
        </w:rPr>
      </w:pPr>
    </w:p>
    <w:p w14:paraId="58B99AD7" w14:textId="77777777" w:rsidR="00652D99" w:rsidRDefault="00D011FB">
      <w:pPr>
        <w:ind w:left="0" w:firstLine="0"/>
        <w:jc w:val="both"/>
        <w:rPr>
          <w:rFonts w:cstheme="minorHAnsi"/>
          <w:iCs/>
          <w:sz w:val="20"/>
        </w:rPr>
      </w:pPr>
      <w:r>
        <w:rPr>
          <w:rFonts w:cstheme="minorHAnsi"/>
          <w:iCs/>
          <w:sz w:val="20"/>
        </w:rPr>
        <w:t>Ce plan de mesure et de vérification servira de base pour la production, en phase de contractualisation, d’un protocole de comptage de la performance de décarbonation permettant de mesurer in fine la réduction effective des émissions de GES liées au projet, de vérifier le niveau d’atteinte de l’objectif de décarbonation contractuel, et ainsi de déclencher ou non le paiement du solde de l’aide. Il est recommandé de s’inspirer de la méthodologie IPMVP ou de la norme ISO 50015</w:t>
      </w:r>
      <w:r>
        <w:rPr>
          <w:rFonts w:ascii="Calibri" w:hAnsi="Calibri" w:cs="Calibri"/>
          <w:iCs/>
          <w:sz w:val="20"/>
        </w:rPr>
        <w:t> </w:t>
      </w:r>
      <w:r>
        <w:rPr>
          <w:rFonts w:cstheme="minorHAnsi"/>
          <w:iCs/>
          <w:sz w:val="20"/>
        </w:rPr>
        <w:t>pour ce plan de mesure et vérification.</w:t>
      </w:r>
    </w:p>
    <w:p w14:paraId="63760810" w14:textId="77777777" w:rsidR="00652D99" w:rsidRDefault="00652D99">
      <w:pPr>
        <w:ind w:left="0" w:firstLine="0"/>
        <w:rPr>
          <w:rFonts w:cstheme="minorHAnsi"/>
          <w:iCs/>
          <w:sz w:val="20"/>
        </w:rPr>
      </w:pPr>
    </w:p>
    <w:p w14:paraId="42204579"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6B160FDE"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86B9A7B"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63122AA3"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AFA93C5"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0A03BD45"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C80A53B"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7E4FA5DE"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509B22E5"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6A967EBC"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2A88E071"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60172956"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7399C3B9"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6CF6773B"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6490958" w14:textId="330E713E" w:rsidR="00652D99" w:rsidRDefault="00652D99">
      <w:pPr>
        <w:spacing w:after="100"/>
        <w:rPr>
          <w:sz w:val="20"/>
        </w:rPr>
      </w:pPr>
    </w:p>
    <w:p w14:paraId="4ED7B2A4" w14:textId="77777777" w:rsidR="00AF2BC3" w:rsidRDefault="00AF2BC3">
      <w:pPr>
        <w:spacing w:after="100"/>
        <w:rPr>
          <w:sz w:val="20"/>
        </w:rPr>
      </w:pPr>
    </w:p>
    <w:p w14:paraId="7AF858FF" w14:textId="7B731C54" w:rsidR="00652D99" w:rsidRDefault="00D011FB">
      <w:pPr>
        <w:pStyle w:val="Titre2"/>
        <w:ind w:left="0" w:firstLine="0"/>
        <w:rPr>
          <w:rFonts w:cstheme="minorHAnsi"/>
          <w:b/>
          <w:bCs/>
          <w:color w:val="4F81BD" w:themeColor="accent1"/>
          <w:sz w:val="28"/>
          <w:szCs w:val="24"/>
        </w:rPr>
      </w:pPr>
      <w:bookmarkStart w:id="9" w:name="_Toc153893244"/>
      <w:r>
        <w:rPr>
          <w:rFonts w:cstheme="minorHAnsi"/>
          <w:b/>
          <w:bCs/>
          <w:color w:val="4F81BD" w:themeColor="accent1"/>
          <w:sz w:val="28"/>
          <w:szCs w:val="24"/>
        </w:rPr>
        <w:lastRenderedPageBreak/>
        <w:t>Description du scénario contrefactuel</w:t>
      </w:r>
      <w:bookmarkEnd w:id="9"/>
    </w:p>
    <w:p w14:paraId="247B1B49" w14:textId="77777777" w:rsidR="00652D99" w:rsidRDefault="00652D99">
      <w:pPr>
        <w:ind w:left="0" w:firstLine="0"/>
        <w:jc w:val="both"/>
        <w:rPr>
          <w:rFonts w:cstheme="minorHAnsi"/>
          <w:iCs/>
          <w:sz w:val="20"/>
        </w:rPr>
      </w:pPr>
    </w:p>
    <w:p w14:paraId="21D281AF" w14:textId="77777777" w:rsidR="00652D99" w:rsidRDefault="00D011FB">
      <w:pPr>
        <w:ind w:left="0" w:firstLine="0"/>
        <w:jc w:val="both"/>
        <w:rPr>
          <w:rFonts w:cstheme="minorHAnsi"/>
          <w:iCs/>
          <w:sz w:val="20"/>
        </w:rPr>
      </w:pPr>
      <w:r>
        <w:rPr>
          <w:rFonts w:cstheme="minorHAnsi"/>
          <w:iCs/>
          <w:sz w:val="20"/>
        </w:rPr>
        <w:t>Dans le contexte où les solutions environnementalement et énergétiquement performantes ont un coût supplémentaire qui nécessite un soutien public pour accélérer leur diffusion, le scénario contrefactuel représente la solution sans ambition environnementale ou énergétique dans laquelle investirait le demandeur, sans aide publique.</w:t>
      </w:r>
    </w:p>
    <w:p w14:paraId="23C5D8F6" w14:textId="77777777" w:rsidR="00652D99" w:rsidRDefault="00652D99">
      <w:pPr>
        <w:ind w:left="0" w:firstLine="0"/>
        <w:jc w:val="both"/>
        <w:rPr>
          <w:rFonts w:cstheme="minorHAnsi"/>
          <w:iCs/>
          <w:sz w:val="20"/>
        </w:rPr>
      </w:pPr>
    </w:p>
    <w:p w14:paraId="78212CA8" w14:textId="77777777" w:rsidR="00652D99" w:rsidRDefault="00D011FB">
      <w:pPr>
        <w:ind w:left="0" w:firstLine="0"/>
        <w:jc w:val="both"/>
        <w:rPr>
          <w:rFonts w:cstheme="minorHAnsi"/>
          <w:iCs/>
          <w:sz w:val="20"/>
        </w:rPr>
      </w:pPr>
      <w:r>
        <w:rPr>
          <w:rFonts w:cstheme="minorHAnsi"/>
          <w:iCs/>
          <w:sz w:val="20"/>
        </w:rPr>
        <w:t>La détermination du scénario contrefactuel est ainsi une étape fondamentale lors de la constitution d’un dossier de demande d’aide puisqu’elle doit :</w:t>
      </w:r>
    </w:p>
    <w:p w14:paraId="2BBB1A53" w14:textId="77777777" w:rsidR="00652D99" w:rsidRDefault="00D011FB" w:rsidP="00426530">
      <w:pPr>
        <w:pStyle w:val="Paragraphedeliste"/>
        <w:numPr>
          <w:ilvl w:val="0"/>
          <w:numId w:val="11"/>
        </w:numPr>
        <w:jc w:val="both"/>
        <w:rPr>
          <w:rFonts w:cstheme="minorHAnsi"/>
          <w:iCs/>
          <w:sz w:val="20"/>
        </w:rPr>
      </w:pPr>
      <w:r>
        <w:rPr>
          <w:rFonts w:cstheme="minorHAnsi"/>
          <w:iCs/>
          <w:sz w:val="20"/>
        </w:rPr>
        <w:t>Permettre de démontrer l’</w:t>
      </w:r>
      <w:proofErr w:type="spellStart"/>
      <w:r>
        <w:rPr>
          <w:rFonts w:cstheme="minorHAnsi"/>
          <w:iCs/>
          <w:sz w:val="20"/>
        </w:rPr>
        <w:t>incitativité</w:t>
      </w:r>
      <w:proofErr w:type="spellEnd"/>
      <w:r>
        <w:rPr>
          <w:rFonts w:cstheme="minorHAnsi"/>
          <w:iCs/>
          <w:sz w:val="20"/>
        </w:rPr>
        <w:t xml:space="preserve"> de l’aide, c’est-à-dire que l’aide sollicitée est indispensable à l’entreprise pour mettre en œuvre une alternative environnementalement et énergétiquement performante en termes d‘équipement, de technologie ou de service ;</w:t>
      </w:r>
    </w:p>
    <w:p w14:paraId="43EDAE34" w14:textId="77777777" w:rsidR="00652D99" w:rsidRDefault="00D011FB" w:rsidP="00426530">
      <w:pPr>
        <w:pStyle w:val="Paragraphedeliste"/>
        <w:numPr>
          <w:ilvl w:val="0"/>
          <w:numId w:val="11"/>
        </w:numPr>
        <w:jc w:val="both"/>
        <w:rPr>
          <w:rFonts w:cstheme="minorHAnsi"/>
          <w:iCs/>
          <w:sz w:val="20"/>
        </w:rPr>
      </w:pPr>
      <w:r>
        <w:rPr>
          <w:rFonts w:cstheme="minorHAnsi"/>
          <w:iCs/>
          <w:sz w:val="20"/>
        </w:rPr>
        <w:t>Servir de référence pour l’identification du montant de l’investissement contrefactuel.</w:t>
      </w:r>
    </w:p>
    <w:p w14:paraId="1040E8BF" w14:textId="77777777" w:rsidR="00652D99" w:rsidRDefault="00652D99">
      <w:pPr>
        <w:ind w:left="0" w:firstLine="0"/>
        <w:jc w:val="both"/>
        <w:rPr>
          <w:rFonts w:cstheme="minorHAnsi"/>
          <w:iCs/>
          <w:sz w:val="20"/>
        </w:rPr>
      </w:pPr>
    </w:p>
    <w:p w14:paraId="6030B240" w14:textId="63FB86CB" w:rsidR="00652D99" w:rsidRDefault="00F74798">
      <w:pPr>
        <w:ind w:left="0" w:firstLine="0"/>
        <w:jc w:val="both"/>
        <w:rPr>
          <w:rFonts w:cstheme="minorHAnsi"/>
          <w:iCs/>
          <w:sz w:val="20"/>
        </w:rPr>
      </w:pPr>
      <w:r w:rsidRPr="00F74798">
        <w:rPr>
          <w:rFonts w:cstheme="minorHAnsi"/>
          <w:iCs/>
          <w:sz w:val="20"/>
        </w:rPr>
        <w:t>En effet, selon les règles européennes, seuls sont admissibles les coûts supplémentaires nécessaires pour augmenter le niveau de protection de l’environnement notamment en présence de normes, pour aller au-delà des normes applicables de l’Union européenne, ou pour se conformer à des normes de l’Union européenne qui ont été adoptées mais qui ne sont pas encore en vigueur (dans la mesure où l'investissement est mis en œuvre et finalisé au moins 18 mois avant la date d'entrée en vigueur). L’assiette des coûts admissibles sera donc calculée comme le surcoût de la solution visée de l’opération future (plus respectueuse de l’environnement) par rapport au scénario contrefactuel, comme expliqué dans la section 2.3.1 du Cahier des Charges.</w:t>
      </w:r>
    </w:p>
    <w:p w14:paraId="7775DC5D" w14:textId="77777777" w:rsidR="00F74798" w:rsidRDefault="00F74798">
      <w:pPr>
        <w:ind w:left="0" w:firstLine="0"/>
        <w:jc w:val="both"/>
        <w:rPr>
          <w:rFonts w:cstheme="minorHAnsi"/>
          <w:iCs/>
          <w:sz w:val="20"/>
        </w:rPr>
      </w:pPr>
    </w:p>
    <w:p w14:paraId="47332F2B" w14:textId="77777777" w:rsidR="00652D99" w:rsidRDefault="00D011FB">
      <w:pPr>
        <w:ind w:left="0" w:firstLine="0"/>
        <w:jc w:val="both"/>
        <w:rPr>
          <w:rFonts w:cstheme="minorHAnsi"/>
          <w:iCs/>
          <w:sz w:val="20"/>
        </w:rPr>
      </w:pPr>
      <w:r>
        <w:rPr>
          <w:rFonts w:cstheme="minorHAnsi"/>
          <w:iCs/>
          <w:sz w:val="20"/>
        </w:rPr>
        <w:t>Il existe quatre méthodes pour définir et chiffrer un scénario contrefactuel pertinent par rapport au projet envisagé</w:t>
      </w:r>
      <w:r>
        <w:rPr>
          <w:rFonts w:ascii="Calibri" w:hAnsi="Calibri" w:cs="Calibri"/>
          <w:iCs/>
          <w:sz w:val="20"/>
        </w:rPr>
        <w:t> </w:t>
      </w:r>
      <w:r>
        <w:rPr>
          <w:rFonts w:cstheme="minorHAnsi"/>
          <w:iCs/>
          <w:sz w:val="20"/>
        </w:rPr>
        <w:t xml:space="preserve">: </w:t>
      </w:r>
    </w:p>
    <w:p w14:paraId="11A5705F" w14:textId="77777777" w:rsidR="00652D99" w:rsidRDefault="00D011FB" w:rsidP="00426530">
      <w:pPr>
        <w:pStyle w:val="Paragraphedeliste"/>
        <w:numPr>
          <w:ilvl w:val="0"/>
          <w:numId w:val="12"/>
        </w:numPr>
        <w:jc w:val="both"/>
        <w:rPr>
          <w:rFonts w:cstheme="minorHAnsi"/>
          <w:iCs/>
          <w:sz w:val="20"/>
        </w:rPr>
      </w:pPr>
      <w:bookmarkStart w:id="10" w:name="_Hlk127953950"/>
      <w:r>
        <w:rPr>
          <w:rFonts w:cstheme="minorHAnsi"/>
          <w:iCs/>
          <w:sz w:val="20"/>
        </w:rPr>
        <w:t>Solution de marché bien identifiée</w:t>
      </w:r>
    </w:p>
    <w:p w14:paraId="12D4A7A2" w14:textId="77777777" w:rsidR="00652D99" w:rsidRDefault="00D011FB" w:rsidP="00426530">
      <w:pPr>
        <w:pStyle w:val="Paragraphedeliste"/>
        <w:numPr>
          <w:ilvl w:val="0"/>
          <w:numId w:val="12"/>
        </w:numPr>
        <w:jc w:val="both"/>
        <w:rPr>
          <w:rFonts w:cstheme="minorHAnsi"/>
          <w:iCs/>
          <w:sz w:val="20"/>
        </w:rPr>
      </w:pPr>
      <w:r>
        <w:rPr>
          <w:rFonts w:cstheme="minorHAnsi"/>
          <w:iCs/>
          <w:sz w:val="20"/>
        </w:rPr>
        <w:t>Décalage dans le temps de l’investissement objet du projet</w:t>
      </w:r>
    </w:p>
    <w:p w14:paraId="032FB165" w14:textId="77777777" w:rsidR="00652D99" w:rsidRDefault="00D011FB" w:rsidP="00426530">
      <w:pPr>
        <w:pStyle w:val="Paragraphedeliste"/>
        <w:numPr>
          <w:ilvl w:val="0"/>
          <w:numId w:val="12"/>
        </w:numPr>
        <w:jc w:val="both"/>
        <w:rPr>
          <w:rFonts w:cstheme="minorHAnsi"/>
          <w:iCs/>
          <w:sz w:val="20"/>
        </w:rPr>
      </w:pPr>
      <w:r>
        <w:rPr>
          <w:rFonts w:cstheme="minorHAnsi"/>
          <w:iCs/>
          <w:sz w:val="20"/>
        </w:rPr>
        <w:t xml:space="preserve">Maintenance de l’installation existante </w:t>
      </w:r>
    </w:p>
    <w:p w14:paraId="57B5245D" w14:textId="77777777" w:rsidR="00652D99" w:rsidRDefault="00D011FB" w:rsidP="00426530">
      <w:pPr>
        <w:pStyle w:val="Paragraphedeliste"/>
        <w:numPr>
          <w:ilvl w:val="0"/>
          <w:numId w:val="12"/>
        </w:numPr>
        <w:jc w:val="both"/>
        <w:rPr>
          <w:rFonts w:cstheme="minorHAnsi"/>
          <w:iCs/>
          <w:sz w:val="20"/>
        </w:rPr>
      </w:pPr>
      <w:r>
        <w:rPr>
          <w:rFonts w:cstheme="minorHAnsi"/>
          <w:iCs/>
          <w:sz w:val="20"/>
        </w:rPr>
        <w:t>Équipements faisant l’objet de contrats de crédit-bail</w:t>
      </w:r>
      <w:bookmarkEnd w:id="10"/>
    </w:p>
    <w:p w14:paraId="5B40F83A" w14:textId="77777777" w:rsidR="00652D99" w:rsidRDefault="00652D99">
      <w:pPr>
        <w:ind w:left="0" w:firstLine="0"/>
        <w:jc w:val="both"/>
        <w:rPr>
          <w:rFonts w:cstheme="minorHAnsi"/>
          <w:iCs/>
          <w:sz w:val="20"/>
        </w:rPr>
      </w:pPr>
    </w:p>
    <w:p w14:paraId="667F9DE3" w14:textId="77777777" w:rsidR="00652D99" w:rsidRDefault="00D011FB">
      <w:pPr>
        <w:ind w:left="0" w:firstLine="0"/>
        <w:jc w:val="both"/>
        <w:rPr>
          <w:rFonts w:cstheme="minorHAnsi"/>
          <w:iCs/>
          <w:sz w:val="20"/>
        </w:rPr>
      </w:pPr>
      <w:r>
        <w:rPr>
          <w:rFonts w:cstheme="minorHAnsi"/>
          <w:iCs/>
          <w:sz w:val="20"/>
        </w:rPr>
        <w:t xml:space="preserve">Ces quatre méthodes sont explicitées en </w:t>
      </w:r>
      <w:r>
        <w:rPr>
          <w:rFonts w:cstheme="minorHAnsi"/>
          <w:iCs/>
          <w:sz w:val="20"/>
          <w:highlight w:val="white"/>
        </w:rPr>
        <w:t>Annexe 3</w:t>
      </w:r>
      <w:r>
        <w:rPr>
          <w:rFonts w:cstheme="minorHAnsi"/>
          <w:iCs/>
          <w:sz w:val="20"/>
        </w:rPr>
        <w:t xml:space="preserve"> de ce volet technique.</w:t>
      </w:r>
    </w:p>
    <w:p w14:paraId="48D8FEFB" w14:textId="77777777" w:rsidR="00652D99" w:rsidRDefault="00652D99">
      <w:pPr>
        <w:ind w:left="0" w:firstLine="0"/>
        <w:jc w:val="both"/>
        <w:rPr>
          <w:rFonts w:cstheme="minorHAnsi"/>
          <w:iCs/>
          <w:sz w:val="20"/>
        </w:rPr>
      </w:pPr>
    </w:p>
    <w:p w14:paraId="47BAC424" w14:textId="77777777" w:rsidR="00652D99" w:rsidRDefault="00D011FB">
      <w:pPr>
        <w:ind w:left="0" w:firstLine="0"/>
        <w:jc w:val="both"/>
        <w:rPr>
          <w:rFonts w:cstheme="minorHAnsi"/>
          <w:iCs/>
          <w:sz w:val="20"/>
        </w:rPr>
      </w:pPr>
      <w:r>
        <w:rPr>
          <w:rFonts w:cstheme="minorHAnsi"/>
          <w:iCs/>
          <w:sz w:val="20"/>
        </w:rPr>
        <w:t xml:space="preserve">Il sera également demandé des éléments spécifiques en cas d’augmentation de la capacité de production. </w:t>
      </w:r>
    </w:p>
    <w:p w14:paraId="63037490" w14:textId="77777777" w:rsidR="00652D99" w:rsidRDefault="00652D99">
      <w:pPr>
        <w:ind w:left="0" w:firstLine="0"/>
        <w:jc w:val="both"/>
        <w:rPr>
          <w:rFonts w:cstheme="minorHAnsi"/>
          <w:iCs/>
          <w:sz w:val="20"/>
        </w:rPr>
      </w:pPr>
    </w:p>
    <w:p w14:paraId="169BB033"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6DC35FFA" w14:textId="77777777" w:rsidR="00652D99" w:rsidRDefault="00652D99">
      <w:pPr>
        <w:pBdr>
          <w:top w:val="single" w:sz="4" w:space="1" w:color="auto"/>
          <w:left w:val="single" w:sz="4" w:space="4" w:color="auto"/>
          <w:bottom w:val="single" w:sz="4" w:space="1" w:color="auto"/>
          <w:right w:val="single" w:sz="4" w:space="4" w:color="auto"/>
        </w:pBdr>
      </w:pPr>
    </w:p>
    <w:p w14:paraId="7B45F6A6" w14:textId="77777777" w:rsidR="00652D99" w:rsidRDefault="00652D99">
      <w:pPr>
        <w:pBdr>
          <w:top w:val="single" w:sz="4" w:space="1" w:color="auto"/>
          <w:left w:val="single" w:sz="4" w:space="4" w:color="auto"/>
          <w:bottom w:val="single" w:sz="4" w:space="1" w:color="auto"/>
          <w:right w:val="single" w:sz="4" w:space="4" w:color="auto"/>
        </w:pBdr>
        <w:ind w:left="0" w:firstLine="0"/>
      </w:pPr>
    </w:p>
    <w:p w14:paraId="46142FD2" w14:textId="77777777" w:rsidR="00652D99" w:rsidRDefault="00652D99">
      <w:pPr>
        <w:pBdr>
          <w:top w:val="single" w:sz="4" w:space="1" w:color="auto"/>
          <w:left w:val="single" w:sz="4" w:space="4" w:color="auto"/>
          <w:bottom w:val="single" w:sz="4" w:space="1" w:color="auto"/>
          <w:right w:val="single" w:sz="4" w:space="4" w:color="auto"/>
        </w:pBdr>
      </w:pPr>
    </w:p>
    <w:p w14:paraId="0F7B6C53" w14:textId="77777777" w:rsidR="00652D99" w:rsidRDefault="00652D99">
      <w:pPr>
        <w:pBdr>
          <w:top w:val="single" w:sz="4" w:space="1" w:color="auto"/>
          <w:left w:val="single" w:sz="4" w:space="4" w:color="auto"/>
          <w:bottom w:val="single" w:sz="4" w:space="1" w:color="auto"/>
          <w:right w:val="single" w:sz="4" w:space="4" w:color="auto"/>
        </w:pBdr>
      </w:pPr>
    </w:p>
    <w:p w14:paraId="0CF76840" w14:textId="77777777" w:rsidR="00652D99" w:rsidRDefault="00652D99">
      <w:pPr>
        <w:pBdr>
          <w:top w:val="single" w:sz="4" w:space="1" w:color="auto"/>
          <w:left w:val="single" w:sz="4" w:space="4" w:color="auto"/>
          <w:bottom w:val="single" w:sz="4" w:space="1" w:color="auto"/>
          <w:right w:val="single" w:sz="4" w:space="4" w:color="auto"/>
        </w:pBdr>
      </w:pPr>
    </w:p>
    <w:p w14:paraId="14A3E794" w14:textId="77777777" w:rsidR="00652D99" w:rsidRDefault="00652D99" w:rsidP="00CF1D58">
      <w:pPr>
        <w:pBdr>
          <w:top w:val="single" w:sz="4" w:space="1" w:color="auto"/>
          <w:left w:val="single" w:sz="4" w:space="4" w:color="auto"/>
          <w:bottom w:val="single" w:sz="4" w:space="1" w:color="auto"/>
          <w:right w:val="single" w:sz="4" w:space="4" w:color="auto"/>
        </w:pBdr>
        <w:ind w:left="0" w:firstLine="0"/>
      </w:pPr>
    </w:p>
    <w:p w14:paraId="6EF7C74B" w14:textId="77777777" w:rsidR="00652D99" w:rsidRDefault="00652D99">
      <w:pPr>
        <w:pBdr>
          <w:top w:val="single" w:sz="4" w:space="1" w:color="auto"/>
          <w:left w:val="single" w:sz="4" w:space="4" w:color="auto"/>
          <w:bottom w:val="single" w:sz="4" w:space="1" w:color="auto"/>
          <w:right w:val="single" w:sz="4" w:space="4" w:color="auto"/>
        </w:pBdr>
      </w:pPr>
    </w:p>
    <w:p w14:paraId="32A580BB" w14:textId="77777777" w:rsidR="00652D99" w:rsidRDefault="00652D99">
      <w:pPr>
        <w:pBdr>
          <w:top w:val="single" w:sz="4" w:space="1" w:color="auto"/>
          <w:left w:val="single" w:sz="4" w:space="4" w:color="auto"/>
          <w:bottom w:val="single" w:sz="4" w:space="1" w:color="auto"/>
          <w:right w:val="single" w:sz="4" w:space="4" w:color="auto"/>
        </w:pBdr>
      </w:pPr>
    </w:p>
    <w:p w14:paraId="124862C6" w14:textId="77777777" w:rsidR="00652D99" w:rsidRDefault="00652D99">
      <w:pPr>
        <w:pBdr>
          <w:top w:val="single" w:sz="4" w:space="1" w:color="auto"/>
          <w:left w:val="single" w:sz="4" w:space="4" w:color="auto"/>
          <w:bottom w:val="single" w:sz="4" w:space="1" w:color="auto"/>
          <w:right w:val="single" w:sz="4" w:space="4" w:color="auto"/>
        </w:pBdr>
        <w:ind w:left="0" w:firstLine="0"/>
      </w:pPr>
    </w:p>
    <w:p w14:paraId="7E01FB6D" w14:textId="77777777" w:rsidR="00652D99" w:rsidRDefault="00652D99">
      <w:pPr>
        <w:pBdr>
          <w:top w:val="single" w:sz="4" w:space="1" w:color="auto"/>
          <w:left w:val="single" w:sz="4" w:space="4" w:color="auto"/>
          <w:bottom w:val="single" w:sz="4" w:space="1" w:color="auto"/>
          <w:right w:val="single" w:sz="4" w:space="4" w:color="auto"/>
        </w:pBdr>
        <w:ind w:left="0" w:firstLine="0"/>
      </w:pPr>
    </w:p>
    <w:p w14:paraId="2D1778F6" w14:textId="77777777" w:rsidR="00652D99" w:rsidRDefault="00652D99">
      <w:pPr>
        <w:pBdr>
          <w:top w:val="single" w:sz="4" w:space="1" w:color="auto"/>
          <w:left w:val="single" w:sz="4" w:space="4" w:color="auto"/>
          <w:bottom w:val="single" w:sz="4" w:space="1" w:color="auto"/>
          <w:right w:val="single" w:sz="4" w:space="4" w:color="auto"/>
        </w:pBdr>
      </w:pPr>
    </w:p>
    <w:p w14:paraId="788852A6" w14:textId="77777777" w:rsidR="00652D99" w:rsidRDefault="00D011FB">
      <w:pPr>
        <w:spacing w:after="100"/>
        <w:ind w:left="0" w:firstLine="0"/>
      </w:pPr>
      <w:r>
        <w:br w:type="page" w:clear="all"/>
      </w:r>
    </w:p>
    <w:p w14:paraId="20D7AFFB" w14:textId="77777777" w:rsidR="00652D99" w:rsidRDefault="00D011FB">
      <w:pPr>
        <w:pStyle w:val="Titre2"/>
        <w:ind w:left="0" w:firstLine="0"/>
        <w:rPr>
          <w:rFonts w:cstheme="minorHAnsi"/>
          <w:b/>
          <w:bCs/>
          <w:color w:val="4F81BD"/>
          <w:sz w:val="28"/>
          <w:szCs w:val="24"/>
        </w:rPr>
      </w:pPr>
      <w:bookmarkStart w:id="11" w:name="_Toc153893245"/>
      <w:r>
        <w:rPr>
          <w:rFonts w:cstheme="minorHAnsi"/>
          <w:b/>
          <w:bCs/>
          <w:color w:val="4F81BD" w:themeColor="accent1"/>
          <w:sz w:val="28"/>
          <w:szCs w:val="24"/>
        </w:rPr>
        <w:lastRenderedPageBreak/>
        <w:t>Adaptation au changement climatique</w:t>
      </w:r>
      <w:bookmarkEnd w:id="11"/>
    </w:p>
    <w:p w14:paraId="0D86E576" w14:textId="77777777" w:rsidR="00652D99" w:rsidRDefault="00652D99">
      <w:pPr>
        <w:rPr>
          <w:sz w:val="20"/>
        </w:rPr>
      </w:pPr>
    </w:p>
    <w:p w14:paraId="2D9DF1BB" w14:textId="653CF2AA" w:rsidR="006E3BB2" w:rsidRPr="006E3BB2" w:rsidRDefault="006E3BB2" w:rsidP="006E3BB2">
      <w:pPr>
        <w:ind w:left="0" w:firstLine="0"/>
        <w:jc w:val="both"/>
        <w:rPr>
          <w:sz w:val="20"/>
        </w:rPr>
      </w:pPr>
      <w:r w:rsidRPr="006E3BB2">
        <w:rPr>
          <w:sz w:val="20"/>
        </w:rPr>
        <w:t>Le réchauffement climatique et ses impacts se manifestent déjà et s’accentueront ces prochaines décennies</w:t>
      </w:r>
      <w:r w:rsidRPr="006E3BB2">
        <w:rPr>
          <w:rFonts w:ascii="Calibri" w:hAnsi="Calibri" w:cs="Calibri"/>
          <w:sz w:val="20"/>
        </w:rPr>
        <w:t> </w:t>
      </w:r>
      <w:r w:rsidRPr="006E3BB2">
        <w:rPr>
          <w:sz w:val="20"/>
        </w:rPr>
        <w:t xml:space="preserve">: </w:t>
      </w:r>
      <w:hyperlink r:id="rId12" w:history="1">
        <w:r w:rsidRPr="006E3BB2">
          <w:rPr>
            <w:rStyle w:val="Lienhypertexte"/>
            <w:sz w:val="20"/>
          </w:rPr>
          <w:t>+2°C dès 2030 jusqu’à +2,7°C en 2050</w:t>
        </w:r>
      </w:hyperlink>
      <w:r>
        <w:rPr>
          <w:sz w:val="20"/>
        </w:rPr>
        <w:t xml:space="preserve"> </w:t>
      </w:r>
      <w:r w:rsidR="00AF4ABB">
        <w:rPr>
          <w:sz w:val="20"/>
        </w:rPr>
        <w:t xml:space="preserve">comme l’indique le </w:t>
      </w:r>
      <w:r w:rsidR="0021634B">
        <w:rPr>
          <w:sz w:val="20"/>
        </w:rPr>
        <w:t>troisième</w:t>
      </w:r>
      <w:r w:rsidR="00AF4ABB">
        <w:rPr>
          <w:sz w:val="20"/>
        </w:rPr>
        <w:t xml:space="preserve"> plan national d’adaptation au changement climatique</w:t>
      </w:r>
      <w:r w:rsidR="003F50BB">
        <w:rPr>
          <w:sz w:val="20"/>
        </w:rPr>
        <w:t>.</w:t>
      </w:r>
    </w:p>
    <w:p w14:paraId="159CF50D" w14:textId="77777777" w:rsidR="006E3BB2" w:rsidRDefault="006E3BB2" w:rsidP="006E3BB2">
      <w:pPr>
        <w:ind w:left="0" w:firstLine="0"/>
        <w:jc w:val="both"/>
        <w:rPr>
          <w:sz w:val="20"/>
        </w:rPr>
      </w:pPr>
    </w:p>
    <w:p w14:paraId="1F4F5BB1" w14:textId="21836725" w:rsidR="006E3BB2" w:rsidRPr="006E3BB2" w:rsidRDefault="006E3BB2" w:rsidP="006E3BB2">
      <w:pPr>
        <w:ind w:left="0" w:firstLine="0"/>
        <w:jc w:val="both"/>
        <w:rPr>
          <w:sz w:val="20"/>
        </w:rPr>
      </w:pPr>
      <w:r w:rsidRPr="006E3BB2">
        <w:rPr>
          <w:sz w:val="20"/>
        </w:rPr>
        <w:t>Il est important que votre projet, objet de la demande de financement</w:t>
      </w:r>
      <w:r w:rsidR="00AF4ABB">
        <w:rPr>
          <w:sz w:val="20"/>
        </w:rPr>
        <w:t xml:space="preserve"> public</w:t>
      </w:r>
      <w:r w:rsidRPr="006E3BB2">
        <w:rPr>
          <w:sz w:val="20"/>
        </w:rPr>
        <w:t xml:space="preserve">, soit, en plus d’être décarboné, adapté au climat de demain. </w:t>
      </w:r>
      <w:r w:rsidR="00EC12E3">
        <w:rPr>
          <w:sz w:val="20"/>
        </w:rPr>
        <w:t>Il est ainsi pertinent que votre projet intègre</w:t>
      </w:r>
      <w:r w:rsidRPr="006E3BB2">
        <w:rPr>
          <w:sz w:val="20"/>
        </w:rPr>
        <w:t xml:space="preserve"> les conséquences des impacts du changement climatique (sécheresse, canicule, inondations, submersion, ou encore retrait gonflement des argiles …) sur votre site et votre chaine de valeur. </w:t>
      </w:r>
    </w:p>
    <w:p w14:paraId="06CB5811" w14:textId="77777777" w:rsidR="006E3BB2" w:rsidRDefault="006E3BB2" w:rsidP="006E3BB2">
      <w:pPr>
        <w:ind w:left="0" w:firstLine="0"/>
        <w:jc w:val="both"/>
        <w:rPr>
          <w:sz w:val="20"/>
        </w:rPr>
      </w:pPr>
    </w:p>
    <w:p w14:paraId="0CF46F1C" w14:textId="4E0398EF" w:rsidR="006E3BB2" w:rsidRDefault="00B770BA" w:rsidP="006E3BB2">
      <w:pPr>
        <w:ind w:left="0" w:firstLine="0"/>
        <w:jc w:val="both"/>
        <w:rPr>
          <w:sz w:val="20"/>
        </w:rPr>
      </w:pPr>
      <w:r>
        <w:rPr>
          <w:sz w:val="20"/>
        </w:rPr>
        <w:t>N</w:t>
      </w:r>
      <w:r w:rsidR="006E3BB2" w:rsidRPr="006E3BB2">
        <w:rPr>
          <w:sz w:val="20"/>
        </w:rPr>
        <w:t>ous vous invitons à vous engager dans le parcours adaptation préconisé par l’ADEME</w:t>
      </w:r>
      <w:r w:rsidR="006E3BB2">
        <w:rPr>
          <w:sz w:val="20"/>
        </w:rPr>
        <w:t>,</w:t>
      </w:r>
      <w:r w:rsidR="006E3BB2" w:rsidRPr="006E3BB2">
        <w:rPr>
          <w:sz w:val="20"/>
        </w:rPr>
        <w:t xml:space="preserve"> illustré dans </w:t>
      </w:r>
      <w:r w:rsidR="00874E4C">
        <w:rPr>
          <w:sz w:val="20"/>
        </w:rPr>
        <w:t xml:space="preserve">le guide </w:t>
      </w:r>
      <w:hyperlink r:id="rId13" w:history="1">
        <w:r w:rsidR="00874E4C" w:rsidRPr="00874E4C">
          <w:rPr>
            <w:rStyle w:val="Lienhypertexte"/>
            <w:sz w:val="20"/>
          </w:rPr>
          <w:t>«</w:t>
        </w:r>
        <w:r w:rsidR="00874E4C" w:rsidRPr="00874E4C">
          <w:rPr>
            <w:rStyle w:val="Lienhypertexte"/>
            <w:rFonts w:ascii="Calibri" w:hAnsi="Calibri" w:cs="Calibri"/>
            <w:sz w:val="20"/>
          </w:rPr>
          <w:t> </w:t>
        </w:r>
        <w:r w:rsidR="00874E4C" w:rsidRPr="00874E4C">
          <w:rPr>
            <w:rStyle w:val="Lienhypertexte"/>
            <w:sz w:val="20"/>
          </w:rPr>
          <w:t>En entreprise, comment s’engager dans un parcours d’adaptation au changement climatique</w:t>
        </w:r>
        <w:r w:rsidR="00874E4C" w:rsidRPr="00874E4C">
          <w:rPr>
            <w:rStyle w:val="Lienhypertexte"/>
            <w:rFonts w:ascii="Calibri" w:hAnsi="Calibri" w:cs="Calibri"/>
            <w:sz w:val="20"/>
          </w:rPr>
          <w:t> </w:t>
        </w:r>
        <w:r w:rsidR="00874E4C" w:rsidRPr="00874E4C">
          <w:rPr>
            <w:rStyle w:val="Lienhypertexte"/>
            <w:rFonts w:cs="Marianne"/>
            <w:sz w:val="20"/>
          </w:rPr>
          <w:t>»</w:t>
        </w:r>
        <w:r w:rsidR="00874E4C" w:rsidRPr="00874E4C">
          <w:rPr>
            <w:rStyle w:val="Lienhypertexte"/>
            <w:sz w:val="20"/>
          </w:rPr>
          <w:t>.</w:t>
        </w:r>
        <w:r w:rsidR="006E3BB2" w:rsidRPr="00874E4C">
          <w:rPr>
            <w:rStyle w:val="Lienhypertexte"/>
            <w:rFonts w:ascii="Calibri" w:hAnsi="Calibri" w:cs="Calibri"/>
            <w:sz w:val="20"/>
          </w:rPr>
          <w:t> </w:t>
        </w:r>
      </w:hyperlink>
      <w:r w:rsidR="006E3BB2" w:rsidRPr="006E3BB2">
        <w:rPr>
          <w:sz w:val="20"/>
        </w:rPr>
        <w:t xml:space="preserve"> </w:t>
      </w:r>
    </w:p>
    <w:p w14:paraId="427D5717" w14:textId="2EB3D34E" w:rsidR="006E3BB2" w:rsidRPr="006E3BB2" w:rsidRDefault="006E3BB2" w:rsidP="006E3BB2">
      <w:pPr>
        <w:ind w:left="0" w:firstLine="0"/>
        <w:jc w:val="both"/>
        <w:rPr>
          <w:sz w:val="20"/>
        </w:rPr>
      </w:pPr>
      <w:r w:rsidRPr="006E3BB2">
        <w:rPr>
          <w:sz w:val="20"/>
        </w:rPr>
        <w:t xml:space="preserve">Il consiste d’abord à comprendre les enjeux avec des outils comme les </w:t>
      </w:r>
      <w:hyperlink r:id="rId14" w:history="1">
        <w:r w:rsidRPr="006E3BB2">
          <w:rPr>
            <w:rStyle w:val="Lienhypertexte"/>
            <w:sz w:val="20"/>
          </w:rPr>
          <w:t xml:space="preserve">Ateliers de l’adaptation </w:t>
        </w:r>
      </w:hyperlink>
      <w:r w:rsidRPr="006E3BB2">
        <w:rPr>
          <w:sz w:val="20"/>
        </w:rPr>
        <w:t>, puis à évaluer la vulnérabilité de votre activité sur toute sa chaîne de valeur en utilisant des outils du type OCARA (</w:t>
      </w:r>
      <w:r w:rsidRPr="006E3BB2">
        <w:rPr>
          <w:rFonts w:ascii="Calibri" w:hAnsi="Calibri" w:cs="Calibri"/>
          <w:sz w:val="20"/>
        </w:rPr>
        <w:t> </w:t>
      </w:r>
      <w:hyperlink r:id="rId15" w:history="1">
        <w:r w:rsidRPr="006E3BB2">
          <w:rPr>
            <w:rStyle w:val="Lienhypertexte"/>
            <w:sz w:val="20"/>
          </w:rPr>
          <w:t>https://www.adaptation-changement-climatique.gouv.fr/centre-ressources/cadre-danalyse-la-resilience-climatique-des-entreprises</w:t>
        </w:r>
      </w:hyperlink>
      <w:r w:rsidRPr="006E3BB2">
        <w:rPr>
          <w:sz w:val="20"/>
        </w:rPr>
        <w:t xml:space="preserve">) et enfin à construire votre stratégie et plan d’actions. </w:t>
      </w:r>
      <w:hyperlink r:id="rId16" w:history="1">
        <w:r w:rsidRPr="006E3BB2">
          <w:rPr>
            <w:rStyle w:val="Lienhypertexte"/>
            <w:sz w:val="20"/>
          </w:rPr>
          <w:t>La méthodologie ACT Adaptation</w:t>
        </w:r>
      </w:hyperlink>
      <w:r w:rsidRPr="006E3BB2">
        <w:rPr>
          <w:sz w:val="20"/>
        </w:rPr>
        <w:t xml:space="preserve"> pourra vous servir dans la construction et l’évaluation de votre stratégie d’adaptation.</w:t>
      </w:r>
    </w:p>
    <w:p w14:paraId="57F1672E" w14:textId="77777777" w:rsidR="006E3BB2" w:rsidRDefault="006E3BB2">
      <w:pPr>
        <w:ind w:left="0" w:firstLine="0"/>
        <w:jc w:val="both"/>
        <w:rPr>
          <w:sz w:val="20"/>
        </w:rPr>
      </w:pPr>
    </w:p>
    <w:p w14:paraId="61E11A37" w14:textId="77777777" w:rsidR="00652D99" w:rsidRDefault="00D011FB">
      <w:pPr>
        <w:ind w:left="0" w:firstLine="0"/>
        <w:rPr>
          <w:sz w:val="20"/>
        </w:rPr>
      </w:pPr>
      <w:r>
        <w:rPr>
          <w:sz w:val="20"/>
        </w:rPr>
        <w:t xml:space="preserve">Liste des ressources à consulter permettant de débuter sa démarche d’adaptation au changement climatique : </w:t>
      </w:r>
    </w:p>
    <w:tbl>
      <w:tblPr>
        <w:tblStyle w:val="TableauGrille4-Accentuation3"/>
        <w:tblW w:w="9356" w:type="dxa"/>
        <w:tblInd w:w="-5" w:type="dxa"/>
        <w:tblLook w:val="04A0" w:firstRow="1" w:lastRow="0" w:firstColumn="1" w:lastColumn="0" w:noHBand="0" w:noVBand="1"/>
      </w:tblPr>
      <w:tblGrid>
        <w:gridCol w:w="9356"/>
      </w:tblGrid>
      <w:tr w:rsidR="00652D99" w14:paraId="053A376D" w14:textId="77777777" w:rsidTr="00652D99">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356" w:type="dxa"/>
          </w:tcPr>
          <w:p w14:paraId="13B79776" w14:textId="77777777" w:rsidR="00652D99" w:rsidRDefault="00D011FB">
            <w:pPr>
              <w:rPr>
                <w:sz w:val="20"/>
              </w:rPr>
            </w:pPr>
            <w:r>
              <w:rPr>
                <w:color w:val="auto"/>
                <w:sz w:val="20"/>
              </w:rPr>
              <w:t>Pour comprendre les enjeux des risques physiques et de l’adaptation au changement climatique, nous vous invitons à consulter :</w:t>
            </w:r>
          </w:p>
        </w:tc>
      </w:tr>
      <w:tr w:rsidR="00652D99" w14:paraId="05288473" w14:textId="77777777" w:rsidTr="00652D99">
        <w:trPr>
          <w:cnfStyle w:val="000000100000" w:firstRow="0" w:lastRow="0" w:firstColumn="0" w:lastColumn="0" w:oddVBand="0" w:evenVBand="0" w:oddHBand="1" w:evenHBand="0" w:firstRowFirstColumn="0" w:firstRowLastColumn="0" w:lastRowFirstColumn="0" w:lastRowLastColumn="0"/>
          <w:trHeight w:val="2918"/>
        </w:trPr>
        <w:tc>
          <w:tcPr>
            <w:cnfStyle w:val="001000000000" w:firstRow="0" w:lastRow="0" w:firstColumn="1" w:lastColumn="0" w:oddVBand="0" w:evenVBand="0" w:oddHBand="0" w:evenHBand="0" w:firstRowFirstColumn="0" w:firstRowLastColumn="0" w:lastRowFirstColumn="0" w:lastRowLastColumn="0"/>
            <w:tcW w:w="9356" w:type="dxa"/>
          </w:tcPr>
          <w:p w14:paraId="3A015BBC" w14:textId="77777777" w:rsidR="006E3BB2" w:rsidRDefault="00D011FB">
            <w:pPr>
              <w:rPr>
                <w:sz w:val="20"/>
              </w:rPr>
            </w:pPr>
            <w:r>
              <w:rPr>
                <w:b w:val="0"/>
                <w:bCs w:val="0"/>
                <w:sz w:val="20"/>
              </w:rPr>
              <w:t>Publications ADEME :</w:t>
            </w:r>
          </w:p>
          <w:p w14:paraId="256D14DC" w14:textId="5D8E2B03" w:rsidR="00652D99" w:rsidRPr="0035340B" w:rsidRDefault="006E3BB2" w:rsidP="0035340B">
            <w:pPr>
              <w:pStyle w:val="Paragraphedeliste"/>
              <w:numPr>
                <w:ilvl w:val="0"/>
                <w:numId w:val="8"/>
              </w:numPr>
              <w:rPr>
                <w:i/>
                <w:iCs/>
                <w:sz w:val="20"/>
              </w:rPr>
            </w:pPr>
            <w:hyperlink r:id="rId17" w:history="1">
              <w:r w:rsidRPr="0035340B">
                <w:rPr>
                  <w:rStyle w:val="Lienhypertexte"/>
                  <w:i/>
                  <w:iCs/>
                </w:rPr>
                <w:t>En entreprise, comment s’engager dans un parcours d’adaptation au changement climatique</w:t>
              </w:r>
            </w:hyperlink>
            <w:r w:rsidRPr="0035340B">
              <w:rPr>
                <w:i/>
                <w:iCs/>
                <w:sz w:val="20"/>
              </w:rPr>
              <w:t xml:space="preserve"> (2024)</w:t>
            </w:r>
          </w:p>
          <w:p w14:paraId="64C6019A" w14:textId="033941B3" w:rsidR="00652D99" w:rsidRDefault="00D011FB" w:rsidP="00426530">
            <w:pPr>
              <w:pStyle w:val="Paragraphedeliste"/>
              <w:numPr>
                <w:ilvl w:val="0"/>
                <w:numId w:val="8"/>
              </w:numPr>
              <w:rPr>
                <w:sz w:val="20"/>
              </w:rPr>
            </w:pPr>
            <w:hyperlink r:id="rId18" w:tooltip="https://librairie.ademe.fr/changement-climatique-et-energie/763-capacite-d-adaptation-au-changement-climatique-des-entreprises-9791029713675.html" w:history="1">
              <w:r>
                <w:rPr>
                  <w:rStyle w:val="Lienhypertexte"/>
                  <w:b w:val="0"/>
                  <w:bCs w:val="0"/>
                  <w:i/>
                  <w:iCs/>
                  <w:sz w:val="20"/>
                </w:rPr>
                <w:t>Capacité</w:t>
              </w:r>
            </w:hyperlink>
            <w:hyperlink r:id="rId19" w:tooltip="https://librairie.ademe.fr/changement-climatique-et-energie/763-capacite-d-adaptation-au-changement-climatique-des-entreprises-9791029713675.html" w:history="1">
              <w:r>
                <w:rPr>
                  <w:rStyle w:val="Lienhypertexte"/>
                  <w:b w:val="0"/>
                  <w:bCs w:val="0"/>
                  <w:i/>
                  <w:iCs/>
                  <w:sz w:val="20"/>
                </w:rPr>
                <w:t xml:space="preserve"> </w:t>
              </w:r>
            </w:hyperlink>
            <w:hyperlink r:id="rId20" w:tooltip="https://librairie.ademe.fr/changement-climatique-et-energie/763-capacite-d-adaptation-au-changement-climatique-des-entreprises-9791029713675.html" w:history="1">
              <w:r>
                <w:rPr>
                  <w:rStyle w:val="Lienhypertexte"/>
                  <w:b w:val="0"/>
                  <w:bCs w:val="0"/>
                  <w:i/>
                  <w:iCs/>
                  <w:sz w:val="20"/>
                </w:rPr>
                <w:t>d’adaptation</w:t>
              </w:r>
            </w:hyperlink>
            <w:hyperlink r:id="rId21" w:tooltip="https://librairie.ademe.fr/changement-climatique-et-energie/763-capacite-d-adaptation-au-changement-climatique-des-entreprises-9791029713675.html" w:history="1">
              <w:r>
                <w:rPr>
                  <w:rStyle w:val="Lienhypertexte"/>
                  <w:b w:val="0"/>
                  <w:bCs w:val="0"/>
                  <w:i/>
                  <w:iCs/>
                  <w:sz w:val="20"/>
                </w:rPr>
                <w:t xml:space="preserve"> au </w:t>
              </w:r>
            </w:hyperlink>
            <w:hyperlink r:id="rId22" w:tooltip="https://librairie.ademe.fr/changement-climatique-et-energie/763-capacite-d-adaptation-au-changement-climatique-des-entreprises-9791029713675.html" w:history="1">
              <w:r>
                <w:rPr>
                  <w:rStyle w:val="Lienhypertexte"/>
                  <w:b w:val="0"/>
                  <w:bCs w:val="0"/>
                  <w:i/>
                  <w:iCs/>
                  <w:sz w:val="20"/>
                </w:rPr>
                <w:t>changement</w:t>
              </w:r>
            </w:hyperlink>
            <w:hyperlink r:id="rId23" w:tooltip="https://librairie.ademe.fr/changement-climatique-et-energie/763-capacite-d-adaptation-au-changement-climatique-des-entreprises-9791029713675.html" w:history="1">
              <w:r>
                <w:rPr>
                  <w:rStyle w:val="Lienhypertexte"/>
                  <w:b w:val="0"/>
                  <w:bCs w:val="0"/>
                  <w:i/>
                  <w:iCs/>
                  <w:sz w:val="20"/>
                </w:rPr>
                <w:t xml:space="preserve"> </w:t>
              </w:r>
            </w:hyperlink>
            <w:hyperlink r:id="rId24" w:tooltip="https://librairie.ademe.fr/changement-climatique-et-energie/763-capacite-d-adaptation-au-changement-climatique-des-entreprises-9791029713675.html" w:history="1">
              <w:r>
                <w:rPr>
                  <w:rStyle w:val="Lienhypertexte"/>
                  <w:b w:val="0"/>
                  <w:bCs w:val="0"/>
                  <w:i/>
                  <w:iCs/>
                  <w:sz w:val="20"/>
                </w:rPr>
                <w:t>climatique</w:t>
              </w:r>
            </w:hyperlink>
            <w:hyperlink r:id="rId25" w:tooltip="https://librairie.ademe.fr/changement-climatique-et-energie/763-capacite-d-adaptation-au-changement-climatique-des-entreprises-9791029713675.html" w:history="1">
              <w:r>
                <w:rPr>
                  <w:rStyle w:val="Lienhypertexte"/>
                  <w:b w:val="0"/>
                  <w:bCs w:val="0"/>
                  <w:i/>
                  <w:iCs/>
                  <w:sz w:val="20"/>
                </w:rPr>
                <w:t xml:space="preserve"> des </w:t>
              </w:r>
            </w:hyperlink>
            <w:hyperlink r:id="rId26" w:tooltip="https://librairie.ademe.fr/changement-climatique-et-energie/763-capacite-d-adaptation-au-changement-climatique-des-entreprises-9791029713675.html" w:history="1">
              <w:r>
                <w:rPr>
                  <w:rStyle w:val="Lienhypertexte"/>
                  <w:b w:val="0"/>
                  <w:bCs w:val="0"/>
                  <w:i/>
                  <w:iCs/>
                  <w:sz w:val="20"/>
                </w:rPr>
                <w:t>entreprises</w:t>
              </w:r>
            </w:hyperlink>
            <w:hyperlink r:id="rId27" w:tooltip="https://librairie.ademe.fr/changement-climatique-et-energie/763-capacite-d-adaptation-au-changement-climatique-des-entreprises-9791029713675.html" w:history="1">
              <w:r>
                <w:rPr>
                  <w:rStyle w:val="Lienhypertexte"/>
                  <w:b w:val="0"/>
                  <w:bCs w:val="0"/>
                  <w:i/>
                  <w:iCs/>
                  <w:sz w:val="20"/>
                </w:rPr>
                <w:t xml:space="preserve">, </w:t>
              </w:r>
            </w:hyperlink>
            <w:hyperlink r:id="rId28" w:tooltip="https://librairie.ademe.fr/changement-climatique-et-energie/763-capacite-d-adaptation-au-changement-climatique-des-entreprises-9791029713675.html" w:history="1">
              <w:r>
                <w:rPr>
                  <w:rStyle w:val="Lienhypertexte"/>
                  <w:b w:val="0"/>
                  <w:bCs w:val="0"/>
                  <w:i/>
                  <w:iCs/>
                  <w:sz w:val="20"/>
                </w:rPr>
                <w:t>recueil</w:t>
              </w:r>
            </w:hyperlink>
            <w:hyperlink r:id="rId29" w:tooltip="https://librairie.ademe.fr/changement-climatique-et-energie/763-capacite-d-adaptation-au-changement-climatique-des-entreprises-9791029713675.html" w:history="1">
              <w:r>
                <w:rPr>
                  <w:rStyle w:val="Lienhypertexte"/>
                  <w:b w:val="0"/>
                  <w:bCs w:val="0"/>
                  <w:i/>
                  <w:iCs/>
                  <w:sz w:val="20"/>
                </w:rPr>
                <w:t xml:space="preserve"> </w:t>
              </w:r>
            </w:hyperlink>
            <w:hyperlink r:id="rId30" w:tooltip="https://librairie.ademe.fr/changement-climatique-et-energie/763-capacite-d-adaptation-au-changement-climatique-des-entreprises-9791029713675.html" w:history="1">
              <w:r>
                <w:rPr>
                  <w:rStyle w:val="Lienhypertexte"/>
                  <w:b w:val="0"/>
                  <w:bCs w:val="0"/>
                  <w:i/>
                  <w:iCs/>
                  <w:sz w:val="20"/>
                </w:rPr>
                <w:t>d’expériences</w:t>
              </w:r>
            </w:hyperlink>
            <w:hyperlink r:id="rId31" w:tooltip="https://librairie.ademe.fr/changement-climatique-et-energie/763-capacite-d-adaptation-au-changement-climatique-des-entreprises-9791029713675.html" w:history="1">
              <w:r>
                <w:rPr>
                  <w:rStyle w:val="Lienhypertexte"/>
                  <w:b w:val="0"/>
                  <w:bCs w:val="0"/>
                  <w:i/>
                  <w:iCs/>
                  <w:sz w:val="20"/>
                </w:rPr>
                <w:t xml:space="preserve"> </w:t>
              </w:r>
            </w:hyperlink>
            <w:r>
              <w:rPr>
                <w:b w:val="0"/>
                <w:bCs w:val="0"/>
                <w:sz w:val="20"/>
              </w:rPr>
              <w:t>(2019)</w:t>
            </w:r>
          </w:p>
          <w:p w14:paraId="1B386E4E" w14:textId="22862041" w:rsidR="00652D99" w:rsidRDefault="00D011FB" w:rsidP="00426530">
            <w:pPr>
              <w:pStyle w:val="Paragraphedeliste"/>
              <w:numPr>
                <w:ilvl w:val="0"/>
                <w:numId w:val="8"/>
              </w:numPr>
              <w:rPr>
                <w:sz w:val="20"/>
              </w:rPr>
            </w:pPr>
            <w:hyperlink r:id="rId32" w:tooltip="https://librairie.ademe.fr/changement-climatique-et-energie/4049-diagnostic-des-impacts-du-changement-climatique-sur-une-entreprise-9791029716867.html" w:history="1">
              <w:r>
                <w:rPr>
                  <w:rStyle w:val="Lienhypertexte"/>
                  <w:b w:val="0"/>
                  <w:bCs w:val="0"/>
                  <w:i/>
                  <w:iCs/>
                  <w:sz w:val="20"/>
                </w:rPr>
                <w:t xml:space="preserve">Diagnostic des impacts du </w:t>
              </w:r>
            </w:hyperlink>
            <w:hyperlink r:id="rId33" w:tooltip="https://librairie.ademe.fr/changement-climatique-et-energie/4049-diagnostic-des-impacts-du-changement-climatique-sur-une-entreprise-9791029716867.html" w:history="1">
              <w:r>
                <w:rPr>
                  <w:rStyle w:val="Lienhypertexte"/>
                  <w:b w:val="0"/>
                  <w:bCs w:val="0"/>
                  <w:i/>
                  <w:iCs/>
                  <w:sz w:val="20"/>
                </w:rPr>
                <w:t>changement</w:t>
              </w:r>
            </w:hyperlink>
            <w:hyperlink r:id="rId34" w:tooltip="https://librairie.ademe.fr/changement-climatique-et-energie/4049-diagnostic-des-impacts-du-changement-climatique-sur-une-entreprise-9791029716867.html" w:history="1">
              <w:r>
                <w:rPr>
                  <w:rStyle w:val="Lienhypertexte"/>
                  <w:b w:val="0"/>
                  <w:bCs w:val="0"/>
                  <w:i/>
                  <w:iCs/>
                  <w:sz w:val="20"/>
                </w:rPr>
                <w:t xml:space="preserve"> </w:t>
              </w:r>
            </w:hyperlink>
            <w:hyperlink r:id="rId35" w:tooltip="https://librairie.ademe.fr/changement-climatique-et-energie/4049-diagnostic-des-impacts-du-changement-climatique-sur-une-entreprise-9791029716867.html" w:history="1">
              <w:r>
                <w:rPr>
                  <w:rStyle w:val="Lienhypertexte"/>
                  <w:b w:val="0"/>
                  <w:bCs w:val="0"/>
                  <w:i/>
                  <w:iCs/>
                  <w:sz w:val="20"/>
                </w:rPr>
                <w:t>climatique</w:t>
              </w:r>
            </w:hyperlink>
            <w:hyperlink r:id="rId36" w:tooltip="https://librairie.ademe.fr/changement-climatique-et-energie/4049-diagnostic-des-impacts-du-changement-climatique-sur-une-entreprise-9791029716867.html" w:history="1">
              <w:r>
                <w:rPr>
                  <w:rStyle w:val="Lienhypertexte"/>
                  <w:b w:val="0"/>
                  <w:bCs w:val="0"/>
                  <w:i/>
                  <w:iCs/>
                  <w:sz w:val="20"/>
                </w:rPr>
                <w:t xml:space="preserve"> sur </w:t>
              </w:r>
            </w:hyperlink>
            <w:hyperlink r:id="rId37" w:tooltip="https://librairie.ademe.fr/changement-climatique-et-energie/4049-diagnostic-des-impacts-du-changement-climatique-sur-une-entreprise-9791029716867.html" w:history="1">
              <w:r>
                <w:rPr>
                  <w:rStyle w:val="Lienhypertexte"/>
                  <w:b w:val="0"/>
                  <w:bCs w:val="0"/>
                  <w:i/>
                  <w:iCs/>
                  <w:sz w:val="20"/>
                </w:rPr>
                <w:t>une</w:t>
              </w:r>
            </w:hyperlink>
            <w:hyperlink r:id="rId38" w:tooltip="https://librairie.ademe.fr/changement-climatique-et-energie/4049-diagnostic-des-impacts-du-changement-climatique-sur-une-entreprise-9791029716867.html" w:history="1">
              <w:r>
                <w:rPr>
                  <w:rStyle w:val="Lienhypertexte"/>
                  <w:b w:val="0"/>
                  <w:bCs w:val="0"/>
                  <w:i/>
                  <w:iCs/>
                  <w:sz w:val="20"/>
                </w:rPr>
                <w:t xml:space="preserve"> </w:t>
              </w:r>
            </w:hyperlink>
            <w:hyperlink r:id="rId39" w:tooltip="https://librairie.ademe.fr/changement-climatique-et-energie/4049-diagnostic-des-impacts-du-changement-climatique-sur-une-entreprise-9791029716867.html" w:history="1">
              <w:r>
                <w:rPr>
                  <w:rStyle w:val="Lienhypertexte"/>
                  <w:b w:val="0"/>
                  <w:bCs w:val="0"/>
                  <w:i/>
                  <w:iCs/>
                  <w:sz w:val="20"/>
                </w:rPr>
                <w:t>entreprise</w:t>
              </w:r>
            </w:hyperlink>
            <w:hyperlink r:id="rId40" w:tooltip="https://librairie.ademe.fr/changement-climatique-et-energie/4049-diagnostic-des-impacts-du-changement-climatique-sur-une-entreprise-9791029716867.html" w:history="1">
              <w:r>
                <w:rPr>
                  <w:rStyle w:val="Lienhypertexte"/>
                  <w:b w:val="0"/>
                  <w:bCs w:val="0"/>
                  <w:i/>
                  <w:iCs/>
                  <w:sz w:val="20"/>
                </w:rPr>
                <w:t xml:space="preserve">, </w:t>
              </w:r>
            </w:hyperlink>
            <w:hyperlink r:id="rId41" w:tooltip="https://librairie.ademe.fr/changement-climatique-et-energie/4049-diagnostic-des-impacts-du-changement-climatique-sur-une-entreprise-9791029716867.html" w:history="1">
              <w:r>
                <w:rPr>
                  <w:rStyle w:val="Lienhypertexte"/>
                  <w:b w:val="0"/>
                  <w:bCs w:val="0"/>
                  <w:i/>
                  <w:iCs/>
                  <w:sz w:val="20"/>
                </w:rPr>
                <w:t>recueil</w:t>
              </w:r>
            </w:hyperlink>
            <w:hyperlink r:id="rId42" w:tooltip="https://librairie.ademe.fr/changement-climatique-et-energie/4049-diagnostic-des-impacts-du-changement-climatique-sur-une-entreprise-9791029716867.html" w:history="1">
              <w:r>
                <w:rPr>
                  <w:rStyle w:val="Lienhypertexte"/>
                  <w:b w:val="0"/>
                  <w:bCs w:val="0"/>
                  <w:i/>
                  <w:iCs/>
                  <w:sz w:val="20"/>
                </w:rPr>
                <w:t xml:space="preserve"> international </w:t>
              </w:r>
            </w:hyperlink>
            <w:hyperlink r:id="rId43" w:tooltip="https://librairie.ademe.fr/changement-climatique-et-energie/4049-diagnostic-des-impacts-du-changement-climatique-sur-une-entreprise-9791029716867.html" w:history="1">
              <w:r>
                <w:rPr>
                  <w:rStyle w:val="Lienhypertexte"/>
                  <w:b w:val="0"/>
                  <w:bCs w:val="0"/>
                  <w:i/>
                  <w:iCs/>
                  <w:sz w:val="20"/>
                </w:rPr>
                <w:t>d’expériences</w:t>
              </w:r>
            </w:hyperlink>
            <w:r>
              <w:rPr>
                <w:b w:val="0"/>
                <w:bCs w:val="0"/>
                <w:sz w:val="20"/>
              </w:rPr>
              <w:t xml:space="preserve"> (2020)</w:t>
            </w:r>
          </w:p>
          <w:p w14:paraId="5EEC5564" w14:textId="1AFF1F2A" w:rsidR="00652D99" w:rsidRDefault="00D011FB" w:rsidP="00426530">
            <w:pPr>
              <w:pStyle w:val="Paragraphedeliste"/>
              <w:numPr>
                <w:ilvl w:val="0"/>
                <w:numId w:val="8"/>
              </w:numPr>
              <w:rPr>
                <w:sz w:val="20"/>
              </w:rPr>
            </w:pPr>
            <w:hyperlink r:id="rId44" w:tooltip="https://librairie.ademe.fr/changement-climatique-et-energie/4737-entreprises-comment-prendre-des-decisions-pour-s-adapter-au-changement-climatique--9791029717987.html" w:history="1">
              <w:r>
                <w:rPr>
                  <w:rStyle w:val="Lienhypertexte"/>
                  <w:b w:val="0"/>
                  <w:bCs w:val="0"/>
                  <w:i/>
                  <w:iCs/>
                  <w:sz w:val="20"/>
                </w:rPr>
                <w:t>En</w:t>
              </w:r>
            </w:hyperlink>
            <w:hyperlink r:id="rId45" w:tooltip="https://librairie.ademe.fr/changement-climatique-et-energie/4737-entreprises-comment-prendre-des-decisions-pour-s-adapter-au-changement-climatique--9791029717987.html" w:history="1">
              <w:r>
                <w:rPr>
                  <w:rStyle w:val="Lienhypertexte"/>
                  <w:b w:val="0"/>
                  <w:bCs w:val="0"/>
                  <w:i/>
                  <w:iCs/>
                  <w:sz w:val="20"/>
                </w:rPr>
                <w:t xml:space="preserve"> </w:t>
              </w:r>
            </w:hyperlink>
            <w:hyperlink r:id="rId46" w:tooltip="https://librairie.ademe.fr/changement-climatique-et-energie/4737-entreprises-comment-prendre-des-decisions-pour-s-adapter-au-changement-climatique--9791029717987.html" w:history="1">
              <w:r>
                <w:rPr>
                  <w:rStyle w:val="Lienhypertexte"/>
                  <w:b w:val="0"/>
                  <w:bCs w:val="0"/>
                  <w:i/>
                  <w:iCs/>
                  <w:sz w:val="20"/>
                </w:rPr>
                <w:t>entreprise</w:t>
              </w:r>
            </w:hyperlink>
            <w:hyperlink r:id="rId47" w:tooltip="https://librairie.ademe.fr/changement-climatique-et-energie/4737-entreprises-comment-prendre-des-decisions-pour-s-adapter-au-changement-climatique--9791029717987.html" w:history="1">
              <w:r>
                <w:rPr>
                  <w:rStyle w:val="Lienhypertexte"/>
                  <w:b w:val="0"/>
                  <w:bCs w:val="0"/>
                  <w:i/>
                  <w:iCs/>
                  <w:sz w:val="20"/>
                </w:rPr>
                <w:t xml:space="preserve">, comment prendre des </w:t>
              </w:r>
            </w:hyperlink>
            <w:hyperlink r:id="rId48" w:tooltip="https://librairie.ademe.fr/changement-climatique-et-energie/4737-entreprises-comment-prendre-des-decisions-pour-s-adapter-au-changement-climatique--9791029717987.html" w:history="1">
              <w:r>
                <w:rPr>
                  <w:rStyle w:val="Lienhypertexte"/>
                  <w:b w:val="0"/>
                  <w:bCs w:val="0"/>
                  <w:i/>
                  <w:iCs/>
                  <w:sz w:val="20"/>
                </w:rPr>
                <w:t>décisions</w:t>
              </w:r>
            </w:hyperlink>
            <w:hyperlink r:id="rId49" w:tooltip="https://librairie.ademe.fr/changement-climatique-et-energie/4737-entreprises-comment-prendre-des-decisions-pour-s-adapter-au-changement-climatique--9791029717987.html" w:history="1">
              <w:r>
                <w:rPr>
                  <w:rStyle w:val="Lienhypertexte"/>
                  <w:b w:val="0"/>
                  <w:bCs w:val="0"/>
                  <w:i/>
                  <w:iCs/>
                  <w:sz w:val="20"/>
                </w:rPr>
                <w:t xml:space="preserve"> pour </w:t>
              </w:r>
            </w:hyperlink>
            <w:r w:rsidR="00733228" w:rsidRPr="00B25438">
              <w:rPr>
                <w:rStyle w:val="Lienhypertexte"/>
                <w:b w:val="0"/>
                <w:bCs w:val="0"/>
                <w:i/>
                <w:iCs/>
                <w:sz w:val="20"/>
              </w:rPr>
              <w:t>s’adap</w:t>
            </w:r>
            <w:r w:rsidR="00733228" w:rsidRPr="00B25438">
              <w:rPr>
                <w:rStyle w:val="Lienhypertexte"/>
                <w:b w:val="0"/>
                <w:bCs w:val="0"/>
                <w:i/>
                <w:iCs/>
                <w:sz w:val="18"/>
                <w:szCs w:val="18"/>
              </w:rPr>
              <w:t>t</w:t>
            </w:r>
            <w:r w:rsidR="00733228" w:rsidRPr="00B25438">
              <w:rPr>
                <w:rStyle w:val="Lienhypertexte"/>
                <w:b w:val="0"/>
                <w:bCs w:val="0"/>
                <w:i/>
                <w:iCs/>
                <w:sz w:val="20"/>
                <w:szCs w:val="18"/>
              </w:rPr>
              <w:t>e</w:t>
            </w:r>
            <w:r w:rsidR="00733228" w:rsidRPr="00B25438">
              <w:rPr>
                <w:b w:val="0"/>
                <w:bCs w:val="0"/>
                <w:i/>
                <w:iCs/>
                <w:sz w:val="18"/>
                <w:szCs w:val="18"/>
                <w:u w:val="single"/>
              </w:rPr>
              <w:t>r</w:t>
            </w:r>
            <w:hyperlink r:id="rId50" w:tooltip="https://librairie.ademe.fr/changement-climatique-et-energie/4737-entreprises-comment-prendre-des-decisions-pour-s-adapter-au-changement-climatique--9791029717987.html" w:history="1">
              <w:r w:rsidR="00733228" w:rsidRPr="00B25438">
                <w:rPr>
                  <w:rStyle w:val="Lienhypertexte"/>
                  <w:b w:val="0"/>
                  <w:bCs w:val="0"/>
                  <w:i/>
                  <w:iCs/>
                  <w:sz w:val="20"/>
                </w:rPr>
                <w:t xml:space="preserve"> au</w:t>
              </w:r>
              <w:r w:rsidR="00733228">
                <w:rPr>
                  <w:rStyle w:val="Lienhypertexte"/>
                  <w:b w:val="0"/>
                  <w:bCs w:val="0"/>
                  <w:i/>
                  <w:iCs/>
                  <w:sz w:val="20"/>
                </w:rPr>
                <w:t xml:space="preserve"> </w:t>
              </w:r>
            </w:hyperlink>
            <w:hyperlink r:id="rId51" w:tooltip="https://librairie.ademe.fr/changement-climatique-et-energie/4737-entreprises-comment-prendre-des-decisions-pour-s-adapter-au-changement-climatique--9791029717987.html" w:history="1">
              <w:r>
                <w:rPr>
                  <w:rStyle w:val="Lienhypertexte"/>
                  <w:b w:val="0"/>
                  <w:bCs w:val="0"/>
                  <w:i/>
                  <w:iCs/>
                  <w:sz w:val="20"/>
                </w:rPr>
                <w:t>changement</w:t>
              </w:r>
            </w:hyperlink>
            <w:hyperlink r:id="rId52" w:tooltip="https://librairie.ademe.fr/changement-climatique-et-energie/4737-entreprises-comment-prendre-des-decisions-pour-s-adapter-au-changement-climatique--9791029717987.html" w:history="1">
              <w:r>
                <w:rPr>
                  <w:rStyle w:val="Lienhypertexte"/>
                  <w:b w:val="0"/>
                  <w:bCs w:val="0"/>
                  <w:i/>
                  <w:iCs/>
                  <w:sz w:val="20"/>
                </w:rPr>
                <w:t xml:space="preserve"> </w:t>
              </w:r>
            </w:hyperlink>
            <w:hyperlink r:id="rId53" w:tooltip="https://librairie.ademe.fr/changement-climatique-et-energie/4737-entreprises-comment-prendre-des-decisions-pour-s-adapter-au-changement-climatique--9791029717987.html" w:history="1">
              <w:r>
                <w:rPr>
                  <w:rStyle w:val="Lienhypertexte"/>
                  <w:b w:val="0"/>
                  <w:bCs w:val="0"/>
                  <w:i/>
                  <w:iCs/>
                  <w:sz w:val="20"/>
                </w:rPr>
                <w:t>climatique</w:t>
              </w:r>
            </w:hyperlink>
            <w:hyperlink r:id="rId54" w:tooltip="https://librairie.ademe.fr/changement-climatique-et-energie/4737-entreprises-comment-prendre-des-decisions-pour-s-adapter-au-changement-climatique--9791029717987.html" w:history="1">
              <w:r>
                <w:rPr>
                  <w:rStyle w:val="Lienhypertexte"/>
                  <w:b w:val="0"/>
                  <w:bCs w:val="0"/>
                  <w:i/>
                  <w:iCs/>
                  <w:sz w:val="20"/>
                </w:rPr>
                <w:t xml:space="preserve"> ? </w:t>
              </w:r>
            </w:hyperlink>
            <w:hyperlink r:id="rId55" w:tooltip="https://librairie.ademe.fr/changement-climatique-et-energie/4737-entreprises-comment-prendre-des-decisions-pour-s-adapter-au-changement-climatique--9791029717987.html" w:history="1">
              <w:r>
                <w:rPr>
                  <w:rStyle w:val="Lienhypertexte"/>
                  <w:b w:val="0"/>
                  <w:bCs w:val="0"/>
                  <w:i/>
                  <w:iCs/>
                  <w:sz w:val="20"/>
                </w:rPr>
                <w:t>Méthodes</w:t>
              </w:r>
            </w:hyperlink>
            <w:hyperlink r:id="rId56" w:tooltip="https://librairie.ademe.fr/changement-climatique-et-energie/4737-entreprises-comment-prendre-des-decisions-pour-s-adapter-au-changement-climatique--9791029717987.html" w:history="1">
              <w:r>
                <w:rPr>
                  <w:rStyle w:val="Lienhypertexte"/>
                  <w:b w:val="0"/>
                  <w:bCs w:val="0"/>
                  <w:i/>
                  <w:iCs/>
                  <w:sz w:val="20"/>
                </w:rPr>
                <w:t xml:space="preserve"> et études de </w:t>
              </w:r>
            </w:hyperlink>
            <w:hyperlink r:id="rId57" w:tooltip="https://librairie.ademe.fr/changement-climatique-et-energie/4737-entreprises-comment-prendre-des-decisions-pour-s-adapter-au-changement-climatique--9791029717987.html" w:history="1">
              <w:r>
                <w:rPr>
                  <w:rStyle w:val="Lienhypertexte"/>
                  <w:b w:val="0"/>
                  <w:bCs w:val="0"/>
                  <w:i/>
                  <w:iCs/>
                  <w:sz w:val="20"/>
                </w:rPr>
                <w:t>cas</w:t>
              </w:r>
            </w:hyperlink>
            <w:hyperlink r:id="rId58" w:tooltip="https://librairie.ademe.fr/changement-climatique-et-energie/4737-entreprises-comment-prendre-des-decisions-pour-s-adapter-au-changement-climatique--9791029717987.html" w:history="1">
              <w:r>
                <w:rPr>
                  <w:rStyle w:val="Lienhypertexte"/>
                  <w:b w:val="0"/>
                  <w:bCs w:val="0"/>
                  <w:i/>
                  <w:iCs/>
                  <w:sz w:val="20"/>
                </w:rPr>
                <w:t xml:space="preserve"> </w:t>
              </w:r>
            </w:hyperlink>
            <w:hyperlink r:id="rId59" w:tooltip="https://librairie.ademe.fr/changement-climatique-et-energie/4737-entreprises-comment-prendre-des-decisions-pour-s-adapter-au-changement-climatique--9791029717987.html" w:history="1">
              <w:r>
                <w:rPr>
                  <w:rStyle w:val="Lienhypertexte"/>
                  <w:b w:val="0"/>
                  <w:bCs w:val="0"/>
                  <w:i/>
                  <w:iCs/>
                  <w:sz w:val="20"/>
                </w:rPr>
                <w:t>en</w:t>
              </w:r>
            </w:hyperlink>
            <w:hyperlink r:id="rId60" w:tooltip="https://librairie.ademe.fr/changement-climatique-et-energie/4737-entreprises-comment-prendre-des-decisions-pour-s-adapter-au-changement-climatique--9791029717987.html" w:history="1">
              <w:r>
                <w:rPr>
                  <w:rStyle w:val="Lienhypertexte"/>
                  <w:b w:val="0"/>
                  <w:bCs w:val="0"/>
                  <w:i/>
                  <w:iCs/>
                  <w:sz w:val="20"/>
                </w:rPr>
                <w:t xml:space="preserve"> France et à </w:t>
              </w:r>
            </w:hyperlink>
            <w:hyperlink r:id="rId61" w:tooltip="https://librairie.ademe.fr/changement-climatique-et-energie/4737-entreprises-comment-prendre-des-decisions-pour-s-adapter-au-changement-climatique--9791029717987.html" w:history="1">
              <w:r>
                <w:rPr>
                  <w:rStyle w:val="Lienhypertexte"/>
                  <w:b w:val="0"/>
                  <w:bCs w:val="0"/>
                  <w:i/>
                  <w:iCs/>
                  <w:sz w:val="20"/>
                </w:rPr>
                <w:t>l’international</w:t>
              </w:r>
            </w:hyperlink>
            <w:hyperlink r:id="rId62" w:tooltip="https://librairie.ademe.fr/changement-climatique-et-energie/4737-entreprises-comment-prendre-des-decisions-pour-s-adapter-au-changement-climatique--9791029717987.html" w:history="1">
              <w:r w:rsidRPr="00B25438">
                <w:rPr>
                  <w:rStyle w:val="Lienhypertexte"/>
                  <w:b w:val="0"/>
                  <w:bCs w:val="0"/>
                  <w:i/>
                  <w:iCs/>
                  <w:sz w:val="20"/>
                </w:rPr>
                <w:t xml:space="preserve"> </w:t>
              </w:r>
            </w:hyperlink>
            <w:r>
              <w:rPr>
                <w:b w:val="0"/>
                <w:bCs w:val="0"/>
                <w:sz w:val="20"/>
              </w:rPr>
              <w:t>(2021)</w:t>
            </w:r>
          </w:p>
          <w:p w14:paraId="2B94B9DE" w14:textId="77777777" w:rsidR="00652D99" w:rsidRDefault="00D011FB" w:rsidP="00426530">
            <w:pPr>
              <w:pStyle w:val="Paragraphedeliste"/>
              <w:numPr>
                <w:ilvl w:val="0"/>
                <w:numId w:val="8"/>
              </w:numPr>
              <w:rPr>
                <w:sz w:val="20"/>
              </w:rPr>
            </w:pPr>
            <w:r>
              <w:rPr>
                <w:b w:val="0"/>
                <w:bCs w:val="0"/>
                <w:i/>
                <w:iCs/>
                <w:sz w:val="20"/>
              </w:rPr>
              <w:t xml:space="preserve">Risques physiques et adaptation au changement climatique de l’industrie </w:t>
            </w:r>
          </w:p>
          <w:p w14:paraId="03AB39A4" w14:textId="5010FABA" w:rsidR="00652D99" w:rsidRDefault="00D011FB" w:rsidP="00426530">
            <w:pPr>
              <w:pStyle w:val="Paragraphedeliste"/>
              <w:numPr>
                <w:ilvl w:val="1"/>
                <w:numId w:val="8"/>
              </w:numPr>
              <w:rPr>
                <w:sz w:val="20"/>
              </w:rPr>
            </w:pPr>
            <w:hyperlink r:id="rId63" w:tooltip="https://librairie.ademe.fr/changement-climatique-et-energie/5348-risques-physiques-et-adaptation-au-changement-climatique-de-l-industrie-focus-transports.html" w:history="1">
              <w:r>
                <w:rPr>
                  <w:rStyle w:val="Lienhypertexte"/>
                  <w:b w:val="0"/>
                  <w:bCs w:val="0"/>
                  <w:i/>
                  <w:iCs/>
                  <w:sz w:val="20"/>
                </w:rPr>
                <w:t>Focus Transports</w:t>
              </w:r>
            </w:hyperlink>
          </w:p>
          <w:p w14:paraId="5ACF00B3" w14:textId="360CCCF3" w:rsidR="00652D99" w:rsidRDefault="00D011FB" w:rsidP="00426530">
            <w:pPr>
              <w:pStyle w:val="Paragraphedeliste"/>
              <w:numPr>
                <w:ilvl w:val="1"/>
                <w:numId w:val="8"/>
              </w:numPr>
              <w:rPr>
                <w:sz w:val="20"/>
              </w:rPr>
            </w:pPr>
            <w:hyperlink r:id="rId64" w:tooltip="https://librairie.ademe.fr/changement-climatique-et-energie/5558-risques-physiques-et-adaptation-au-changement-climatique-de-l-industrie-focus-travailleurs.html" w:history="1">
              <w:r>
                <w:rPr>
                  <w:rStyle w:val="Lienhypertexte"/>
                  <w:b w:val="0"/>
                  <w:bCs w:val="0"/>
                  <w:i/>
                  <w:iCs/>
                  <w:sz w:val="20"/>
                </w:rPr>
                <w:t xml:space="preserve">Focus </w:t>
              </w:r>
            </w:hyperlink>
            <w:hyperlink r:id="rId65" w:tooltip="https://librairie.ademe.fr/changement-climatique-et-energie/5558-risques-physiques-et-adaptation-au-changement-climatique-de-l-industrie-focus-travailleurs.html" w:history="1">
              <w:r>
                <w:rPr>
                  <w:rStyle w:val="Lienhypertexte"/>
                  <w:b w:val="0"/>
                  <w:bCs w:val="0"/>
                  <w:i/>
                  <w:iCs/>
                  <w:sz w:val="20"/>
                </w:rPr>
                <w:t>Travailleurs</w:t>
              </w:r>
            </w:hyperlink>
            <w:hyperlink r:id="rId66" w:tooltip="https://librairie.ademe.fr/changement-climatique-et-energie/5558-risques-physiques-et-adaptation-au-changement-climatique-de-l-industrie-focus-travailleurs.html" w:history="1">
              <w:r>
                <w:rPr>
                  <w:rStyle w:val="Lienhypertexte"/>
                  <w:b w:val="0"/>
                  <w:bCs w:val="0"/>
                  <w:i/>
                  <w:iCs/>
                  <w:sz w:val="20"/>
                </w:rPr>
                <w:t xml:space="preserve"> </w:t>
              </w:r>
            </w:hyperlink>
          </w:p>
          <w:p w14:paraId="525AAEBD" w14:textId="1BC85435" w:rsidR="00652D99" w:rsidRDefault="00D011FB" w:rsidP="00426530">
            <w:pPr>
              <w:pStyle w:val="Paragraphedeliste"/>
              <w:numPr>
                <w:ilvl w:val="1"/>
                <w:numId w:val="8"/>
              </w:numPr>
            </w:pPr>
            <w:hyperlink r:id="rId67" w:tooltip="https://librairie.ademe.fr/changement-climatique-et-energie/5907-risques-physiques-et-adaptation-au-changement-climatique-de-l-industrie-focus-batiment.html" w:history="1">
              <w:r>
                <w:rPr>
                  <w:rStyle w:val="Lienhypertexte"/>
                  <w:b w:val="0"/>
                  <w:bCs w:val="0"/>
                  <w:i/>
                  <w:iCs/>
                  <w:sz w:val="20"/>
                </w:rPr>
                <w:t xml:space="preserve">Focus </w:t>
              </w:r>
            </w:hyperlink>
            <w:hyperlink r:id="rId68" w:tooltip="https://librairie.ademe.fr/changement-climatique-et-energie/5907-risques-physiques-et-adaptation-au-changement-climatique-de-l-industrie-focus-batiment.html" w:history="1">
              <w:r>
                <w:rPr>
                  <w:rStyle w:val="Lienhypertexte"/>
                  <w:b w:val="0"/>
                  <w:bCs w:val="0"/>
                  <w:i/>
                  <w:iCs/>
                  <w:sz w:val="20"/>
                </w:rPr>
                <w:t>Bâtiments</w:t>
              </w:r>
            </w:hyperlink>
          </w:p>
          <w:p w14:paraId="7BEE6F15" w14:textId="0DAB69BC" w:rsidR="00652D99" w:rsidRDefault="00D011FB" w:rsidP="00426530">
            <w:pPr>
              <w:pStyle w:val="Paragraphedeliste"/>
              <w:numPr>
                <w:ilvl w:val="1"/>
                <w:numId w:val="8"/>
              </w:numPr>
            </w:pPr>
            <w:hyperlink r:id="rId69" w:history="1">
              <w:r w:rsidRPr="00D47735">
                <w:rPr>
                  <w:rStyle w:val="Lienhypertexte"/>
                  <w:b w:val="0"/>
                  <w:bCs w:val="0"/>
                  <w:i/>
                  <w:sz w:val="20"/>
                </w:rPr>
                <w:t>Focus Réseaux</w:t>
              </w:r>
            </w:hyperlink>
          </w:p>
        </w:tc>
      </w:tr>
      <w:tr w:rsidR="00652D99" w14:paraId="586389E8" w14:textId="77777777" w:rsidTr="00652D99">
        <w:trPr>
          <w:trHeight w:val="42"/>
        </w:trPr>
        <w:tc>
          <w:tcPr>
            <w:cnfStyle w:val="001000000000" w:firstRow="0" w:lastRow="0" w:firstColumn="1" w:lastColumn="0" w:oddVBand="0" w:evenVBand="0" w:oddHBand="0" w:evenHBand="0" w:firstRowFirstColumn="0" w:firstRowLastColumn="0" w:lastRowFirstColumn="0" w:lastRowLastColumn="0"/>
            <w:tcW w:w="9356" w:type="dxa"/>
          </w:tcPr>
          <w:p w14:paraId="7E6DE127" w14:textId="43019CC2" w:rsidR="00652D99" w:rsidRDefault="00D011FB">
            <w:pPr>
              <w:rPr>
                <w:sz w:val="20"/>
              </w:rPr>
            </w:pPr>
            <w:hyperlink r:id="rId70" w:tooltip="https://www.adaptation-changement-climatique.gouv.fr/" w:history="1">
              <w:r>
                <w:rPr>
                  <w:rStyle w:val="Lienhypertexte"/>
                  <w:b w:val="0"/>
                  <w:bCs w:val="0"/>
                  <w:sz w:val="20"/>
                </w:rPr>
                <w:t xml:space="preserve">Centre de </w:t>
              </w:r>
            </w:hyperlink>
            <w:hyperlink r:id="rId71" w:tooltip="https://www.adaptation-changement-climatique.gouv.fr/" w:history="1">
              <w:r>
                <w:rPr>
                  <w:rStyle w:val="Lienhypertexte"/>
                  <w:b w:val="0"/>
                  <w:bCs w:val="0"/>
                  <w:sz w:val="20"/>
                </w:rPr>
                <w:t>ressources</w:t>
              </w:r>
            </w:hyperlink>
            <w:hyperlink r:id="rId72" w:tooltip="https://www.adaptation-changement-climatique.gouv.fr/" w:history="1">
              <w:r>
                <w:rPr>
                  <w:rStyle w:val="Lienhypertexte"/>
                  <w:b w:val="0"/>
                  <w:bCs w:val="0"/>
                  <w:sz w:val="20"/>
                </w:rPr>
                <w:t xml:space="preserve"> pour </w:t>
              </w:r>
            </w:hyperlink>
            <w:hyperlink r:id="rId73" w:tooltip="https://www.adaptation-changement-climatique.gouv.fr/" w:history="1">
              <w:r>
                <w:rPr>
                  <w:rStyle w:val="Lienhypertexte"/>
                  <w:b w:val="0"/>
                  <w:bCs w:val="0"/>
                  <w:sz w:val="20"/>
                </w:rPr>
                <w:t>l'adaptation</w:t>
              </w:r>
            </w:hyperlink>
            <w:hyperlink r:id="rId74" w:tooltip="https://www.adaptation-changement-climatique.gouv.fr/" w:history="1">
              <w:r>
                <w:rPr>
                  <w:rStyle w:val="Lienhypertexte"/>
                  <w:b w:val="0"/>
                  <w:bCs w:val="0"/>
                  <w:sz w:val="20"/>
                </w:rPr>
                <w:t xml:space="preserve"> au </w:t>
              </w:r>
            </w:hyperlink>
            <w:hyperlink r:id="rId75" w:tooltip="https://www.adaptation-changement-climatique.gouv.fr/" w:history="1">
              <w:r>
                <w:rPr>
                  <w:rStyle w:val="Lienhypertexte"/>
                  <w:b w:val="0"/>
                  <w:bCs w:val="0"/>
                  <w:sz w:val="20"/>
                </w:rPr>
                <w:t>changement</w:t>
              </w:r>
            </w:hyperlink>
            <w:hyperlink r:id="rId76" w:tooltip="https://www.adaptation-changement-climatique.gouv.fr/" w:history="1">
              <w:r>
                <w:rPr>
                  <w:rStyle w:val="Lienhypertexte"/>
                  <w:b w:val="0"/>
                  <w:bCs w:val="0"/>
                  <w:sz w:val="20"/>
                </w:rPr>
                <w:t xml:space="preserve"> </w:t>
              </w:r>
            </w:hyperlink>
            <w:hyperlink r:id="rId77" w:tooltip="https://www.adaptation-changement-climatique.gouv.fr/" w:history="1">
              <w:r>
                <w:rPr>
                  <w:rStyle w:val="Lienhypertexte"/>
                  <w:b w:val="0"/>
                  <w:bCs w:val="0"/>
                  <w:sz w:val="20"/>
                </w:rPr>
                <w:t>climatique</w:t>
              </w:r>
            </w:hyperlink>
          </w:p>
        </w:tc>
      </w:tr>
      <w:tr w:rsidR="00652D99" w14:paraId="2E9822F3" w14:textId="77777777" w:rsidTr="00652D99">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356" w:type="dxa"/>
          </w:tcPr>
          <w:p w14:paraId="7DAE631E" w14:textId="77777777" w:rsidR="00652D99" w:rsidRDefault="00D011FB">
            <w:pPr>
              <w:rPr>
                <w:sz w:val="20"/>
              </w:rPr>
            </w:pPr>
            <w:r>
              <w:rPr>
                <w:b w:val="0"/>
                <w:bCs w:val="0"/>
                <w:sz w:val="20"/>
              </w:rPr>
              <w:t>Données d’exposition cartographiques :</w:t>
            </w:r>
          </w:p>
          <w:p w14:paraId="261D6DEF" w14:textId="63CB0196" w:rsidR="00652D99" w:rsidRDefault="00D011FB" w:rsidP="00426530">
            <w:pPr>
              <w:pStyle w:val="Paragraphedeliste"/>
              <w:numPr>
                <w:ilvl w:val="0"/>
                <w:numId w:val="8"/>
              </w:numPr>
              <w:rPr>
                <w:sz w:val="20"/>
              </w:rPr>
            </w:pPr>
            <w:hyperlink r:id="rId78" w:tooltip="https://r4re.resilience-for-real-estate.com/resilience/analysis" w:history="1">
              <w:r>
                <w:rPr>
                  <w:rStyle w:val="Lienhypertexte"/>
                  <w:b w:val="0"/>
                  <w:bCs w:val="0"/>
                  <w:sz w:val="20"/>
                </w:rPr>
                <w:t>R4RE</w:t>
              </w:r>
            </w:hyperlink>
            <w:r>
              <w:rPr>
                <w:b w:val="0"/>
                <w:bCs w:val="0"/>
                <w:sz w:val="20"/>
              </w:rPr>
              <w:t xml:space="preserve"> (OID)</w:t>
            </w:r>
          </w:p>
          <w:p w14:paraId="520F435D" w14:textId="30FD5F3B" w:rsidR="00652D99" w:rsidRDefault="00D011FB" w:rsidP="00426530">
            <w:pPr>
              <w:pStyle w:val="Paragraphedeliste"/>
              <w:numPr>
                <w:ilvl w:val="0"/>
                <w:numId w:val="8"/>
              </w:numPr>
              <w:rPr>
                <w:sz w:val="20"/>
              </w:rPr>
            </w:pPr>
            <w:hyperlink r:id="rId79" w:tooltip="http://www.drias-climat.fr/decouverte" w:history="1">
              <w:r>
                <w:rPr>
                  <w:rStyle w:val="Lienhypertexte"/>
                  <w:b w:val="0"/>
                  <w:bCs w:val="0"/>
                  <w:sz w:val="20"/>
                </w:rPr>
                <w:t>DRIAS</w:t>
              </w:r>
            </w:hyperlink>
            <w:r>
              <w:rPr>
                <w:b w:val="0"/>
                <w:bCs w:val="0"/>
                <w:sz w:val="20"/>
              </w:rPr>
              <w:t xml:space="preserve"> (Météo-France)</w:t>
            </w:r>
          </w:p>
        </w:tc>
      </w:tr>
      <w:tr w:rsidR="00652D99" w14:paraId="0D431D1D" w14:textId="77777777" w:rsidTr="00652D99">
        <w:trPr>
          <w:trHeight w:val="321"/>
        </w:trPr>
        <w:tc>
          <w:tcPr>
            <w:cnfStyle w:val="001000000000" w:firstRow="0" w:lastRow="0" w:firstColumn="1" w:lastColumn="0" w:oddVBand="0" w:evenVBand="0" w:oddHBand="0" w:evenHBand="0" w:firstRowFirstColumn="0" w:firstRowLastColumn="0" w:lastRowFirstColumn="0" w:lastRowLastColumn="0"/>
            <w:tcW w:w="9356" w:type="dxa"/>
          </w:tcPr>
          <w:p w14:paraId="1D8187CA" w14:textId="0E3D968A" w:rsidR="00652D99" w:rsidRDefault="00D011FB">
            <w:pPr>
              <w:rPr>
                <w:sz w:val="20"/>
              </w:rPr>
            </w:pPr>
            <w:hyperlink r:id="rId80" w:tooltip="https://climate-adapt.eea.europa.eu/" w:history="1">
              <w:proofErr w:type="spellStart"/>
              <w:r>
                <w:rPr>
                  <w:rStyle w:val="Lienhypertexte"/>
                  <w:b w:val="0"/>
                  <w:bCs w:val="0"/>
                  <w:sz w:val="20"/>
                </w:rPr>
                <w:t>Climate-Adapt</w:t>
              </w:r>
              <w:proofErr w:type="spellEnd"/>
              <w:r>
                <w:rPr>
                  <w:rStyle w:val="Lienhypertexte"/>
                  <w:rFonts w:ascii="Calibri" w:hAnsi="Calibri" w:cs="Calibri"/>
                  <w:b w:val="0"/>
                  <w:bCs w:val="0"/>
                  <w:sz w:val="20"/>
                </w:rPr>
                <w:t> </w:t>
              </w:r>
            </w:hyperlink>
            <w:r>
              <w:rPr>
                <w:b w:val="0"/>
                <w:bCs w:val="0"/>
                <w:sz w:val="20"/>
              </w:rPr>
              <w:t>: Plateforme européenne d’adaptation au changement climatique</w:t>
            </w:r>
          </w:p>
        </w:tc>
      </w:tr>
    </w:tbl>
    <w:p w14:paraId="62C09502" w14:textId="77777777" w:rsidR="00652D99" w:rsidRDefault="00652D99">
      <w:pPr>
        <w:rPr>
          <w:sz w:val="20"/>
        </w:rPr>
      </w:pPr>
    </w:p>
    <w:tbl>
      <w:tblPr>
        <w:tblStyle w:val="TableauGrille4-Accentuation3"/>
        <w:tblW w:w="9356" w:type="dxa"/>
        <w:tblInd w:w="-5" w:type="dxa"/>
        <w:tblLook w:val="04A0" w:firstRow="1" w:lastRow="0" w:firstColumn="1" w:lastColumn="0" w:noHBand="0" w:noVBand="1"/>
      </w:tblPr>
      <w:tblGrid>
        <w:gridCol w:w="9356"/>
      </w:tblGrid>
      <w:tr w:rsidR="00652D99" w14:paraId="4949C33B" w14:textId="77777777" w:rsidTr="00652D99">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356" w:type="dxa"/>
          </w:tcPr>
          <w:p w14:paraId="112165C4" w14:textId="77777777" w:rsidR="00652D99" w:rsidRDefault="00D011FB">
            <w:pPr>
              <w:rPr>
                <w:sz w:val="20"/>
              </w:rPr>
            </w:pPr>
            <w:r>
              <w:rPr>
                <w:color w:val="auto"/>
                <w:sz w:val="20"/>
              </w:rPr>
              <w:t>Pour agir : effectuer le diagnostic des impacts du changement climatique sur son activité et l’ensemble de la chaîne de valeur et contribuer à construire sa stratégie d’adaptation et son plan d’actions :</w:t>
            </w:r>
          </w:p>
        </w:tc>
      </w:tr>
      <w:tr w:rsidR="00652D99" w14:paraId="49DA4211" w14:textId="77777777" w:rsidTr="00652D99">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2DD37CA9" w14:textId="77777777" w:rsidR="00652D99" w:rsidRDefault="00D011FB">
            <w:pPr>
              <w:rPr>
                <w:sz w:val="20"/>
              </w:rPr>
            </w:pPr>
            <w:r>
              <w:rPr>
                <w:sz w:val="20"/>
              </w:rPr>
              <w:lastRenderedPageBreak/>
              <w:t xml:space="preserve">Liste non-exhaustive d’outils et méthodes : </w:t>
            </w:r>
          </w:p>
          <w:p w14:paraId="25622B26" w14:textId="7D303069" w:rsidR="00652D99" w:rsidRDefault="00D011FB" w:rsidP="00426530">
            <w:pPr>
              <w:pStyle w:val="Paragraphedeliste"/>
              <w:numPr>
                <w:ilvl w:val="0"/>
                <w:numId w:val="8"/>
              </w:numPr>
              <w:rPr>
                <w:sz w:val="20"/>
              </w:rPr>
            </w:pPr>
            <w:hyperlink r:id="rId81" w:tooltip="https://www.adaptation-changement-climatique.gouv.fr/actualites/les-ateliers-ladaptaction" w:history="1">
              <w:r>
                <w:rPr>
                  <w:rStyle w:val="Lienhypertexte"/>
                  <w:sz w:val="20"/>
                </w:rPr>
                <w:t>Atelier de l’adaptation au changement climatique</w:t>
              </w:r>
            </w:hyperlink>
            <w:r>
              <w:rPr>
                <w:sz w:val="20"/>
              </w:rPr>
              <w:t xml:space="preserve"> pour débuter sa réflexion sur le diagnostic et commencer sa stratégie d’adaptation</w:t>
            </w:r>
          </w:p>
          <w:p w14:paraId="5E3853A7" w14:textId="1DC504BD" w:rsidR="00652D99" w:rsidRDefault="00D011FB" w:rsidP="00426530">
            <w:pPr>
              <w:pStyle w:val="Paragraphedeliste"/>
              <w:numPr>
                <w:ilvl w:val="0"/>
                <w:numId w:val="8"/>
              </w:numPr>
              <w:rPr>
                <w:sz w:val="20"/>
              </w:rPr>
            </w:pPr>
            <w:hyperlink r:id="rId82" w:tooltip="https://www.carbone4.com/guide-methodologique-ocara" w:history="1">
              <w:r>
                <w:rPr>
                  <w:rStyle w:val="Lienhypertexte"/>
                  <w:sz w:val="20"/>
                </w:rPr>
                <w:t>OCARA</w:t>
              </w:r>
            </w:hyperlink>
            <w:r>
              <w:rPr>
                <w:sz w:val="20"/>
              </w:rPr>
              <w:t xml:space="preserve"> (Carbone 4), Référentiel d’analyse de la résilience climatique des entreprises</w:t>
            </w:r>
          </w:p>
          <w:p w14:paraId="31EE0350" w14:textId="620DE507" w:rsidR="00652D99" w:rsidRDefault="00D011FB" w:rsidP="00426530">
            <w:pPr>
              <w:pStyle w:val="Paragraphedeliste"/>
              <w:numPr>
                <w:ilvl w:val="0"/>
                <w:numId w:val="8"/>
              </w:numPr>
              <w:rPr>
                <w:sz w:val="20"/>
              </w:rPr>
            </w:pPr>
            <w:hyperlink r:id="rId83" w:tooltip="https://eco-act.com/fr/service/plateforme-analyse-risques-climat/" w:history="1">
              <w:r>
                <w:rPr>
                  <w:rStyle w:val="Lienhypertexte"/>
                  <w:sz w:val="20"/>
                </w:rPr>
                <w:t>Plateforme d’analyse des risques climat</w:t>
              </w:r>
            </w:hyperlink>
            <w:r>
              <w:rPr>
                <w:sz w:val="20"/>
              </w:rPr>
              <w:t xml:space="preserve"> (</w:t>
            </w:r>
            <w:proofErr w:type="spellStart"/>
            <w:r>
              <w:rPr>
                <w:sz w:val="20"/>
              </w:rPr>
              <w:t>EcoAct</w:t>
            </w:r>
            <w:proofErr w:type="spellEnd"/>
            <w:r>
              <w:rPr>
                <w:sz w:val="20"/>
              </w:rPr>
              <w:t>)</w:t>
            </w:r>
          </w:p>
          <w:p w14:paraId="1301DF25" w14:textId="17AD0E47" w:rsidR="00652D99" w:rsidRDefault="00D011FB" w:rsidP="00426530">
            <w:pPr>
              <w:pStyle w:val="Paragraphedeliste"/>
              <w:numPr>
                <w:ilvl w:val="0"/>
                <w:numId w:val="8"/>
              </w:numPr>
              <w:rPr>
                <w:sz w:val="20"/>
              </w:rPr>
            </w:pPr>
            <w:hyperlink r:id="rId84" w:tooltip="https://actinitiative.org/" w:history="1">
              <w:r>
                <w:rPr>
                  <w:rStyle w:val="Lienhypertexte"/>
                  <w:sz w:val="20"/>
                </w:rPr>
                <w:t>Initiative ACT</w:t>
              </w:r>
            </w:hyperlink>
            <w:r>
              <w:rPr>
                <w:sz w:val="20"/>
              </w:rPr>
              <w:t xml:space="preserve"> et la méthodologie </w:t>
            </w:r>
            <w:hyperlink r:id="rId85" w:history="1">
              <w:r w:rsidRPr="00874E4C">
                <w:rPr>
                  <w:rStyle w:val="Lienhypertexte"/>
                  <w:b w:val="0"/>
                  <w:bCs w:val="0"/>
                  <w:sz w:val="20"/>
                </w:rPr>
                <w:t>ACT Adaptation</w:t>
              </w:r>
            </w:hyperlink>
          </w:p>
        </w:tc>
      </w:tr>
      <w:tr w:rsidR="00652D99" w14:paraId="30F2E881" w14:textId="77777777" w:rsidTr="00652D99">
        <w:trPr>
          <w:trHeight w:val="269"/>
        </w:trPr>
        <w:tc>
          <w:tcPr>
            <w:cnfStyle w:val="001000000000" w:firstRow="0" w:lastRow="0" w:firstColumn="1" w:lastColumn="0" w:oddVBand="0" w:evenVBand="0" w:oddHBand="0" w:evenHBand="0" w:firstRowFirstColumn="0" w:firstRowLastColumn="0" w:lastRowFirstColumn="0" w:lastRowLastColumn="0"/>
            <w:tcW w:w="9356" w:type="dxa"/>
            <w:shd w:val="clear" w:color="auto" w:fill="F2F2F2" w:themeFill="background1" w:themeFillShade="F2"/>
          </w:tcPr>
          <w:p w14:paraId="552565C9" w14:textId="77777777" w:rsidR="00652D99" w:rsidRDefault="00D011FB">
            <w:pPr>
              <w:rPr>
                <w:sz w:val="20"/>
              </w:rPr>
            </w:pPr>
            <w:r>
              <w:rPr>
                <w:sz w:val="20"/>
              </w:rPr>
              <w:t>Actions d’adaptation sans regrets :</w:t>
            </w:r>
          </w:p>
          <w:p w14:paraId="16BEA12B" w14:textId="58D87ACF" w:rsidR="00652D99" w:rsidRDefault="00D011FB" w:rsidP="00426530">
            <w:pPr>
              <w:pStyle w:val="Paragraphedeliste"/>
              <w:numPr>
                <w:ilvl w:val="0"/>
                <w:numId w:val="8"/>
              </w:numPr>
              <w:rPr>
                <w:rStyle w:val="Lienhypertexte"/>
                <w:sz w:val="20"/>
              </w:rPr>
            </w:pPr>
            <w:r>
              <w:rPr>
                <w:sz w:val="20"/>
              </w:rPr>
              <w:fldChar w:fldCharType="begin"/>
            </w:r>
            <w:r w:rsidR="006E3BB2">
              <w:rPr>
                <w:sz w:val="20"/>
              </w:rPr>
              <w:instrText>HYPERLINK "https://agirpourlatransition.ademe.fr/entreprises/aides-financieres/2024/etude-faisabilite-geothermie-surface-aerothermie"</w:instrText>
            </w:r>
            <w:r>
              <w:rPr>
                <w:sz w:val="20"/>
              </w:rPr>
            </w:r>
            <w:r>
              <w:rPr>
                <w:sz w:val="20"/>
              </w:rPr>
              <w:fldChar w:fldCharType="separate"/>
            </w:r>
            <w:r>
              <w:rPr>
                <w:rStyle w:val="Lienhypertexte"/>
                <w:b w:val="0"/>
                <w:bCs w:val="0"/>
                <w:sz w:val="20"/>
              </w:rPr>
              <w:t>Se rafraichir et produire du froid grâce à la géothermie grâce au Fonds Chaleur de l’ADEME</w:t>
            </w:r>
          </w:p>
          <w:p w14:paraId="2A39BD99" w14:textId="50E054D2" w:rsidR="00652D99" w:rsidRDefault="00D011FB" w:rsidP="00426530">
            <w:pPr>
              <w:pStyle w:val="Paragraphedeliste"/>
              <w:numPr>
                <w:ilvl w:val="0"/>
                <w:numId w:val="8"/>
              </w:numPr>
              <w:rPr>
                <w:sz w:val="20"/>
              </w:rPr>
            </w:pPr>
            <w:r>
              <w:rPr>
                <w:sz w:val="20"/>
              </w:rPr>
              <w:fldChar w:fldCharType="end"/>
            </w:r>
            <w:r>
              <w:rPr>
                <w:sz w:val="20"/>
              </w:rPr>
              <w:t xml:space="preserve">Prioriser les </w:t>
            </w:r>
            <w:hyperlink r:id="rId86" w:tooltip="https://librairie.ademe.fr/changement-climatique-et-energie/5340-offre-des-solutions-d-adaptation-fondees-sur-la-nature-safn.html" w:history="1">
              <w:r>
                <w:rPr>
                  <w:rStyle w:val="Lienhypertexte"/>
                  <w:sz w:val="20"/>
                </w:rPr>
                <w:t>Solutions d’Adaptation fondées sur la Nature (</w:t>
              </w:r>
              <w:proofErr w:type="spellStart"/>
              <w:r>
                <w:rPr>
                  <w:rStyle w:val="Lienhypertexte"/>
                  <w:sz w:val="20"/>
                </w:rPr>
                <w:t>SafN</w:t>
              </w:r>
              <w:proofErr w:type="spellEnd"/>
              <w:r>
                <w:rPr>
                  <w:rStyle w:val="Lienhypertexte"/>
                  <w:sz w:val="20"/>
                </w:rPr>
                <w:t>)</w:t>
              </w:r>
            </w:hyperlink>
          </w:p>
          <w:p w14:paraId="042B5B4C" w14:textId="5A0D0FAF" w:rsidR="00652D99" w:rsidRDefault="00D011FB" w:rsidP="00426530">
            <w:pPr>
              <w:pStyle w:val="Paragraphedeliste"/>
              <w:numPr>
                <w:ilvl w:val="0"/>
                <w:numId w:val="8"/>
              </w:numPr>
              <w:rPr>
                <w:sz w:val="20"/>
              </w:rPr>
            </w:pPr>
            <w:r>
              <w:rPr>
                <w:sz w:val="20"/>
              </w:rPr>
              <w:t xml:space="preserve">Economiser sa ressource en eau : voir les aides auprès des </w:t>
            </w:r>
            <w:hyperlink r:id="rId87" w:tooltip="https://www.lesagencesdeleau.fr/" w:history="1">
              <w:r>
                <w:rPr>
                  <w:rStyle w:val="Lienhypertexte"/>
                  <w:sz w:val="20"/>
                </w:rPr>
                <w:t>Agences de l'eau</w:t>
              </w:r>
            </w:hyperlink>
            <w:r>
              <w:rPr>
                <w:sz w:val="20"/>
              </w:rPr>
              <w:t xml:space="preserve"> </w:t>
            </w:r>
          </w:p>
          <w:p w14:paraId="0E5A1561" w14:textId="04A01B3A" w:rsidR="00652D99" w:rsidRDefault="00D011FB" w:rsidP="00426530">
            <w:pPr>
              <w:pStyle w:val="Paragraphedeliste"/>
              <w:numPr>
                <w:ilvl w:val="0"/>
                <w:numId w:val="8"/>
              </w:numPr>
              <w:rPr>
                <w:sz w:val="20"/>
              </w:rPr>
            </w:pPr>
            <w:r>
              <w:rPr>
                <w:sz w:val="20"/>
              </w:rPr>
              <w:t xml:space="preserve">Mettre en </w:t>
            </w:r>
            <w:r w:rsidR="00626281">
              <w:rPr>
                <w:sz w:val="20"/>
              </w:rPr>
              <w:t>œuvre</w:t>
            </w:r>
            <w:r>
              <w:rPr>
                <w:sz w:val="20"/>
              </w:rPr>
              <w:t xml:space="preserve"> une gestion intégrée des eaux pluviales : </w:t>
            </w:r>
            <w:hyperlink r:id="rId88" w:tooltip="https://adopta.fr/fiches-techniques/" w:history="1">
              <w:r>
                <w:rPr>
                  <w:rStyle w:val="Lienhypertexte"/>
                  <w:sz w:val="20"/>
                </w:rPr>
                <w:t>Adopta</w:t>
              </w:r>
            </w:hyperlink>
          </w:p>
        </w:tc>
      </w:tr>
    </w:tbl>
    <w:p w14:paraId="39421E6A" w14:textId="77777777" w:rsidR="00EC12E3" w:rsidRPr="00BB4E65" w:rsidRDefault="00EC12E3" w:rsidP="00BB4E65">
      <w:pPr>
        <w:rPr>
          <w:rFonts w:eastAsia="Arial"/>
          <w:smallCaps/>
        </w:rPr>
      </w:pPr>
      <w:bookmarkStart w:id="12" w:name="_Toc153893246"/>
    </w:p>
    <w:p w14:paraId="71CE7487" w14:textId="3CF4A370" w:rsidR="00652D99" w:rsidRDefault="00D011FB">
      <w:pPr>
        <w:pStyle w:val="Titre1"/>
        <w:keepLines/>
        <w:numPr>
          <w:ilvl w:val="0"/>
          <w:numId w:val="1"/>
        </w:numPr>
        <w:shd w:val="clear" w:color="auto" w:fill="auto"/>
        <w:spacing w:before="0" w:after="0" w:line="259" w:lineRule="auto"/>
        <w:ind w:left="360" w:hanging="360"/>
        <w:rPr>
          <w:rFonts w:eastAsia="Arial" w:cs="Times New Roman"/>
          <w:smallCaps w:val="0"/>
          <w:color w:val="4F81BD"/>
          <w:szCs w:val="32"/>
        </w:rPr>
      </w:pPr>
      <w:r>
        <w:rPr>
          <w:rFonts w:eastAsia="Arial" w:cs="Times New Roman"/>
          <w:smallCaps w:val="0"/>
          <w:color w:val="4F81BD" w:themeColor="accent1"/>
          <w:szCs w:val="32"/>
        </w:rPr>
        <w:t>Phase d’éligibilité</w:t>
      </w:r>
      <w:bookmarkEnd w:id="12"/>
    </w:p>
    <w:p w14:paraId="18594CD1" w14:textId="77777777" w:rsidR="00652D99" w:rsidRDefault="00652D99">
      <w:pPr>
        <w:ind w:left="0" w:firstLine="0"/>
        <w:rPr>
          <w:sz w:val="20"/>
          <w:szCs w:val="18"/>
          <w:lang w:eastAsia="en-US"/>
        </w:rPr>
      </w:pPr>
    </w:p>
    <w:p w14:paraId="34E4A573" w14:textId="4327805F" w:rsidR="00652D99" w:rsidRDefault="00D011FB">
      <w:pPr>
        <w:ind w:left="0" w:firstLine="0"/>
        <w:jc w:val="both"/>
        <w:rPr>
          <w:sz w:val="20"/>
          <w:szCs w:val="18"/>
          <w:lang w:eastAsia="en-US"/>
        </w:rPr>
      </w:pPr>
      <w:r>
        <w:rPr>
          <w:sz w:val="20"/>
          <w:szCs w:val="18"/>
          <w:lang w:eastAsia="en-US"/>
        </w:rPr>
        <w:t>Pour chacun des 12 critères d’éligibilité présentés dans le CDC, le porteur devra remplir l’onglet «</w:t>
      </w:r>
      <w:r>
        <w:rPr>
          <w:rFonts w:ascii="Calibri" w:hAnsi="Calibri" w:cs="Calibri"/>
          <w:sz w:val="20"/>
          <w:szCs w:val="18"/>
          <w:lang w:eastAsia="en-US"/>
        </w:rPr>
        <w:t> </w:t>
      </w:r>
      <w:r>
        <w:rPr>
          <w:sz w:val="20"/>
          <w:szCs w:val="18"/>
          <w:lang w:eastAsia="en-US"/>
        </w:rPr>
        <w:t>Éligibilité</w:t>
      </w:r>
      <w:r>
        <w:rPr>
          <w:rFonts w:ascii="Calibri" w:hAnsi="Calibri" w:cs="Calibri"/>
          <w:sz w:val="20"/>
          <w:szCs w:val="18"/>
          <w:lang w:eastAsia="en-US"/>
        </w:rPr>
        <w:t> </w:t>
      </w:r>
      <w:r>
        <w:rPr>
          <w:rFonts w:cs="Marianne"/>
          <w:sz w:val="20"/>
          <w:szCs w:val="18"/>
          <w:lang w:eastAsia="en-US"/>
        </w:rPr>
        <w:t>»</w:t>
      </w:r>
      <w:r>
        <w:rPr>
          <w:sz w:val="20"/>
          <w:szCs w:val="18"/>
          <w:lang w:eastAsia="en-US"/>
        </w:rPr>
        <w:t xml:space="preserve"> du Volet Technico-financier. Des aides au remplissage sont indiquées directement dans ce Volet Technico-financier.</w:t>
      </w:r>
    </w:p>
    <w:p w14:paraId="42ABF71B" w14:textId="77777777" w:rsidR="00652D99" w:rsidRDefault="00652D99">
      <w:pPr>
        <w:ind w:left="0" w:firstLine="0"/>
        <w:rPr>
          <w:sz w:val="20"/>
          <w:szCs w:val="18"/>
          <w:lang w:eastAsia="en-US"/>
        </w:rPr>
      </w:pPr>
    </w:p>
    <w:p w14:paraId="5A33A7D7" w14:textId="77777777" w:rsidR="00652D99" w:rsidRDefault="00652D99">
      <w:pPr>
        <w:ind w:left="0" w:firstLine="0"/>
        <w:rPr>
          <w:sz w:val="18"/>
          <w:szCs w:val="18"/>
        </w:rPr>
      </w:pPr>
    </w:p>
    <w:p w14:paraId="0ABAC591" w14:textId="77777777" w:rsidR="00652D99" w:rsidRDefault="00D011FB">
      <w:pPr>
        <w:pStyle w:val="Titre1"/>
        <w:keepLines/>
        <w:numPr>
          <w:ilvl w:val="0"/>
          <w:numId w:val="1"/>
        </w:numPr>
        <w:shd w:val="clear" w:color="auto" w:fill="auto"/>
        <w:spacing w:before="0" w:after="0" w:line="259" w:lineRule="auto"/>
        <w:ind w:left="360" w:hanging="360"/>
        <w:rPr>
          <w:rFonts w:eastAsia="Arial" w:cs="Times New Roman"/>
          <w:smallCaps w:val="0"/>
          <w:color w:val="4F81BD"/>
          <w:szCs w:val="32"/>
        </w:rPr>
      </w:pPr>
      <w:bookmarkStart w:id="13" w:name="_Toc153893247"/>
      <w:r>
        <w:rPr>
          <w:rFonts w:eastAsia="Arial" w:cs="Times New Roman"/>
          <w:smallCaps w:val="0"/>
          <w:color w:val="4F81BD" w:themeColor="accent1"/>
          <w:szCs w:val="32"/>
        </w:rPr>
        <w:t>Phase de notation</w:t>
      </w:r>
      <w:bookmarkEnd w:id="13"/>
    </w:p>
    <w:p w14:paraId="3A39F2B7" w14:textId="77777777" w:rsidR="00652D99" w:rsidRDefault="00652D99">
      <w:pPr>
        <w:ind w:left="0" w:firstLine="0"/>
        <w:rPr>
          <w:lang w:eastAsia="en-US"/>
        </w:rPr>
      </w:pPr>
    </w:p>
    <w:p w14:paraId="5C21224E" w14:textId="77777777" w:rsidR="00652D99" w:rsidRDefault="00D011FB">
      <w:pPr>
        <w:pStyle w:val="Titre2"/>
        <w:ind w:left="0" w:firstLine="0"/>
        <w:rPr>
          <w:rFonts w:cstheme="minorHAnsi"/>
          <w:b/>
          <w:bCs/>
          <w:color w:val="4F81BD"/>
          <w:sz w:val="28"/>
          <w:szCs w:val="24"/>
        </w:rPr>
      </w:pPr>
      <w:bookmarkStart w:id="14" w:name="_Toc153893248"/>
      <w:r>
        <w:rPr>
          <w:rFonts w:cstheme="minorHAnsi"/>
          <w:b/>
          <w:bCs/>
          <w:color w:val="4F81BD" w:themeColor="accent1"/>
          <w:sz w:val="28"/>
          <w:szCs w:val="24"/>
        </w:rPr>
        <w:t>Performance de décarbonation et note N1 d’efficacité économique</w:t>
      </w:r>
      <w:bookmarkEnd w:id="14"/>
    </w:p>
    <w:p w14:paraId="7E2E03A4" w14:textId="77777777" w:rsidR="00652D99" w:rsidRDefault="00652D99">
      <w:pPr>
        <w:ind w:left="0" w:firstLine="0"/>
        <w:rPr>
          <w:lang w:eastAsia="en-US"/>
        </w:rPr>
      </w:pPr>
    </w:p>
    <w:p w14:paraId="464EADB4" w14:textId="77777777" w:rsidR="00652D99" w:rsidRDefault="00D011FB">
      <w:pPr>
        <w:ind w:left="0" w:firstLine="0"/>
        <w:jc w:val="both"/>
        <w:rPr>
          <w:rFonts w:cstheme="minorHAnsi"/>
          <w:iCs/>
          <w:sz w:val="20"/>
        </w:rPr>
      </w:pPr>
      <w:r>
        <w:rPr>
          <w:rFonts w:cstheme="minorHAnsi"/>
          <w:iCs/>
          <w:sz w:val="20"/>
        </w:rPr>
        <w:t>La performance de décarbonation est à présenter dans l’onglet «</w:t>
      </w:r>
      <w:r>
        <w:rPr>
          <w:rFonts w:ascii="Calibri" w:hAnsi="Calibri" w:cs="Calibri"/>
          <w:iCs/>
          <w:sz w:val="20"/>
        </w:rPr>
        <w:t> </w:t>
      </w:r>
      <w:r>
        <w:rPr>
          <w:rFonts w:cstheme="minorHAnsi"/>
          <w:iCs/>
          <w:sz w:val="20"/>
        </w:rPr>
        <w:t>Données techniques</w:t>
      </w:r>
      <w:r>
        <w:rPr>
          <w:rFonts w:ascii="Calibri" w:hAnsi="Calibri" w:cs="Calibri"/>
          <w:iCs/>
          <w:sz w:val="20"/>
        </w:rPr>
        <w:t> </w:t>
      </w:r>
      <w:r>
        <w:rPr>
          <w:rFonts w:cs="Marianne"/>
          <w:iCs/>
          <w:sz w:val="20"/>
        </w:rPr>
        <w:t>»</w:t>
      </w:r>
      <w:r>
        <w:rPr>
          <w:rFonts w:cstheme="minorHAnsi"/>
          <w:iCs/>
          <w:sz w:val="20"/>
        </w:rPr>
        <w:t xml:space="preserve"> du Volet Technico-Financier. Des détails explicitant cette performance pourront être apportés dans le cadre ci-dessous.</w:t>
      </w:r>
    </w:p>
    <w:p w14:paraId="536AA76F" w14:textId="77777777" w:rsidR="00652D99" w:rsidRDefault="00652D99">
      <w:pPr>
        <w:ind w:left="0" w:firstLine="0"/>
        <w:jc w:val="both"/>
        <w:rPr>
          <w:rFonts w:cstheme="minorHAnsi"/>
          <w:iCs/>
          <w:sz w:val="20"/>
        </w:rPr>
      </w:pPr>
    </w:p>
    <w:p w14:paraId="3DA62D62" w14:textId="77777777" w:rsidR="00652D99" w:rsidRPr="00B25438" w:rsidRDefault="00D011FB">
      <w:pPr>
        <w:tabs>
          <w:tab w:val="left" w:pos="954"/>
        </w:tabs>
        <w:ind w:left="0" w:firstLine="0"/>
        <w:jc w:val="both"/>
        <w:rPr>
          <w:rFonts w:cstheme="minorHAnsi"/>
          <w:iCs/>
          <w:sz w:val="20"/>
          <w:highlight w:val="white"/>
          <w:u w:val="single"/>
        </w:rPr>
      </w:pPr>
      <w:r>
        <w:rPr>
          <w:rFonts w:cstheme="minorHAnsi"/>
          <w:iCs/>
          <w:sz w:val="20"/>
          <w:u w:val="single"/>
        </w:rPr>
        <w:t>A</w:t>
      </w:r>
      <w:r>
        <w:rPr>
          <w:rFonts w:cstheme="minorHAnsi"/>
          <w:iCs/>
          <w:sz w:val="20"/>
          <w:highlight w:val="white"/>
          <w:u w:val="single"/>
        </w:rPr>
        <w:t xml:space="preserve"> noter</w:t>
      </w:r>
      <w:r>
        <w:rPr>
          <w:rFonts w:ascii="Calibri" w:hAnsi="Calibri" w:cs="Calibri"/>
          <w:iCs/>
          <w:sz w:val="20"/>
          <w:highlight w:val="white"/>
          <w:u w:val="single"/>
        </w:rPr>
        <w:t> </w:t>
      </w:r>
      <w:r>
        <w:rPr>
          <w:rFonts w:cstheme="minorHAnsi"/>
          <w:iCs/>
          <w:sz w:val="20"/>
          <w:highlight w:val="white"/>
          <w:u w:val="single"/>
        </w:rPr>
        <w:t>:</w:t>
      </w:r>
    </w:p>
    <w:p w14:paraId="2B27DD32" w14:textId="29B79C3A" w:rsidR="00652D99" w:rsidRDefault="00D011FB" w:rsidP="00426530">
      <w:pPr>
        <w:pStyle w:val="Paragraphedeliste"/>
        <w:numPr>
          <w:ilvl w:val="0"/>
          <w:numId w:val="17"/>
        </w:numPr>
        <w:shd w:val="clear" w:color="FFFFFF" w:fill="FFFFFF"/>
        <w:jc w:val="both"/>
        <w:rPr>
          <w:rFonts w:cstheme="minorHAnsi"/>
          <w:iCs/>
          <w:sz w:val="20"/>
          <w:highlight w:val="white"/>
        </w:rPr>
      </w:pPr>
      <w:r>
        <w:rPr>
          <w:rFonts w:cstheme="minorHAnsi"/>
          <w:iCs/>
          <w:sz w:val="20"/>
          <w:highlight w:val="white"/>
        </w:rPr>
        <w:t xml:space="preserve">Les </w:t>
      </w:r>
      <w:r>
        <w:rPr>
          <w:rFonts w:cstheme="minorHAnsi"/>
          <w:iCs/>
          <w:sz w:val="20"/>
        </w:rPr>
        <w:t xml:space="preserve">facteurs </w:t>
      </w:r>
      <w:r>
        <w:rPr>
          <w:rFonts w:cstheme="minorHAnsi"/>
          <w:iCs/>
          <w:sz w:val="20"/>
          <w:highlight w:val="white"/>
        </w:rPr>
        <w:t>d’émissions de GES à utiliser pour le calcul de la performance de décarbo</w:t>
      </w:r>
      <w:r>
        <w:rPr>
          <w:rFonts w:cstheme="minorHAnsi"/>
          <w:iCs/>
          <w:sz w:val="20"/>
        </w:rPr>
        <w:t>nation so</w:t>
      </w:r>
      <w:r>
        <w:rPr>
          <w:rFonts w:cstheme="minorHAnsi"/>
          <w:iCs/>
          <w:sz w:val="20"/>
          <w:highlight w:val="white"/>
        </w:rPr>
        <w:t xml:space="preserve">nt disponibles en </w:t>
      </w:r>
      <w:r>
        <w:rPr>
          <w:rFonts w:cstheme="minorHAnsi"/>
          <w:iCs/>
          <w:sz w:val="20"/>
          <w:highlight w:val="white"/>
        </w:rPr>
        <w:fldChar w:fldCharType="begin"/>
      </w:r>
      <w:r>
        <w:rPr>
          <w:rFonts w:cstheme="minorHAnsi"/>
          <w:iCs/>
          <w:sz w:val="20"/>
          <w:highlight w:val="white"/>
        </w:rPr>
        <w:instrText xml:space="preserve"> REF _Ref127277361 \h  \* MERGEFORMAT </w:instrText>
      </w:r>
      <w:r>
        <w:rPr>
          <w:rFonts w:cstheme="minorHAnsi"/>
          <w:iCs/>
          <w:sz w:val="20"/>
          <w:highlight w:val="white"/>
        </w:rPr>
      </w:r>
      <w:r>
        <w:rPr>
          <w:rFonts w:cstheme="minorHAnsi"/>
          <w:iCs/>
          <w:sz w:val="20"/>
          <w:highlight w:val="white"/>
        </w:rPr>
        <w:fldChar w:fldCharType="separate"/>
      </w:r>
      <w:r w:rsidRPr="00D011FB">
        <w:rPr>
          <w:rFonts w:cstheme="minorHAnsi"/>
          <w:iCs/>
          <w:sz w:val="20"/>
          <w:highlight w:val="white"/>
        </w:rPr>
        <w:t>Annexe 1</w:t>
      </w:r>
      <w:r>
        <w:rPr>
          <w:rFonts w:cstheme="minorHAnsi"/>
          <w:iCs/>
          <w:sz w:val="20"/>
          <w:highlight w:val="white"/>
        </w:rPr>
        <w:fldChar w:fldCharType="end"/>
      </w:r>
      <w:r>
        <w:rPr>
          <w:rFonts w:cstheme="minorHAnsi"/>
          <w:iCs/>
          <w:sz w:val="20"/>
          <w:highlight w:val="white"/>
        </w:rPr>
        <w:t xml:space="preserve"> du présent Volet Technique </w:t>
      </w:r>
      <w:r>
        <w:rPr>
          <w:rFonts w:cstheme="minorHAnsi"/>
          <w:iCs/>
          <w:sz w:val="20"/>
        </w:rPr>
        <w:t>et sont intégrés directement dans l’onglet «</w:t>
      </w:r>
      <w:r>
        <w:rPr>
          <w:rFonts w:ascii="Calibri" w:hAnsi="Calibri" w:cs="Calibri"/>
          <w:iCs/>
          <w:sz w:val="20"/>
        </w:rPr>
        <w:t> </w:t>
      </w:r>
      <w:r>
        <w:rPr>
          <w:rFonts w:cstheme="minorHAnsi"/>
          <w:iCs/>
          <w:sz w:val="20"/>
        </w:rPr>
        <w:t>Données techniques</w:t>
      </w:r>
      <w:r>
        <w:rPr>
          <w:rFonts w:ascii="Calibri" w:hAnsi="Calibri" w:cs="Calibri"/>
          <w:iCs/>
          <w:sz w:val="20"/>
        </w:rPr>
        <w:t> </w:t>
      </w:r>
      <w:r>
        <w:rPr>
          <w:rFonts w:cs="Marianne"/>
          <w:iCs/>
          <w:sz w:val="20"/>
        </w:rPr>
        <w:t>»</w:t>
      </w:r>
      <w:r>
        <w:rPr>
          <w:rFonts w:cstheme="minorHAnsi"/>
          <w:iCs/>
          <w:sz w:val="20"/>
        </w:rPr>
        <w:t xml:space="preserve"> du </w:t>
      </w:r>
      <w:r w:rsidR="00626281">
        <w:rPr>
          <w:rFonts w:cstheme="minorHAnsi"/>
          <w:iCs/>
          <w:sz w:val="20"/>
        </w:rPr>
        <w:t>V</w:t>
      </w:r>
      <w:r>
        <w:rPr>
          <w:rFonts w:cstheme="minorHAnsi"/>
          <w:iCs/>
          <w:sz w:val="20"/>
        </w:rPr>
        <w:t>olet Technico-financier</w:t>
      </w:r>
      <w:r>
        <w:rPr>
          <w:rFonts w:cstheme="minorHAnsi"/>
          <w:iCs/>
          <w:sz w:val="20"/>
          <w:highlight w:val="yellow"/>
        </w:rPr>
        <w:t xml:space="preserve"> </w:t>
      </w:r>
    </w:p>
    <w:p w14:paraId="335DA3C7" w14:textId="7660D816" w:rsidR="00652D99" w:rsidRDefault="00D011FB" w:rsidP="00426530">
      <w:pPr>
        <w:pStyle w:val="Paragraphedeliste"/>
        <w:numPr>
          <w:ilvl w:val="0"/>
          <w:numId w:val="5"/>
        </w:numPr>
        <w:jc w:val="both"/>
        <w:rPr>
          <w:iCs/>
          <w:sz w:val="20"/>
        </w:rPr>
      </w:pPr>
      <w:r>
        <w:rPr>
          <w:iCs/>
          <w:sz w:val="20"/>
        </w:rPr>
        <w:t xml:space="preserve">Le calcul du volume des émissions de CO2e se limite au périmètre du site industriel (SIRET) ou de l’entreprise (SIREN) ou du groupe, complétées par les émissions indirectes liées aux consommations énergétiques de la catégorie 2. En d’autres termes, les émissions </w:t>
      </w:r>
      <w:r w:rsidR="00626281">
        <w:rPr>
          <w:iCs/>
          <w:sz w:val="20"/>
        </w:rPr>
        <w:t xml:space="preserve">de </w:t>
      </w:r>
      <w:r>
        <w:rPr>
          <w:iCs/>
          <w:sz w:val="20"/>
        </w:rPr>
        <w:t>CO2e indirectes correspondant aux catégories 3, 4, 5 et 6 (anciennement regroupées sous l’appellation «</w:t>
      </w:r>
      <w:r>
        <w:rPr>
          <w:rFonts w:ascii="Calibri" w:hAnsi="Calibri" w:cs="Calibri"/>
          <w:iCs/>
          <w:sz w:val="20"/>
        </w:rPr>
        <w:t> </w:t>
      </w:r>
      <w:r>
        <w:rPr>
          <w:iCs/>
          <w:sz w:val="20"/>
        </w:rPr>
        <w:t>scope 3</w:t>
      </w:r>
      <w:r>
        <w:rPr>
          <w:rFonts w:ascii="Calibri" w:hAnsi="Calibri" w:cs="Calibri"/>
          <w:iCs/>
          <w:sz w:val="20"/>
        </w:rPr>
        <w:t> </w:t>
      </w:r>
      <w:r>
        <w:rPr>
          <w:rFonts w:cs="Marianne"/>
          <w:iCs/>
          <w:sz w:val="20"/>
        </w:rPr>
        <w:t>»</w:t>
      </w:r>
      <w:r>
        <w:rPr>
          <w:iCs/>
          <w:sz w:val="20"/>
        </w:rPr>
        <w:t>) ne doivent pas être prises en compte</w:t>
      </w:r>
      <w:r>
        <w:rPr>
          <w:rFonts w:ascii="Calibri" w:hAnsi="Calibri" w:cs="Calibri"/>
          <w:iCs/>
          <w:sz w:val="20"/>
        </w:rPr>
        <w:t>.</w:t>
      </w:r>
    </w:p>
    <w:p w14:paraId="2A60D040" w14:textId="6833802E" w:rsidR="00652D99" w:rsidRDefault="00D011FB" w:rsidP="00426530">
      <w:pPr>
        <w:pStyle w:val="Paragraphedeliste"/>
        <w:numPr>
          <w:ilvl w:val="0"/>
          <w:numId w:val="5"/>
        </w:numPr>
        <w:jc w:val="both"/>
        <w:rPr>
          <w:rFonts w:cstheme="minorHAnsi"/>
          <w:iCs/>
          <w:sz w:val="20"/>
        </w:rPr>
      </w:pPr>
      <w:r>
        <w:rPr>
          <w:rFonts w:cstheme="minorHAnsi"/>
          <w:iCs/>
          <w:sz w:val="20"/>
        </w:rPr>
        <w:t>Les réductions des émissions</w:t>
      </w:r>
      <w:r w:rsidR="00626281">
        <w:rPr>
          <w:rFonts w:cstheme="minorHAnsi"/>
          <w:iCs/>
          <w:sz w:val="20"/>
        </w:rPr>
        <w:t xml:space="preserve"> de</w:t>
      </w:r>
      <w:r>
        <w:rPr>
          <w:rFonts w:cstheme="minorHAnsi"/>
          <w:iCs/>
          <w:sz w:val="20"/>
        </w:rPr>
        <w:t xml:space="preserve"> GES, les évolutions de consommations d’énergies ou de matières présentées dans le dossier doivent correspondre au</w:t>
      </w:r>
      <w:r w:rsidR="00B25438">
        <w:rPr>
          <w:rFonts w:cstheme="minorHAnsi"/>
          <w:iCs/>
          <w:sz w:val="20"/>
        </w:rPr>
        <w:t>x</w:t>
      </w:r>
      <w:r>
        <w:rPr>
          <w:rFonts w:cstheme="minorHAnsi"/>
          <w:iCs/>
          <w:sz w:val="20"/>
        </w:rPr>
        <w:t xml:space="preserve"> seul</w:t>
      </w:r>
      <w:r w:rsidR="00626281">
        <w:rPr>
          <w:rFonts w:cstheme="minorHAnsi"/>
          <w:iCs/>
          <w:sz w:val="20"/>
        </w:rPr>
        <w:t>e</w:t>
      </w:r>
      <w:r>
        <w:rPr>
          <w:rFonts w:cstheme="minorHAnsi"/>
          <w:iCs/>
          <w:sz w:val="20"/>
        </w:rPr>
        <w:t>s actions mises en place dans le cadre du projet.</w:t>
      </w:r>
    </w:p>
    <w:p w14:paraId="5F22019D" w14:textId="77777777" w:rsidR="00652D99" w:rsidRDefault="00652D99">
      <w:pPr>
        <w:ind w:left="0" w:firstLine="0"/>
        <w:jc w:val="both"/>
        <w:rPr>
          <w:rFonts w:cstheme="minorHAnsi"/>
          <w:iCs/>
          <w:sz w:val="20"/>
        </w:rPr>
      </w:pPr>
    </w:p>
    <w:p w14:paraId="36A4C01F" w14:textId="486E4190" w:rsidR="00652D99" w:rsidRDefault="00D011FB">
      <w:pPr>
        <w:ind w:left="0" w:firstLine="0"/>
        <w:jc w:val="both"/>
        <w:rPr>
          <w:rFonts w:cs="Segoe UI"/>
          <w:sz w:val="20"/>
        </w:rPr>
      </w:pPr>
      <w:r>
        <w:rPr>
          <w:rFonts w:cstheme="minorHAnsi"/>
          <w:iCs/>
          <w:sz w:val="20"/>
        </w:rPr>
        <w:t xml:space="preserve">Pour information, la note N1 sera calculée sur la base de cette performance de décarbonation, qui sera révisée par l’ADEME. </w:t>
      </w:r>
      <w:r>
        <w:rPr>
          <w:rFonts w:cs="Segoe UI"/>
          <w:sz w:val="20"/>
        </w:rPr>
        <w:t>Pour ce calcul</w:t>
      </w:r>
      <w:r w:rsidR="00626281">
        <w:rPr>
          <w:rFonts w:cs="Segoe UI"/>
          <w:sz w:val="20"/>
        </w:rPr>
        <w:t>,</w:t>
      </w:r>
      <w:r>
        <w:rPr>
          <w:rFonts w:cs="Segoe UI"/>
          <w:sz w:val="20"/>
        </w:rPr>
        <w:t xml:space="preserve"> sera retenue la valeur minimale entre la performance de décarbonation proposée initialement par le porteur et celle révisée </w:t>
      </w:r>
      <w:r>
        <w:rPr>
          <w:rFonts w:cs="Segoe UI"/>
          <w:sz w:val="20"/>
        </w:rPr>
        <w:lastRenderedPageBreak/>
        <w:t>par l’ADEME. Les porteurs de projet sont donc appelés à proposer</w:t>
      </w:r>
      <w:r w:rsidR="00626281">
        <w:rPr>
          <w:rFonts w:cs="Segoe UI"/>
          <w:sz w:val="20"/>
        </w:rPr>
        <w:t>,</w:t>
      </w:r>
      <w:r>
        <w:rPr>
          <w:rFonts w:cs="Segoe UI"/>
          <w:sz w:val="20"/>
        </w:rPr>
        <w:t xml:space="preserve"> lors du dépôt de dossier</w:t>
      </w:r>
      <w:r w:rsidR="00626281">
        <w:rPr>
          <w:rFonts w:cs="Segoe UI"/>
          <w:sz w:val="20"/>
        </w:rPr>
        <w:t>,</w:t>
      </w:r>
      <w:r>
        <w:rPr>
          <w:rFonts w:cs="Segoe UI"/>
          <w:sz w:val="20"/>
        </w:rPr>
        <w:t xml:space="preserve"> des performances de décarbonation précises, vérifiées et non-surestimées.</w:t>
      </w:r>
    </w:p>
    <w:p w14:paraId="109FCD8E" w14:textId="77777777" w:rsidR="00EC12E3" w:rsidRDefault="00EC12E3">
      <w:pPr>
        <w:ind w:left="0" w:firstLine="0"/>
        <w:jc w:val="both"/>
        <w:rPr>
          <w:rFonts w:cs="Segoe UI"/>
          <w:sz w:val="20"/>
        </w:rPr>
      </w:pPr>
    </w:p>
    <w:p w14:paraId="696B482A" w14:textId="77777777" w:rsidR="00652D99" w:rsidRDefault="00652D99">
      <w:pPr>
        <w:ind w:left="0" w:firstLine="0"/>
        <w:jc w:val="both"/>
        <w:rPr>
          <w:rFonts w:cstheme="minorHAnsi"/>
          <w:iCs/>
          <w:sz w:val="20"/>
        </w:rPr>
      </w:pPr>
    </w:p>
    <w:p w14:paraId="53BC6A78" w14:textId="518F9ED6" w:rsidR="00652D99" w:rsidRPr="00B25438" w:rsidRDefault="00D011FB">
      <w:pPr>
        <w:pStyle w:val="Titre2"/>
        <w:ind w:left="0" w:firstLine="0"/>
        <w:rPr>
          <w:rFonts w:cstheme="minorHAnsi"/>
          <w:b/>
          <w:bCs/>
          <w:color w:val="4F81BD"/>
          <w:sz w:val="28"/>
          <w:szCs w:val="24"/>
          <w:highlight w:val="white"/>
        </w:rPr>
      </w:pPr>
      <w:bookmarkStart w:id="15" w:name="_Toc153893249"/>
      <w:r>
        <w:rPr>
          <w:rFonts w:cstheme="minorHAnsi"/>
          <w:b/>
          <w:bCs/>
          <w:color w:val="4F81BD" w:themeColor="accent1"/>
          <w:sz w:val="28"/>
          <w:szCs w:val="24"/>
        </w:rPr>
        <w:t>Eléments pour évaluation de la note N2</w:t>
      </w:r>
      <w:r w:rsidR="00626281">
        <w:rPr>
          <w:rFonts w:cstheme="minorHAnsi"/>
          <w:b/>
          <w:bCs/>
          <w:color w:val="4F81BD" w:themeColor="accent1"/>
          <w:sz w:val="28"/>
          <w:szCs w:val="24"/>
          <w:highlight w:val="white"/>
        </w:rPr>
        <w:t xml:space="preserve">, </w:t>
      </w:r>
      <w:r>
        <w:rPr>
          <w:rFonts w:cstheme="minorHAnsi"/>
          <w:b/>
          <w:bCs/>
          <w:color w:val="4F81BD" w:themeColor="accent1"/>
          <w:sz w:val="28"/>
          <w:szCs w:val="24"/>
          <w:highlight w:val="white"/>
        </w:rPr>
        <w:t xml:space="preserve">relative à l’ambition </w:t>
      </w:r>
      <w:r w:rsidR="00626281">
        <w:rPr>
          <w:rFonts w:cstheme="minorHAnsi"/>
          <w:b/>
          <w:bCs/>
          <w:color w:val="4F81BD" w:themeColor="accent1"/>
          <w:sz w:val="28"/>
          <w:szCs w:val="24"/>
          <w:highlight w:val="white"/>
        </w:rPr>
        <w:t>du projet en terme</w:t>
      </w:r>
      <w:r w:rsidR="00B25438">
        <w:rPr>
          <w:rFonts w:cstheme="minorHAnsi"/>
          <w:b/>
          <w:bCs/>
          <w:color w:val="4F81BD" w:themeColor="accent1"/>
          <w:sz w:val="28"/>
          <w:szCs w:val="24"/>
          <w:highlight w:val="white"/>
        </w:rPr>
        <w:t>s</w:t>
      </w:r>
      <w:r w:rsidR="00626281">
        <w:rPr>
          <w:rFonts w:cstheme="minorHAnsi"/>
          <w:b/>
          <w:bCs/>
          <w:color w:val="4F81BD" w:themeColor="accent1"/>
          <w:sz w:val="28"/>
          <w:szCs w:val="24"/>
          <w:highlight w:val="white"/>
        </w:rPr>
        <w:t xml:space="preserve"> </w:t>
      </w:r>
      <w:r>
        <w:rPr>
          <w:rFonts w:cstheme="minorHAnsi"/>
          <w:b/>
          <w:bCs/>
          <w:color w:val="4F81BD" w:themeColor="accent1"/>
          <w:sz w:val="28"/>
          <w:szCs w:val="24"/>
          <w:highlight w:val="white"/>
        </w:rPr>
        <w:t>de décarbonation de l’industrie</w:t>
      </w:r>
      <w:bookmarkEnd w:id="15"/>
      <w:r>
        <w:rPr>
          <w:rFonts w:cstheme="minorHAnsi"/>
          <w:b/>
          <w:bCs/>
          <w:color w:val="4F81BD" w:themeColor="accent1"/>
          <w:sz w:val="28"/>
          <w:szCs w:val="24"/>
          <w:highlight w:val="white"/>
        </w:rPr>
        <w:t xml:space="preserve"> </w:t>
      </w:r>
    </w:p>
    <w:p w14:paraId="7811AFA4" w14:textId="77777777" w:rsidR="00652D99" w:rsidRDefault="00652D99">
      <w:pPr>
        <w:ind w:left="0" w:firstLine="0"/>
        <w:rPr>
          <w:lang w:eastAsia="en-US"/>
        </w:rPr>
      </w:pPr>
    </w:p>
    <w:p w14:paraId="598C14A6" w14:textId="77777777" w:rsidR="00652D99" w:rsidRDefault="00D011FB">
      <w:pPr>
        <w:pStyle w:val="Titre3"/>
        <w:rPr>
          <w:rFonts w:ascii="Marianne" w:hAnsi="Marianne"/>
          <w:b/>
          <w:bCs/>
          <w:color w:val="4F81BD"/>
        </w:rPr>
      </w:pPr>
      <w:bookmarkStart w:id="16" w:name="_Toc153893250"/>
      <w:r>
        <w:rPr>
          <w:rFonts w:ascii="Marianne" w:hAnsi="Marianne"/>
          <w:b/>
          <w:bCs/>
          <w:color w:val="4F81BD" w:themeColor="accent1"/>
        </w:rPr>
        <w:t>Eléments pour évaluation de la sous-note N2A d’ambition technologique</w:t>
      </w:r>
      <w:bookmarkEnd w:id="16"/>
    </w:p>
    <w:p w14:paraId="6E00F7B3" w14:textId="77777777" w:rsidR="00652D99" w:rsidRDefault="00652D99">
      <w:pPr>
        <w:ind w:left="0" w:firstLine="0"/>
        <w:jc w:val="both"/>
        <w:rPr>
          <w:sz w:val="20"/>
          <w:lang w:eastAsia="en-US"/>
        </w:rPr>
      </w:pPr>
    </w:p>
    <w:p w14:paraId="362B6E3C" w14:textId="2E19D85C" w:rsidR="00652D99" w:rsidRDefault="00D011FB">
      <w:pPr>
        <w:ind w:left="0" w:firstLine="0"/>
        <w:jc w:val="both"/>
        <w:rPr>
          <w:sz w:val="20"/>
          <w:lang w:eastAsia="en-US"/>
        </w:rPr>
      </w:pPr>
      <w:r>
        <w:rPr>
          <w:sz w:val="20"/>
          <w:lang w:eastAsia="en-US"/>
        </w:rPr>
        <w:t xml:space="preserve">Comme présenté dans le Cahier des Charges de cet AAP, il est attendu </w:t>
      </w:r>
      <w:r w:rsidR="00962F88">
        <w:rPr>
          <w:rFonts w:cs="Segoe UI"/>
          <w:sz w:val="20"/>
        </w:rPr>
        <w:t xml:space="preserve">dans le cadre ci-dessous </w:t>
      </w:r>
      <w:r w:rsidR="00962F88">
        <w:rPr>
          <w:sz w:val="20"/>
          <w:lang w:eastAsia="en-US"/>
        </w:rPr>
        <w:t>une présentation</w:t>
      </w:r>
      <w:r w:rsidR="00B25438">
        <w:rPr>
          <w:sz w:val="20"/>
          <w:lang w:eastAsia="en-US"/>
        </w:rPr>
        <w:t xml:space="preserve"> </w:t>
      </w:r>
      <w:r w:rsidR="00962F88">
        <w:rPr>
          <w:sz w:val="20"/>
          <w:lang w:eastAsia="en-US"/>
        </w:rPr>
        <w:t>d</w:t>
      </w:r>
      <w:r>
        <w:rPr>
          <w:sz w:val="20"/>
          <w:lang w:eastAsia="en-US"/>
        </w:rPr>
        <w:t xml:space="preserve">es technologies mises en place dans le cadre </w:t>
      </w:r>
      <w:r w:rsidR="00962F88">
        <w:rPr>
          <w:sz w:val="20"/>
          <w:lang w:eastAsia="en-US"/>
        </w:rPr>
        <w:t>du</w:t>
      </w:r>
      <w:r>
        <w:rPr>
          <w:sz w:val="20"/>
          <w:lang w:eastAsia="en-US"/>
        </w:rPr>
        <w:t xml:space="preserve"> projet</w:t>
      </w:r>
      <w:r w:rsidR="00962F88">
        <w:rPr>
          <w:rFonts w:ascii="Calibri" w:hAnsi="Calibri" w:cs="Calibri"/>
          <w:sz w:val="20"/>
          <w:lang w:eastAsia="en-US"/>
        </w:rPr>
        <w:t> </w:t>
      </w:r>
      <w:r w:rsidR="00962F88">
        <w:rPr>
          <w:sz w:val="20"/>
          <w:lang w:eastAsia="en-US"/>
        </w:rPr>
        <w:t>; ainsi qu’une explication du caractère clé de</w:t>
      </w:r>
      <w:r w:rsidR="00B25438">
        <w:rPr>
          <w:sz w:val="20"/>
          <w:lang w:eastAsia="en-US"/>
        </w:rPr>
        <w:t xml:space="preserve"> </w:t>
      </w:r>
      <w:r>
        <w:rPr>
          <w:sz w:val="20"/>
          <w:lang w:eastAsia="en-US"/>
        </w:rPr>
        <w:t>tout ou partie de ces technologies pour la décarbonation de l’industrie, en s’appuyant notamment sur l’</w:t>
      </w:r>
      <w:r>
        <w:rPr>
          <w:sz w:val="20"/>
          <w:lang w:eastAsia="en-US"/>
        </w:rPr>
        <w:fldChar w:fldCharType="begin"/>
      </w:r>
      <w:r>
        <w:rPr>
          <w:sz w:val="20"/>
          <w:lang w:eastAsia="en-US"/>
        </w:rPr>
        <w:instrText xml:space="preserve"> REF _Ref127280654 \h  \* MERGEFORMAT </w:instrText>
      </w:r>
      <w:r>
        <w:rPr>
          <w:sz w:val="20"/>
          <w:lang w:eastAsia="en-US"/>
        </w:rPr>
      </w:r>
      <w:r>
        <w:rPr>
          <w:sz w:val="20"/>
          <w:lang w:eastAsia="en-US"/>
        </w:rPr>
        <w:fldChar w:fldCharType="separate"/>
      </w:r>
      <w:r w:rsidRPr="00D011FB">
        <w:rPr>
          <w:sz w:val="20"/>
          <w:lang w:eastAsia="en-US"/>
        </w:rPr>
        <w:t>Annexe 2</w:t>
      </w:r>
      <w:r>
        <w:rPr>
          <w:sz w:val="20"/>
          <w:lang w:eastAsia="en-US"/>
        </w:rPr>
        <w:fldChar w:fldCharType="end"/>
      </w:r>
      <w:r>
        <w:rPr>
          <w:sz w:val="20"/>
          <w:lang w:eastAsia="en-US"/>
        </w:rPr>
        <w:t xml:space="preserve"> de ce </w:t>
      </w:r>
      <w:r w:rsidR="00962F88">
        <w:rPr>
          <w:sz w:val="20"/>
          <w:lang w:eastAsia="en-US"/>
        </w:rPr>
        <w:t>V</w:t>
      </w:r>
      <w:r>
        <w:rPr>
          <w:sz w:val="20"/>
          <w:lang w:eastAsia="en-US"/>
        </w:rPr>
        <w:t xml:space="preserve">olet </w:t>
      </w:r>
      <w:r w:rsidR="00962F88">
        <w:rPr>
          <w:sz w:val="20"/>
          <w:lang w:eastAsia="en-US"/>
        </w:rPr>
        <w:t>T</w:t>
      </w:r>
      <w:r>
        <w:rPr>
          <w:sz w:val="20"/>
          <w:lang w:eastAsia="en-US"/>
        </w:rPr>
        <w:t>echnique.</w:t>
      </w:r>
    </w:p>
    <w:p w14:paraId="3B30D654" w14:textId="77777777" w:rsidR="00652D99" w:rsidRDefault="00652D99">
      <w:pPr>
        <w:ind w:left="0" w:firstLine="0"/>
        <w:jc w:val="both"/>
        <w:rPr>
          <w:sz w:val="20"/>
          <w:lang w:eastAsia="en-US"/>
        </w:rPr>
      </w:pPr>
    </w:p>
    <w:p w14:paraId="5B9B28E2" w14:textId="1BFEE08A" w:rsidR="00652D99" w:rsidRDefault="00D011FB">
      <w:pPr>
        <w:ind w:left="0" w:firstLine="0"/>
        <w:jc w:val="both"/>
        <w:rPr>
          <w:sz w:val="20"/>
          <w:lang w:eastAsia="en-US"/>
        </w:rPr>
      </w:pPr>
      <w:r>
        <w:rPr>
          <w:sz w:val="20"/>
          <w:lang w:eastAsia="en-US"/>
        </w:rPr>
        <w:t>Le porteur de projet pourra aussi faire la démonstration du caractère clé d’une technologie utilisée si celle-ci ne figure pas dans l’</w:t>
      </w:r>
      <w:r>
        <w:rPr>
          <w:sz w:val="20"/>
          <w:lang w:eastAsia="en-US"/>
        </w:rPr>
        <w:fldChar w:fldCharType="begin"/>
      </w:r>
      <w:r>
        <w:rPr>
          <w:sz w:val="20"/>
          <w:lang w:eastAsia="en-US"/>
        </w:rPr>
        <w:instrText xml:space="preserve"> REF _Ref127280654 \h  \* MERGEFORMAT </w:instrText>
      </w:r>
      <w:r>
        <w:rPr>
          <w:sz w:val="20"/>
          <w:lang w:eastAsia="en-US"/>
        </w:rPr>
      </w:r>
      <w:r>
        <w:rPr>
          <w:sz w:val="20"/>
          <w:lang w:eastAsia="en-US"/>
        </w:rPr>
        <w:fldChar w:fldCharType="separate"/>
      </w:r>
      <w:r w:rsidRPr="00D011FB">
        <w:rPr>
          <w:sz w:val="20"/>
          <w:lang w:eastAsia="en-US"/>
        </w:rPr>
        <w:t>Annexe 2</w:t>
      </w:r>
      <w:r>
        <w:rPr>
          <w:sz w:val="20"/>
          <w:lang w:eastAsia="en-US"/>
        </w:rPr>
        <w:fldChar w:fldCharType="end"/>
      </w:r>
      <w:r>
        <w:rPr>
          <w:sz w:val="20"/>
          <w:lang w:eastAsia="en-US"/>
        </w:rPr>
        <w:t xml:space="preserve"> de ce </w:t>
      </w:r>
      <w:r w:rsidR="00962F88">
        <w:rPr>
          <w:sz w:val="20"/>
          <w:lang w:eastAsia="en-US"/>
        </w:rPr>
        <w:t>V</w:t>
      </w:r>
      <w:r>
        <w:rPr>
          <w:sz w:val="20"/>
          <w:lang w:eastAsia="en-US"/>
        </w:rPr>
        <w:t xml:space="preserve">olet </w:t>
      </w:r>
      <w:r w:rsidR="00962F88">
        <w:rPr>
          <w:sz w:val="20"/>
          <w:lang w:eastAsia="en-US"/>
        </w:rPr>
        <w:t>T</w:t>
      </w:r>
      <w:r>
        <w:rPr>
          <w:sz w:val="20"/>
          <w:lang w:eastAsia="en-US"/>
        </w:rPr>
        <w:t xml:space="preserve">echnique, notamment si celle-ci constitue une première industrielle </w:t>
      </w:r>
      <w:r w:rsidR="00962F88">
        <w:rPr>
          <w:sz w:val="20"/>
          <w:lang w:eastAsia="en-US"/>
        </w:rPr>
        <w:t xml:space="preserve">au regard des </w:t>
      </w:r>
      <w:r>
        <w:rPr>
          <w:sz w:val="20"/>
          <w:lang w:eastAsia="en-US"/>
        </w:rPr>
        <w:t xml:space="preserve">pratiques actuelles de décarbonation des activités industrielles. </w:t>
      </w:r>
    </w:p>
    <w:p w14:paraId="6A7C542B" w14:textId="77777777" w:rsidR="00652D99" w:rsidRDefault="00652D99">
      <w:pPr>
        <w:ind w:left="0" w:firstLine="0"/>
        <w:jc w:val="both"/>
        <w:rPr>
          <w:sz w:val="20"/>
          <w:lang w:eastAsia="en-US"/>
        </w:rPr>
      </w:pPr>
    </w:p>
    <w:p w14:paraId="3EB5EF4E" w14:textId="77777777" w:rsidR="00652D99" w:rsidRDefault="00D011FB">
      <w:pPr>
        <w:ind w:left="0" w:firstLine="0"/>
        <w:jc w:val="both"/>
        <w:rPr>
          <w:rFonts w:cs="Segoe UI"/>
          <w:sz w:val="20"/>
        </w:rPr>
      </w:pPr>
      <w:r>
        <w:rPr>
          <w:sz w:val="20"/>
          <w:lang w:eastAsia="en-US"/>
        </w:rPr>
        <w:t xml:space="preserve">Ces éléments permettront à l’opérateur et aux </w:t>
      </w:r>
      <w:r>
        <w:rPr>
          <w:rFonts w:cs="Segoe UI"/>
          <w:sz w:val="20"/>
        </w:rPr>
        <w:t>experts externes mandatés dans le cadre de la gouvernance France 2030 d’évaluer l’ambition technologique du projet et d’octroyer une note N2A de 1, 2, 3, 4 ou 5 points.</w:t>
      </w:r>
    </w:p>
    <w:p w14:paraId="64AA5C93" w14:textId="77777777" w:rsidR="00652D99" w:rsidRDefault="00652D99">
      <w:pPr>
        <w:ind w:left="0" w:firstLine="0"/>
        <w:rPr>
          <w:lang w:eastAsia="en-US"/>
        </w:rPr>
      </w:pPr>
    </w:p>
    <w:p w14:paraId="76AE5A0D"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19C19F15"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3400B3E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A03A05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82B964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B32009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84E2515"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8F16A3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085E800"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6C221E2A"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3EC2D1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68B951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3E462CE"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BAF80E9"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36F118BA"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A4E663E"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0CB54E17"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2817B9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C6FCC70"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802CA71"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E1D1E27"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E1A947D" w14:textId="77777777" w:rsidR="00652D99" w:rsidRDefault="00D011FB">
      <w:pPr>
        <w:spacing w:after="100"/>
        <w:rPr>
          <w:lang w:eastAsia="en-US"/>
        </w:rPr>
      </w:pPr>
      <w:r>
        <w:rPr>
          <w:lang w:eastAsia="en-US"/>
        </w:rPr>
        <w:br w:type="page" w:clear="all"/>
      </w:r>
    </w:p>
    <w:p w14:paraId="4CBF3C7A" w14:textId="77777777" w:rsidR="00652D99" w:rsidRDefault="00D011FB">
      <w:pPr>
        <w:pStyle w:val="Titre3"/>
        <w:rPr>
          <w:rFonts w:ascii="Marianne" w:hAnsi="Marianne"/>
          <w:b/>
          <w:bCs/>
          <w:color w:val="4F81BD"/>
        </w:rPr>
      </w:pPr>
      <w:bookmarkStart w:id="17" w:name="_Toc153893251"/>
      <w:r>
        <w:rPr>
          <w:rFonts w:ascii="Marianne" w:hAnsi="Marianne"/>
          <w:b/>
          <w:bCs/>
          <w:color w:val="4F81BD" w:themeColor="accent1"/>
        </w:rPr>
        <w:lastRenderedPageBreak/>
        <w:t>Eléments pour évaluation de la sous-note N2B de cohérence du projet avec une trajectoire ambitieuse de décarbonation aux horizons 2030 et 2050</w:t>
      </w:r>
      <w:bookmarkEnd w:id="17"/>
      <w:r>
        <w:rPr>
          <w:rFonts w:ascii="Marianne" w:hAnsi="Marianne"/>
          <w:b/>
          <w:bCs/>
          <w:color w:val="4F81BD" w:themeColor="accent1"/>
        </w:rPr>
        <w:t xml:space="preserve"> </w:t>
      </w:r>
    </w:p>
    <w:p w14:paraId="5F7FEF95" w14:textId="77777777" w:rsidR="00652D99" w:rsidRDefault="00652D99">
      <w:pPr>
        <w:ind w:left="0" w:firstLine="0"/>
        <w:rPr>
          <w:sz w:val="20"/>
          <w:szCs w:val="18"/>
          <w:lang w:eastAsia="en-US"/>
        </w:rPr>
      </w:pPr>
    </w:p>
    <w:p w14:paraId="4A170A1C" w14:textId="77777777" w:rsidR="00652D99" w:rsidRDefault="00D011FB">
      <w:pPr>
        <w:ind w:left="0" w:firstLine="0"/>
        <w:jc w:val="both"/>
        <w:rPr>
          <w:sz w:val="20"/>
        </w:rPr>
      </w:pPr>
      <w:r>
        <w:rPr>
          <w:sz w:val="20"/>
          <w:lang w:eastAsia="en-US"/>
        </w:rPr>
        <w:t>Comme présenté dans le Cahier des Charges de cet AAP</w:t>
      </w:r>
      <w:r>
        <w:rPr>
          <w:rFonts w:cs="Segoe UI"/>
          <w:sz w:val="20"/>
        </w:rPr>
        <w:t>, il est attendu du porteur de projet de présenter dans le cadre ci-dessous</w:t>
      </w:r>
      <w:r>
        <w:rPr>
          <w:sz w:val="20"/>
        </w:rPr>
        <w:t xml:space="preserve"> la pertinence de son projet par rapport à la trajectoire de décarbonation du site/de l’entreprise/du groupe</w:t>
      </w:r>
      <w:r>
        <w:rPr>
          <w:rStyle w:val="Appelnotedebasdep"/>
          <w:sz w:val="20"/>
          <w:highlight w:val="white"/>
        </w:rPr>
        <w:footnoteReference w:id="1"/>
      </w:r>
      <w:r>
        <w:rPr>
          <w:sz w:val="20"/>
        </w:rPr>
        <w:t>, et plus largement par rapport aux objectifs nationaux de décarbonation de l’industrie. Seront notamment pris en compte :</w:t>
      </w:r>
    </w:p>
    <w:p w14:paraId="40283942" w14:textId="77777777" w:rsidR="00652D99" w:rsidRDefault="00D011FB" w:rsidP="00426530">
      <w:pPr>
        <w:pStyle w:val="Paragraphedeliste"/>
        <w:numPr>
          <w:ilvl w:val="0"/>
          <w:numId w:val="10"/>
        </w:numPr>
        <w:jc w:val="both"/>
        <w:rPr>
          <w:sz w:val="20"/>
        </w:rPr>
      </w:pPr>
      <w:r>
        <w:rPr>
          <w:sz w:val="20"/>
        </w:rPr>
        <w:t>La cohérence du projet vis-à-vis de la trajectoire du site et des leviers de décarbonation identifiés pour la filière</w:t>
      </w:r>
      <w:r>
        <w:rPr>
          <w:rFonts w:ascii="Calibri" w:hAnsi="Calibri" w:cs="Calibri"/>
          <w:sz w:val="20"/>
        </w:rPr>
        <w:t> </w:t>
      </w:r>
      <w:r>
        <w:rPr>
          <w:sz w:val="20"/>
        </w:rPr>
        <w:t xml:space="preserve">; </w:t>
      </w:r>
    </w:p>
    <w:p w14:paraId="6229640E" w14:textId="739700F9" w:rsidR="00652D99" w:rsidRDefault="00D011FB" w:rsidP="00426530">
      <w:pPr>
        <w:pStyle w:val="Paragraphedeliste"/>
        <w:numPr>
          <w:ilvl w:val="0"/>
          <w:numId w:val="10"/>
        </w:numPr>
        <w:jc w:val="both"/>
        <w:rPr>
          <w:sz w:val="20"/>
        </w:rPr>
      </w:pPr>
      <w:r>
        <w:rPr>
          <w:sz w:val="20"/>
        </w:rPr>
        <w:t xml:space="preserve">L’ampleur de </w:t>
      </w:r>
      <w:r w:rsidR="00962F88">
        <w:rPr>
          <w:sz w:val="20"/>
        </w:rPr>
        <w:t>la</w:t>
      </w:r>
      <w:r>
        <w:rPr>
          <w:sz w:val="20"/>
        </w:rPr>
        <w:t xml:space="preserve"> réduction d</w:t>
      </w:r>
      <w:r w:rsidR="00962F88">
        <w:rPr>
          <w:sz w:val="20"/>
        </w:rPr>
        <w:t xml:space="preserve">es </w:t>
      </w:r>
      <w:r>
        <w:rPr>
          <w:sz w:val="20"/>
        </w:rPr>
        <w:t>émissions de GES permise par le projet.</w:t>
      </w:r>
    </w:p>
    <w:p w14:paraId="68F04713" w14:textId="77777777" w:rsidR="00652D99" w:rsidRDefault="00652D99">
      <w:pPr>
        <w:ind w:left="0" w:firstLine="0"/>
        <w:jc w:val="both"/>
        <w:rPr>
          <w:sz w:val="20"/>
        </w:rPr>
      </w:pPr>
    </w:p>
    <w:p w14:paraId="64E38382" w14:textId="799525F0" w:rsidR="00652D99" w:rsidRDefault="00D011FB">
      <w:pPr>
        <w:ind w:left="0" w:firstLine="0"/>
        <w:jc w:val="both"/>
        <w:rPr>
          <w:sz w:val="20"/>
        </w:rPr>
      </w:pPr>
      <w:r>
        <w:rPr>
          <w:sz w:val="20"/>
        </w:rPr>
        <w:t>Pour les demandes d’aides supérieures à 10</w:t>
      </w:r>
      <w:r w:rsidR="003F50BB">
        <w:rPr>
          <w:sz w:val="20"/>
        </w:rPr>
        <w:t xml:space="preserve"> </w:t>
      </w:r>
      <w:r>
        <w:rPr>
          <w:sz w:val="20"/>
        </w:rPr>
        <w:t>M€, le porteur de projet devra s’appuyer sur l’évaluation de la trajectoire de décarbonation de l’entreprise</w:t>
      </w:r>
      <w:r w:rsidR="00962F88" w:rsidRPr="00962F88">
        <w:rPr>
          <w:sz w:val="20"/>
        </w:rPr>
        <w:t xml:space="preserve"> </w:t>
      </w:r>
      <w:r w:rsidR="00962F88">
        <w:rPr>
          <w:sz w:val="20"/>
        </w:rPr>
        <w:t>remise lors du dépôt de dossier et</w:t>
      </w:r>
      <w:r>
        <w:rPr>
          <w:sz w:val="20"/>
        </w:rPr>
        <w:t xml:space="preserve"> réalisée selon une méthodologie telle que la méthodologie « </w:t>
      </w:r>
      <w:r>
        <w:rPr>
          <w:sz w:val="20"/>
          <w:highlight w:val="white"/>
        </w:rPr>
        <w:t>ACT évaluation »</w:t>
      </w:r>
      <w:r>
        <w:rPr>
          <w:rStyle w:val="Appelnotedebasdep"/>
          <w:sz w:val="20"/>
          <w:highlight w:val="white"/>
        </w:rPr>
        <w:footnoteReference w:id="2"/>
      </w:r>
      <w:r w:rsidR="00962F88">
        <w:rPr>
          <w:sz w:val="20"/>
        </w:rPr>
        <w:t>.</w:t>
      </w:r>
    </w:p>
    <w:p w14:paraId="323766A3" w14:textId="77777777" w:rsidR="00652D99" w:rsidRDefault="00652D99">
      <w:pPr>
        <w:jc w:val="both"/>
        <w:rPr>
          <w:sz w:val="20"/>
        </w:rPr>
      </w:pPr>
    </w:p>
    <w:p w14:paraId="12693FED" w14:textId="2C5D9113" w:rsidR="00652D99" w:rsidRDefault="00D011FB">
      <w:pPr>
        <w:ind w:left="0" w:firstLine="0"/>
        <w:jc w:val="both"/>
        <w:rPr>
          <w:rFonts w:cs="Segoe UI"/>
          <w:sz w:val="20"/>
          <w:highlight w:val="white"/>
        </w:rPr>
      </w:pPr>
      <w:r>
        <w:rPr>
          <w:sz w:val="20"/>
          <w:lang w:eastAsia="en-US"/>
        </w:rPr>
        <w:t xml:space="preserve">Ces éléments permettront à l’opérateur et aux </w:t>
      </w:r>
      <w:r>
        <w:rPr>
          <w:rFonts w:cs="Segoe UI"/>
          <w:sz w:val="20"/>
        </w:rPr>
        <w:t xml:space="preserve">experts externes mandatés dans le cadre de la gouvernance France 2030 d’évaluer la cohérence du projet avec une trajectoire ambitieuse de décarbonation à long-terme (horizon 2050) et d’octroyer une note N2B de 1, 2, 3, 4, 5 ou 6 </w:t>
      </w:r>
      <w:r>
        <w:rPr>
          <w:rFonts w:cs="Segoe UI"/>
          <w:sz w:val="20"/>
          <w:highlight w:val="white"/>
        </w:rPr>
        <w:t>points.</w:t>
      </w:r>
    </w:p>
    <w:p w14:paraId="6AC6303A" w14:textId="77777777" w:rsidR="00652D99" w:rsidRDefault="00652D99">
      <w:pPr>
        <w:ind w:left="0" w:firstLine="0"/>
        <w:rPr>
          <w:sz w:val="20"/>
          <w:szCs w:val="18"/>
          <w:lang w:eastAsia="en-US"/>
        </w:rPr>
      </w:pPr>
    </w:p>
    <w:p w14:paraId="503505B3"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1D287BC5"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352102F1"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E7AB13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3EE5B42"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A2FD49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7FC3227"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11CAEC0"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0468D884"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546EE7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D37DD2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32C9774"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0BB3F5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A7AC74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33C99C2"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6E377B9"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6F74E2A6"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227F077"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0140F04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334FA98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227FEB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3642AF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4D1B59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40E6E99" w14:textId="77777777" w:rsidR="00652D99" w:rsidRDefault="00D011FB">
      <w:pPr>
        <w:pStyle w:val="Titre1"/>
        <w:keepLines/>
        <w:numPr>
          <w:ilvl w:val="0"/>
          <w:numId w:val="1"/>
        </w:numPr>
        <w:shd w:val="clear" w:color="auto" w:fill="auto"/>
        <w:spacing w:before="0" w:after="0" w:line="259" w:lineRule="auto"/>
        <w:ind w:left="360" w:hanging="360"/>
        <w:rPr>
          <w:rFonts w:eastAsia="Arial" w:cs="Times New Roman"/>
          <w:smallCaps w:val="0"/>
          <w:color w:val="4F81BD"/>
          <w:sz w:val="20"/>
          <w:szCs w:val="32"/>
        </w:rPr>
      </w:pPr>
      <w:bookmarkStart w:id="18" w:name="_Toc153893252"/>
      <w:r>
        <w:rPr>
          <w:rFonts w:eastAsia="Arial" w:cs="Times New Roman"/>
          <w:smallCaps w:val="0"/>
          <w:color w:val="4F81BD" w:themeColor="accent1"/>
          <w:szCs w:val="32"/>
        </w:rPr>
        <w:lastRenderedPageBreak/>
        <w:t>Engagements du Bénéficiaire</w:t>
      </w:r>
      <w:bookmarkEnd w:id="18"/>
    </w:p>
    <w:p w14:paraId="48B5B76D" w14:textId="77777777" w:rsidR="00652D99" w:rsidRDefault="00652D99">
      <w:pPr>
        <w:ind w:left="0" w:firstLine="0"/>
        <w:rPr>
          <w:rFonts w:cstheme="minorHAnsi"/>
          <w:sz w:val="20"/>
          <w:lang w:eastAsia="en-US"/>
        </w:rPr>
      </w:pPr>
    </w:p>
    <w:p w14:paraId="7E4AB440" w14:textId="77777777" w:rsidR="00652D99" w:rsidRDefault="00D011FB">
      <w:pPr>
        <w:tabs>
          <w:tab w:val="left" w:pos="720"/>
        </w:tabs>
        <w:ind w:left="0" w:firstLine="0"/>
        <w:jc w:val="both"/>
        <w:rPr>
          <w:rFonts w:cstheme="minorHAnsi"/>
          <w:sz w:val="20"/>
        </w:rPr>
      </w:pPr>
      <w:r>
        <w:rPr>
          <w:rFonts w:cstheme="minorHAnsi"/>
          <w:sz w:val="20"/>
        </w:rPr>
        <w:t xml:space="preserve">Le projet doit respecter toutes les lois et normes applicables et le Bénéficiaire doit obtenir toutes les autorisations administratives nécessaires relatives à la conformité des installations. </w:t>
      </w:r>
    </w:p>
    <w:p w14:paraId="12F1EB6C" w14:textId="77777777" w:rsidR="00652D99" w:rsidRDefault="00652D99">
      <w:pPr>
        <w:tabs>
          <w:tab w:val="left" w:pos="720"/>
        </w:tabs>
        <w:ind w:left="0" w:firstLine="0"/>
        <w:jc w:val="both"/>
        <w:rPr>
          <w:rFonts w:cstheme="minorHAnsi"/>
          <w:sz w:val="20"/>
        </w:rPr>
      </w:pPr>
    </w:p>
    <w:p w14:paraId="65E13E90" w14:textId="661CF609" w:rsidR="00652D99" w:rsidRDefault="00D011FB">
      <w:pPr>
        <w:tabs>
          <w:tab w:val="left" w:pos="720"/>
        </w:tabs>
        <w:ind w:left="0" w:firstLine="0"/>
        <w:jc w:val="both"/>
        <w:rPr>
          <w:rFonts w:cstheme="minorHAnsi"/>
          <w:sz w:val="20"/>
        </w:rPr>
      </w:pPr>
      <w:r>
        <w:rPr>
          <w:rFonts w:cstheme="minorHAnsi"/>
          <w:sz w:val="20"/>
        </w:rPr>
        <w:t>Par ailleurs, si le projet est retenu, le Bénéficiaire doit s’engager sur les points suivants.</w:t>
      </w:r>
    </w:p>
    <w:p w14:paraId="0D29FA39" w14:textId="77777777" w:rsidR="00652D99" w:rsidRDefault="00652D99">
      <w:pPr>
        <w:tabs>
          <w:tab w:val="left" w:pos="720"/>
        </w:tabs>
        <w:ind w:left="0" w:firstLine="0"/>
        <w:jc w:val="both"/>
        <w:rPr>
          <w:rFonts w:cstheme="minorHAnsi"/>
          <w:sz w:val="20"/>
        </w:rPr>
      </w:pPr>
    </w:p>
    <w:p w14:paraId="1E71235E" w14:textId="77777777" w:rsidR="00652D99" w:rsidRDefault="00652D99">
      <w:pPr>
        <w:tabs>
          <w:tab w:val="left" w:pos="720"/>
        </w:tabs>
        <w:ind w:left="0" w:firstLine="0"/>
        <w:rPr>
          <w:rFonts w:cstheme="minorHAnsi"/>
          <w:sz w:val="20"/>
        </w:rPr>
      </w:pPr>
    </w:p>
    <w:p w14:paraId="75668BA3" w14:textId="77777777" w:rsidR="00652D99" w:rsidRDefault="00D011FB">
      <w:pPr>
        <w:pStyle w:val="Titre2"/>
        <w:ind w:left="0" w:firstLine="0"/>
        <w:rPr>
          <w:rFonts w:cstheme="minorHAnsi"/>
          <w:b/>
          <w:bCs/>
          <w:color w:val="4F81BD"/>
          <w:sz w:val="28"/>
          <w:szCs w:val="24"/>
        </w:rPr>
      </w:pPr>
      <w:bookmarkStart w:id="19" w:name="_Toc153893253"/>
      <w:r>
        <w:rPr>
          <w:rFonts w:cstheme="minorHAnsi"/>
          <w:b/>
          <w:bCs/>
          <w:color w:val="4F81BD" w:themeColor="accent1"/>
          <w:sz w:val="28"/>
          <w:szCs w:val="24"/>
        </w:rPr>
        <w:t>Engagement sur la performance de décarbonation</w:t>
      </w:r>
      <w:bookmarkEnd w:id="19"/>
    </w:p>
    <w:p w14:paraId="7A07D8C8" w14:textId="77777777" w:rsidR="00652D99" w:rsidRDefault="00652D99">
      <w:pPr>
        <w:ind w:left="0" w:firstLine="0"/>
        <w:jc w:val="both"/>
        <w:rPr>
          <w:rFonts w:cstheme="minorHAnsi"/>
          <w:sz w:val="20"/>
        </w:rPr>
      </w:pPr>
    </w:p>
    <w:p w14:paraId="1A147881" w14:textId="77777777" w:rsidR="00652D99" w:rsidRDefault="00D011FB">
      <w:pPr>
        <w:ind w:left="0" w:firstLine="0"/>
        <w:jc w:val="both"/>
        <w:rPr>
          <w:rFonts w:cstheme="minorHAnsi"/>
          <w:b/>
          <w:bCs/>
          <w:sz w:val="20"/>
        </w:rPr>
      </w:pPr>
      <w:r>
        <w:rPr>
          <w:rFonts w:cstheme="minorHAnsi"/>
          <w:sz w:val="20"/>
        </w:rPr>
        <w:t xml:space="preserve">Le Bénéficiaire s’engage sur une réduction annuelle de gaz à effet de serre à iso-production de ……………………………. </w:t>
      </w:r>
      <w:proofErr w:type="gramStart"/>
      <w:r>
        <w:rPr>
          <w:rFonts w:cstheme="minorHAnsi"/>
          <w:sz w:val="20"/>
        </w:rPr>
        <w:t>tCO</w:t>
      </w:r>
      <w:proofErr w:type="gramEnd"/>
      <w:r>
        <w:rPr>
          <w:rFonts w:cstheme="minorHAnsi"/>
          <w:sz w:val="20"/>
        </w:rPr>
        <w:t>2e/an</w:t>
      </w:r>
      <w:r>
        <w:rPr>
          <w:rFonts w:cstheme="minorHAnsi"/>
          <w:color w:val="000000"/>
          <w:sz w:val="20"/>
        </w:rPr>
        <w:t xml:space="preserve"> </w:t>
      </w:r>
      <w:r>
        <w:rPr>
          <w:rFonts w:cstheme="minorHAnsi"/>
          <w:sz w:val="20"/>
        </w:rPr>
        <w:t>par rapport à la situation initiale.</w:t>
      </w:r>
    </w:p>
    <w:p w14:paraId="1E5FAC7B" w14:textId="77777777" w:rsidR="00652D99" w:rsidRDefault="00652D99">
      <w:pPr>
        <w:tabs>
          <w:tab w:val="left" w:pos="720"/>
        </w:tabs>
        <w:ind w:left="0" w:firstLine="0"/>
        <w:jc w:val="both"/>
        <w:rPr>
          <w:rFonts w:cstheme="minorHAnsi"/>
          <w:sz w:val="20"/>
        </w:rPr>
      </w:pPr>
    </w:p>
    <w:p w14:paraId="5768A653" w14:textId="77777777" w:rsidR="00652D99" w:rsidRDefault="00D011FB">
      <w:pPr>
        <w:tabs>
          <w:tab w:val="left" w:pos="720"/>
        </w:tabs>
        <w:ind w:left="0" w:firstLine="0"/>
        <w:jc w:val="both"/>
        <w:rPr>
          <w:rFonts w:cstheme="minorHAnsi"/>
          <w:sz w:val="20"/>
        </w:rPr>
      </w:pPr>
      <w:r>
        <w:rPr>
          <w:rFonts w:cstheme="minorHAnsi"/>
          <w:sz w:val="20"/>
        </w:rPr>
        <w:t>Conformément à l’article 2.2 des règles générales</w:t>
      </w:r>
      <w:r>
        <w:rPr>
          <w:rStyle w:val="Appelnotedebasdep"/>
          <w:rFonts w:cstheme="minorHAnsi"/>
          <w:sz w:val="20"/>
        </w:rPr>
        <w:footnoteReference w:id="3"/>
      </w:r>
      <w:r>
        <w:rPr>
          <w:rFonts w:cstheme="minorHAnsi"/>
          <w:sz w:val="20"/>
        </w:rPr>
        <w:t>, l’ADEME pourra effectuer les contrôles nécessaires permettant de vérifier si les résultats techniques obtenus sont conformes aux objectifs.</w:t>
      </w:r>
    </w:p>
    <w:p w14:paraId="754F1625" w14:textId="77777777" w:rsidR="00652D99" w:rsidRDefault="00652D99">
      <w:pPr>
        <w:tabs>
          <w:tab w:val="left" w:pos="720"/>
        </w:tabs>
        <w:ind w:left="0" w:firstLine="0"/>
        <w:jc w:val="both"/>
        <w:rPr>
          <w:rFonts w:cstheme="minorHAnsi"/>
          <w:sz w:val="20"/>
        </w:rPr>
      </w:pPr>
    </w:p>
    <w:p w14:paraId="76118080" w14:textId="77777777" w:rsidR="00652D99" w:rsidRDefault="00D011FB">
      <w:pPr>
        <w:ind w:left="0" w:firstLine="0"/>
        <w:jc w:val="both"/>
        <w:rPr>
          <w:rFonts w:cstheme="minorHAnsi"/>
          <w:sz w:val="20"/>
        </w:rPr>
      </w:pPr>
      <w:r>
        <w:rPr>
          <w:rFonts w:cstheme="minorHAnsi"/>
          <w:sz w:val="20"/>
        </w:rPr>
        <w:t>Le Bénéficiaire s’engage à mettre en place l’instrumentation destinée à assurer le suivi du fonctionnement et des performances des installations pendant toute la durée de leur exploitation.</w:t>
      </w:r>
    </w:p>
    <w:p w14:paraId="187BA078" w14:textId="77777777" w:rsidR="00652D99" w:rsidRDefault="00D011FB">
      <w:pPr>
        <w:ind w:left="0" w:firstLine="0"/>
        <w:jc w:val="both"/>
        <w:rPr>
          <w:rFonts w:cstheme="minorHAnsi"/>
          <w:b/>
          <w:sz w:val="20"/>
        </w:rPr>
      </w:pPr>
      <w:r>
        <w:rPr>
          <w:rFonts w:cstheme="minorHAnsi"/>
          <w:sz w:val="20"/>
        </w:rPr>
        <w:t>L'installation et l'exploitation de comptage doivent se faire dans le respect de la réglementation applicable concernant les comptages transactionnels. Le</w:t>
      </w:r>
      <w:r>
        <w:rPr>
          <w:rFonts w:cstheme="minorHAnsi"/>
          <w:bCs/>
          <w:iCs/>
          <w:sz w:val="20"/>
        </w:rPr>
        <w:t xml:space="preserve"> Bénéficiaire en assurera obligatoirement les frais d’entretien et s’assurera de la validité des données mesurées.</w:t>
      </w:r>
    </w:p>
    <w:p w14:paraId="59C7D9B5" w14:textId="77777777" w:rsidR="00652D99" w:rsidRDefault="00652D99">
      <w:pPr>
        <w:tabs>
          <w:tab w:val="left" w:pos="720"/>
        </w:tabs>
        <w:ind w:left="0" w:firstLine="0"/>
        <w:jc w:val="both"/>
        <w:rPr>
          <w:rFonts w:cstheme="minorHAnsi"/>
          <w:sz w:val="20"/>
        </w:rPr>
      </w:pPr>
    </w:p>
    <w:p w14:paraId="62F7E4D8" w14:textId="77777777" w:rsidR="00652D99" w:rsidRDefault="00D011FB">
      <w:pPr>
        <w:tabs>
          <w:tab w:val="left" w:pos="720"/>
        </w:tabs>
        <w:ind w:left="0" w:firstLine="0"/>
        <w:jc w:val="both"/>
        <w:rPr>
          <w:rFonts w:cstheme="minorHAnsi"/>
          <w:sz w:val="20"/>
        </w:rPr>
      </w:pPr>
      <w:r>
        <w:rPr>
          <w:rFonts w:cstheme="minorHAnsi"/>
          <w:sz w:val="20"/>
        </w:rPr>
        <w:t>Le Bénéficiaire devra proposer une date de déclenchement de la mesure et vérification des performances dans un délai maximum de 6 mois après la mise en service de l’installation. La durée de la mesure et vérification devra durer 12 mois à partir de sa date de déclenchement. En cas de dysfonctionnement du système de comptage, l’ADEME se réserve le droit de suspendre le versement des aides et de demander la restitution des aides déjà attribuées.</w:t>
      </w:r>
    </w:p>
    <w:p w14:paraId="5B13287B" w14:textId="77777777" w:rsidR="00652D99" w:rsidRDefault="00652D99">
      <w:pPr>
        <w:tabs>
          <w:tab w:val="left" w:pos="720"/>
        </w:tabs>
        <w:ind w:left="0" w:firstLine="0"/>
        <w:jc w:val="both"/>
        <w:rPr>
          <w:rFonts w:cstheme="minorHAnsi"/>
          <w:sz w:val="20"/>
        </w:rPr>
      </w:pPr>
    </w:p>
    <w:p w14:paraId="0904D3C0" w14:textId="77777777" w:rsidR="00652D99" w:rsidRDefault="00D011FB">
      <w:pPr>
        <w:tabs>
          <w:tab w:val="left" w:pos="720"/>
        </w:tabs>
        <w:ind w:left="0" w:firstLine="0"/>
        <w:jc w:val="both"/>
        <w:rPr>
          <w:rFonts w:cstheme="minorHAnsi"/>
          <w:sz w:val="20"/>
        </w:rPr>
      </w:pPr>
      <w:r>
        <w:rPr>
          <w:rFonts w:cstheme="minorHAnsi"/>
          <w:sz w:val="20"/>
        </w:rPr>
        <w:t>L’ADEME pourra tenir compte d’aléas non imputables au Bénéficiaire de l’aide dans la détermination de la date de démarrage de la mesure et vérification. Le Bénéficiaire de l’aide devra cependant alerter l’ADEME suffisamment en amont et préciser clairement les raisons.</w:t>
      </w:r>
    </w:p>
    <w:p w14:paraId="193C10CB" w14:textId="77777777" w:rsidR="00652D99" w:rsidRDefault="00652D99">
      <w:pPr>
        <w:tabs>
          <w:tab w:val="left" w:pos="720"/>
        </w:tabs>
        <w:ind w:left="0" w:firstLine="0"/>
        <w:jc w:val="both"/>
        <w:rPr>
          <w:rFonts w:cstheme="minorHAnsi"/>
          <w:sz w:val="20"/>
        </w:rPr>
      </w:pPr>
    </w:p>
    <w:p w14:paraId="305CFD62" w14:textId="77777777" w:rsidR="00652D99" w:rsidRDefault="00D011FB">
      <w:pPr>
        <w:tabs>
          <w:tab w:val="left" w:pos="720"/>
        </w:tabs>
        <w:ind w:left="0" w:firstLine="0"/>
        <w:jc w:val="both"/>
        <w:rPr>
          <w:rFonts w:cstheme="minorHAnsi"/>
          <w:sz w:val="20"/>
        </w:rPr>
      </w:pPr>
      <w:r>
        <w:rPr>
          <w:rFonts w:cstheme="minorHAnsi"/>
          <w:sz w:val="20"/>
        </w:rPr>
        <w:t xml:space="preserve">Le montant de l’aide finale sera recalculé en fonction du pourcentage d’atteinte de l’objectif contractuel de décarbonation, selon le premier mécanisme d’ajustement décrit dans la </w:t>
      </w:r>
      <w:r>
        <w:rPr>
          <w:rFonts w:cstheme="minorHAnsi"/>
          <w:sz w:val="20"/>
          <w:highlight w:val="white"/>
        </w:rPr>
        <w:t>section 3</w:t>
      </w:r>
      <w:r>
        <w:rPr>
          <w:rFonts w:cstheme="minorHAnsi"/>
          <w:sz w:val="20"/>
        </w:rPr>
        <w:t xml:space="preserve"> du Cahier des Charges. </w:t>
      </w:r>
    </w:p>
    <w:p w14:paraId="7A7176EF" w14:textId="77777777" w:rsidR="00652D99" w:rsidRDefault="00652D99">
      <w:pPr>
        <w:tabs>
          <w:tab w:val="left" w:pos="720"/>
        </w:tabs>
        <w:ind w:left="0" w:firstLine="0"/>
        <w:jc w:val="both"/>
        <w:rPr>
          <w:rFonts w:cstheme="minorHAnsi"/>
          <w:sz w:val="20"/>
        </w:rPr>
      </w:pPr>
    </w:p>
    <w:p w14:paraId="6DECA2F6" w14:textId="77777777" w:rsidR="00652D99" w:rsidRDefault="00D011FB">
      <w:pPr>
        <w:tabs>
          <w:tab w:val="left" w:pos="720"/>
        </w:tabs>
        <w:ind w:left="0" w:firstLine="0"/>
        <w:jc w:val="both"/>
        <w:rPr>
          <w:rFonts w:cstheme="minorHAnsi"/>
          <w:sz w:val="20"/>
        </w:rPr>
      </w:pPr>
      <w:r>
        <w:rPr>
          <w:sz w:val="20"/>
        </w:rPr>
        <w:t>Le cas échéant, ce recalcul pourra mener à un non-versement de tout ou partie du solde et/ou à une demande de remboursement de tout ou partie de l’aide déjà versée à la mise en service de l’installation.</w:t>
      </w:r>
    </w:p>
    <w:p w14:paraId="2A34A630" w14:textId="77777777" w:rsidR="00652D99" w:rsidRDefault="00652D99">
      <w:pPr>
        <w:tabs>
          <w:tab w:val="left" w:pos="720"/>
        </w:tabs>
        <w:ind w:left="0" w:firstLine="0"/>
        <w:jc w:val="both"/>
        <w:rPr>
          <w:rFonts w:cstheme="minorHAnsi"/>
          <w:sz w:val="20"/>
        </w:rPr>
      </w:pPr>
    </w:p>
    <w:p w14:paraId="40D84BCA" w14:textId="304DA782" w:rsidR="00652D99" w:rsidRDefault="00652D99">
      <w:pPr>
        <w:tabs>
          <w:tab w:val="left" w:pos="720"/>
        </w:tabs>
        <w:ind w:left="0" w:firstLine="0"/>
        <w:jc w:val="both"/>
        <w:rPr>
          <w:rFonts w:cstheme="minorHAnsi"/>
          <w:sz w:val="20"/>
        </w:rPr>
      </w:pPr>
    </w:p>
    <w:p w14:paraId="2E1FE997" w14:textId="195104A6" w:rsidR="00BB2AD4" w:rsidRDefault="00BB2AD4">
      <w:pPr>
        <w:tabs>
          <w:tab w:val="left" w:pos="720"/>
        </w:tabs>
        <w:ind w:left="0" w:firstLine="0"/>
        <w:jc w:val="both"/>
        <w:rPr>
          <w:rFonts w:cstheme="minorHAnsi"/>
          <w:sz w:val="20"/>
        </w:rPr>
      </w:pPr>
    </w:p>
    <w:p w14:paraId="542C1006" w14:textId="15C018D0" w:rsidR="00BB2AD4" w:rsidRDefault="00BB2AD4">
      <w:pPr>
        <w:tabs>
          <w:tab w:val="left" w:pos="720"/>
        </w:tabs>
        <w:ind w:left="0" w:firstLine="0"/>
        <w:jc w:val="both"/>
        <w:rPr>
          <w:rFonts w:cstheme="minorHAnsi"/>
          <w:sz w:val="20"/>
        </w:rPr>
      </w:pPr>
    </w:p>
    <w:p w14:paraId="0584AB93" w14:textId="04AFD65B" w:rsidR="00BB2AD4" w:rsidRDefault="00BB2AD4">
      <w:pPr>
        <w:tabs>
          <w:tab w:val="left" w:pos="720"/>
        </w:tabs>
        <w:ind w:left="0" w:firstLine="0"/>
        <w:jc w:val="both"/>
        <w:rPr>
          <w:rFonts w:cstheme="minorHAnsi"/>
          <w:sz w:val="20"/>
        </w:rPr>
      </w:pPr>
    </w:p>
    <w:p w14:paraId="68BF271D" w14:textId="77777777" w:rsidR="00BB2AD4" w:rsidRDefault="00BB2AD4">
      <w:pPr>
        <w:tabs>
          <w:tab w:val="left" w:pos="720"/>
        </w:tabs>
        <w:ind w:left="0" w:firstLine="0"/>
        <w:jc w:val="both"/>
        <w:rPr>
          <w:rFonts w:cstheme="minorHAnsi"/>
          <w:sz w:val="20"/>
        </w:rPr>
      </w:pPr>
    </w:p>
    <w:p w14:paraId="44E061BE" w14:textId="77777777" w:rsidR="00652D99" w:rsidRDefault="00D011FB">
      <w:pPr>
        <w:pStyle w:val="Titre2"/>
        <w:ind w:left="0" w:firstLine="0"/>
        <w:jc w:val="both"/>
        <w:rPr>
          <w:rFonts w:cstheme="minorHAnsi"/>
          <w:b/>
          <w:bCs/>
          <w:color w:val="4F81BD"/>
          <w:sz w:val="28"/>
          <w:szCs w:val="24"/>
        </w:rPr>
      </w:pPr>
      <w:bookmarkStart w:id="20" w:name="_Toc153893254"/>
      <w:r>
        <w:rPr>
          <w:rFonts w:cstheme="minorHAnsi"/>
          <w:b/>
          <w:bCs/>
          <w:color w:val="4F81BD" w:themeColor="accent1"/>
          <w:sz w:val="28"/>
          <w:szCs w:val="24"/>
        </w:rPr>
        <w:lastRenderedPageBreak/>
        <w:t>Engagement sur l’obtention de Certificats d’Economie d’Energie (CEE)</w:t>
      </w:r>
      <w:bookmarkEnd w:id="20"/>
    </w:p>
    <w:p w14:paraId="6F129C4C" w14:textId="77777777" w:rsidR="00652D99" w:rsidRDefault="00652D99">
      <w:pPr>
        <w:ind w:left="0" w:firstLine="0"/>
      </w:pPr>
    </w:p>
    <w:p w14:paraId="7F6A4B51" w14:textId="77777777" w:rsidR="002B7A63" w:rsidRDefault="002B7A63" w:rsidP="00BB4E65">
      <w:pPr>
        <w:ind w:left="0" w:firstLine="0"/>
        <w:jc w:val="both"/>
        <w:rPr>
          <w:b/>
          <w:bCs/>
          <w:sz w:val="20"/>
          <w:u w:val="single"/>
        </w:rPr>
      </w:pPr>
      <w:r w:rsidRPr="00BB4E65">
        <w:rPr>
          <w:b/>
          <w:bCs/>
          <w:sz w:val="20"/>
          <w:u w:val="single"/>
        </w:rPr>
        <w:t xml:space="preserve">OPTION 1 : POUR LES PROJETS NE REALISANT PAS D’ECONOMIES D’ENERGIE : </w:t>
      </w:r>
    </w:p>
    <w:p w14:paraId="2131301D" w14:textId="77777777" w:rsidR="002B7A63" w:rsidRPr="00BB4E65" w:rsidRDefault="002B7A63" w:rsidP="00BB4E65">
      <w:pPr>
        <w:ind w:left="0" w:firstLine="0"/>
        <w:jc w:val="both"/>
        <w:rPr>
          <w:b/>
          <w:bCs/>
          <w:sz w:val="20"/>
          <w:u w:val="single"/>
        </w:rPr>
      </w:pPr>
    </w:p>
    <w:p w14:paraId="2BD85E3F" w14:textId="77777777" w:rsidR="002B7A63" w:rsidRPr="00BB4E65" w:rsidRDefault="002B7A63" w:rsidP="00BB4E65">
      <w:pPr>
        <w:ind w:left="0" w:firstLine="0"/>
        <w:jc w:val="both"/>
        <w:rPr>
          <w:sz w:val="20"/>
        </w:rPr>
      </w:pPr>
      <w:r w:rsidRPr="00BB4E65">
        <w:rPr>
          <w:sz w:val="20"/>
        </w:rPr>
        <w:t>Aucun engagement sur l’obtention de CEE n’est demandé dans le cadre de ce projet.</w:t>
      </w:r>
    </w:p>
    <w:p w14:paraId="26A463D7" w14:textId="77777777" w:rsidR="002B7A63" w:rsidRPr="00BB4E65" w:rsidRDefault="002B7A63" w:rsidP="00BB4E65">
      <w:pPr>
        <w:ind w:left="0" w:firstLine="0"/>
        <w:jc w:val="both"/>
        <w:rPr>
          <w:sz w:val="20"/>
        </w:rPr>
      </w:pPr>
    </w:p>
    <w:p w14:paraId="7EDF8756" w14:textId="52FC64E2" w:rsidR="002B7A63" w:rsidRDefault="002B7A63" w:rsidP="00BB4E65">
      <w:pPr>
        <w:ind w:left="0" w:firstLine="0"/>
        <w:jc w:val="both"/>
        <w:rPr>
          <w:b/>
          <w:bCs/>
          <w:sz w:val="20"/>
          <w:u w:val="single"/>
        </w:rPr>
      </w:pPr>
      <w:r w:rsidRPr="00BB4E65">
        <w:rPr>
          <w:b/>
          <w:bCs/>
          <w:sz w:val="20"/>
          <w:u w:val="single"/>
        </w:rPr>
        <w:t>OPTION 2 : POUR LES PROJETS REALISANT DES ECONOMIES D’ENERGIE :</w:t>
      </w:r>
    </w:p>
    <w:p w14:paraId="7B722F6E" w14:textId="77777777" w:rsidR="002B7A63" w:rsidRPr="00BB4E65" w:rsidRDefault="002B7A63" w:rsidP="00BB4E65">
      <w:pPr>
        <w:ind w:left="0" w:firstLine="0"/>
        <w:jc w:val="both"/>
        <w:rPr>
          <w:b/>
          <w:bCs/>
          <w:sz w:val="20"/>
          <w:u w:val="single"/>
        </w:rPr>
      </w:pPr>
    </w:p>
    <w:p w14:paraId="2124E6DC" w14:textId="1494BA32" w:rsidR="003C67FE" w:rsidRDefault="003C67FE" w:rsidP="00BB4E65">
      <w:pPr>
        <w:tabs>
          <w:tab w:val="left" w:pos="720"/>
        </w:tabs>
        <w:ind w:left="0" w:firstLine="0"/>
        <w:jc w:val="both"/>
        <w:rPr>
          <w:sz w:val="20"/>
        </w:rPr>
      </w:pPr>
      <w:r>
        <w:rPr>
          <w:sz w:val="20"/>
        </w:rPr>
        <w:t>Le Bénéficiaire doit fournir une lettre d’engagement cosigné entre le Bénéficiaire et le délégataire ou l’obligé retenu.</w:t>
      </w:r>
    </w:p>
    <w:p w14:paraId="7AC373BA" w14:textId="77777777" w:rsidR="003C67FE" w:rsidRDefault="003C67FE" w:rsidP="00BB4E65">
      <w:pPr>
        <w:ind w:left="0" w:firstLine="0"/>
        <w:jc w:val="both"/>
        <w:rPr>
          <w:sz w:val="20"/>
        </w:rPr>
      </w:pPr>
    </w:p>
    <w:p w14:paraId="4E335941" w14:textId="77777777" w:rsidR="00255452" w:rsidRDefault="002B7A63" w:rsidP="003C67FE">
      <w:pPr>
        <w:ind w:left="0" w:firstLine="0"/>
        <w:jc w:val="both"/>
        <w:rPr>
          <w:sz w:val="20"/>
        </w:rPr>
      </w:pPr>
      <w:r w:rsidRPr="00BB4E65">
        <w:rPr>
          <w:sz w:val="20"/>
        </w:rPr>
        <w:t xml:space="preserve">Le montant maximum </w:t>
      </w:r>
      <w:r w:rsidR="003C67FE">
        <w:rPr>
          <w:sz w:val="20"/>
        </w:rPr>
        <w:t xml:space="preserve">contractuel </w:t>
      </w:r>
      <w:r w:rsidRPr="00BB4E65">
        <w:rPr>
          <w:sz w:val="20"/>
        </w:rPr>
        <w:t>de l’aide tient compte des montants de CEE identifiés lors de l’instruction du dossier</w:t>
      </w:r>
      <w:r w:rsidR="003C67FE">
        <w:rPr>
          <w:sz w:val="20"/>
        </w:rPr>
        <w:t xml:space="preserve"> selon la méthodologie décrite</w:t>
      </w:r>
      <w:r w:rsidR="00BE16C1">
        <w:rPr>
          <w:sz w:val="20"/>
        </w:rPr>
        <w:t xml:space="preserve"> en partie 2.3 du cahier des charges</w:t>
      </w:r>
      <w:r w:rsidRPr="00BB4E65">
        <w:rPr>
          <w:sz w:val="20"/>
        </w:rPr>
        <w:t xml:space="preserve">. </w:t>
      </w:r>
    </w:p>
    <w:p w14:paraId="34015FC1" w14:textId="77777777" w:rsidR="00255452" w:rsidRDefault="00255452" w:rsidP="003C67FE">
      <w:pPr>
        <w:ind w:left="0" w:firstLine="0"/>
        <w:jc w:val="both"/>
        <w:rPr>
          <w:sz w:val="20"/>
        </w:rPr>
      </w:pPr>
    </w:p>
    <w:p w14:paraId="39A13BB8" w14:textId="5BD4FB99" w:rsidR="002B7A63" w:rsidRPr="00BB4E65" w:rsidRDefault="002B7A63" w:rsidP="00BB4E65">
      <w:pPr>
        <w:ind w:left="0" w:firstLine="0"/>
        <w:jc w:val="both"/>
        <w:rPr>
          <w:sz w:val="20"/>
        </w:rPr>
      </w:pPr>
      <w:r w:rsidRPr="00BB4E65">
        <w:rPr>
          <w:sz w:val="20"/>
        </w:rPr>
        <w:t xml:space="preserve">Le volume de CEE prévisionnel est de </w:t>
      </w:r>
      <w:r w:rsidR="00255452">
        <w:rPr>
          <w:sz w:val="20"/>
        </w:rPr>
        <w:t>…</w:t>
      </w:r>
      <w:proofErr w:type="gramStart"/>
      <w:r w:rsidR="00255452">
        <w:rPr>
          <w:sz w:val="20"/>
        </w:rPr>
        <w:t>…….</w:t>
      </w:r>
      <w:proofErr w:type="gramEnd"/>
      <w:r w:rsidRPr="00BB4E65">
        <w:rPr>
          <w:sz w:val="20"/>
        </w:rPr>
        <w:t xml:space="preserve">…….. </w:t>
      </w:r>
      <w:proofErr w:type="spellStart"/>
      <w:r w:rsidRPr="00BB4E65">
        <w:rPr>
          <w:sz w:val="20"/>
        </w:rPr>
        <w:t>MWhcumac</w:t>
      </w:r>
      <w:proofErr w:type="spellEnd"/>
      <w:r w:rsidRPr="00BB4E65">
        <w:rPr>
          <w:sz w:val="20"/>
        </w:rPr>
        <w:t>. La valorisation économique prévisionnelle de ces CEE est d</w:t>
      </w:r>
      <w:r w:rsidR="003C67FE">
        <w:rPr>
          <w:sz w:val="20"/>
        </w:rPr>
        <w:t>e 7,5</w:t>
      </w:r>
      <w:r w:rsidRPr="00BB4E65">
        <w:rPr>
          <w:sz w:val="20"/>
        </w:rPr>
        <w:t>€/</w:t>
      </w:r>
      <w:proofErr w:type="spellStart"/>
      <w:r w:rsidRPr="00BB4E65">
        <w:rPr>
          <w:sz w:val="20"/>
        </w:rPr>
        <w:t>MWhcumac</w:t>
      </w:r>
      <w:proofErr w:type="spellEnd"/>
      <w:r w:rsidRPr="00BB4E65">
        <w:rPr>
          <w:sz w:val="20"/>
        </w:rPr>
        <w:t>.</w:t>
      </w:r>
    </w:p>
    <w:p w14:paraId="797CDC5B" w14:textId="77777777" w:rsidR="002B7A63" w:rsidRPr="00BB4E65" w:rsidRDefault="002B7A63" w:rsidP="00BB4E65">
      <w:pPr>
        <w:ind w:left="0" w:firstLine="0"/>
        <w:jc w:val="both"/>
        <w:rPr>
          <w:sz w:val="20"/>
        </w:rPr>
      </w:pPr>
    </w:p>
    <w:p w14:paraId="461E7915" w14:textId="77777777" w:rsidR="002B7A63" w:rsidRDefault="002B7A63" w:rsidP="003C67FE">
      <w:pPr>
        <w:ind w:left="0" w:firstLine="0"/>
        <w:jc w:val="both"/>
        <w:rPr>
          <w:sz w:val="20"/>
        </w:rPr>
      </w:pPr>
      <w:r w:rsidRPr="00BB4E65">
        <w:rPr>
          <w:sz w:val="20"/>
        </w:rPr>
        <w:t xml:space="preserve">Le bénéficiaire s’engage à alerter l’ADEME de toute hausse du montant et/ou du volume de CEE sollicité. Le bénéficiaire s’engage à transmettre, dès obtention, les documents justificatifs indiquant le volume de CEE effectivement octroyé ainsi que le montant correspondant. </w:t>
      </w:r>
    </w:p>
    <w:p w14:paraId="1A17F55F" w14:textId="77777777" w:rsidR="002B7A63" w:rsidRPr="00BB4E65" w:rsidRDefault="002B7A63" w:rsidP="00BB4E65">
      <w:pPr>
        <w:ind w:left="0" w:firstLine="0"/>
        <w:jc w:val="both"/>
        <w:rPr>
          <w:sz w:val="20"/>
        </w:rPr>
      </w:pPr>
    </w:p>
    <w:p w14:paraId="242CEFB7" w14:textId="58E7D36E" w:rsidR="002B7A63" w:rsidRDefault="002B7A63" w:rsidP="003C67FE">
      <w:pPr>
        <w:ind w:left="0" w:firstLine="0"/>
        <w:jc w:val="both"/>
        <w:rPr>
          <w:sz w:val="20"/>
        </w:rPr>
      </w:pPr>
      <w:r w:rsidRPr="00BB4E65">
        <w:rPr>
          <w:sz w:val="20"/>
        </w:rPr>
        <w:t xml:space="preserve">Le montant de l'aide globale pourra être revu à la baisse pour les projets dont le nouveau volume </w:t>
      </w:r>
      <w:r w:rsidR="003C67FE">
        <w:rPr>
          <w:sz w:val="20"/>
        </w:rPr>
        <w:t xml:space="preserve">ou montant </w:t>
      </w:r>
      <w:r w:rsidRPr="00BB4E65">
        <w:rPr>
          <w:sz w:val="20"/>
        </w:rPr>
        <w:t>de CEE sollicité ou obtenu entraîne un ratio TRB inférieur à 1. Le cas échéant, le non-versement de tout ou partie du solde et/ou un remboursement de tout ou partie de l’aide déjà versée pourra être demandé.</w:t>
      </w:r>
    </w:p>
    <w:p w14:paraId="0EC93867" w14:textId="77777777" w:rsidR="00255452" w:rsidRDefault="00255452" w:rsidP="003C67FE">
      <w:pPr>
        <w:ind w:left="0" w:firstLine="0"/>
        <w:jc w:val="both"/>
        <w:rPr>
          <w:sz w:val="20"/>
        </w:rPr>
      </w:pPr>
    </w:p>
    <w:p w14:paraId="018A6570" w14:textId="7D92E2FD" w:rsidR="00255452" w:rsidRPr="00BB4E65" w:rsidRDefault="00255452" w:rsidP="00BB4E65">
      <w:pPr>
        <w:ind w:left="0" w:firstLine="0"/>
        <w:jc w:val="both"/>
        <w:rPr>
          <w:sz w:val="20"/>
        </w:rPr>
      </w:pPr>
      <w:r w:rsidRPr="006E4151">
        <w:rPr>
          <w:sz w:val="20"/>
        </w:rPr>
        <w:t xml:space="preserve">La valorisation économique des CEE </w:t>
      </w:r>
      <w:r>
        <w:rPr>
          <w:sz w:val="20"/>
        </w:rPr>
        <w:t>ne pourra</w:t>
      </w:r>
      <w:r w:rsidRPr="006E4151">
        <w:rPr>
          <w:sz w:val="20"/>
        </w:rPr>
        <w:t xml:space="preserve">, dans l’analyse de l’ADEME, </w:t>
      </w:r>
      <w:r>
        <w:rPr>
          <w:sz w:val="20"/>
        </w:rPr>
        <w:t xml:space="preserve">être </w:t>
      </w:r>
      <w:r w:rsidRPr="006E4151">
        <w:rPr>
          <w:sz w:val="20"/>
        </w:rPr>
        <w:t xml:space="preserve">considérée </w:t>
      </w:r>
      <w:r>
        <w:rPr>
          <w:sz w:val="20"/>
        </w:rPr>
        <w:t>inférieure</w:t>
      </w:r>
      <w:r w:rsidRPr="006E4151">
        <w:rPr>
          <w:sz w:val="20"/>
        </w:rPr>
        <w:t xml:space="preserve"> à la valorisation prévisionnelle.</w:t>
      </w:r>
    </w:p>
    <w:p w14:paraId="08902E00" w14:textId="77777777" w:rsidR="003C67FE" w:rsidRPr="00BB4E65" w:rsidRDefault="003C67FE" w:rsidP="00BB4E65">
      <w:pPr>
        <w:ind w:left="0" w:firstLine="0"/>
        <w:jc w:val="both"/>
        <w:rPr>
          <w:sz w:val="20"/>
        </w:rPr>
      </w:pPr>
    </w:p>
    <w:p w14:paraId="6A6F6B5A" w14:textId="3ED8331F" w:rsidR="002B7A63" w:rsidRPr="00BB4E65" w:rsidRDefault="002B7A63" w:rsidP="00BB4E65">
      <w:pPr>
        <w:ind w:left="0" w:firstLine="0"/>
        <w:jc w:val="both"/>
        <w:rPr>
          <w:sz w:val="20"/>
        </w:rPr>
      </w:pPr>
      <w:r w:rsidRPr="00BB4E65">
        <w:rPr>
          <w:sz w:val="20"/>
        </w:rPr>
        <w:t xml:space="preserve">Le </w:t>
      </w:r>
      <w:r w:rsidR="003C67FE">
        <w:rPr>
          <w:sz w:val="20"/>
        </w:rPr>
        <w:t>mon</w:t>
      </w:r>
      <w:r w:rsidR="00BE16C1">
        <w:rPr>
          <w:sz w:val="20"/>
        </w:rPr>
        <w:t>ta</w:t>
      </w:r>
      <w:r w:rsidR="003C67FE">
        <w:rPr>
          <w:sz w:val="20"/>
        </w:rPr>
        <w:t>nt</w:t>
      </w:r>
      <w:r w:rsidRPr="00BB4E65">
        <w:rPr>
          <w:sz w:val="20"/>
        </w:rPr>
        <w:t xml:space="preserve"> maximum de CEE faisant passer le ratio TRB sous la barre de 1 est de </w:t>
      </w:r>
      <w:proofErr w:type="gramStart"/>
      <w:r w:rsidRPr="00BB4E65">
        <w:rPr>
          <w:sz w:val="20"/>
        </w:rPr>
        <w:t>…</w:t>
      </w:r>
      <w:r w:rsidR="00255452">
        <w:rPr>
          <w:sz w:val="20"/>
        </w:rPr>
        <w:t>….</w:t>
      </w:r>
      <w:proofErr w:type="gramEnd"/>
      <w:r w:rsidR="00255452">
        <w:rPr>
          <w:sz w:val="20"/>
        </w:rPr>
        <w:t>.</w:t>
      </w:r>
      <w:r w:rsidRPr="00BB4E65">
        <w:rPr>
          <w:sz w:val="20"/>
        </w:rPr>
        <w:t>…...</w:t>
      </w:r>
      <w:r w:rsidR="003C67FE">
        <w:rPr>
          <w:sz w:val="20"/>
        </w:rPr>
        <w:t xml:space="preserve"> </w:t>
      </w:r>
      <w:r w:rsidR="003C67FE" w:rsidRPr="003C67FE">
        <w:rPr>
          <w:sz w:val="20"/>
        </w:rPr>
        <w:t>€</w:t>
      </w:r>
    </w:p>
    <w:p w14:paraId="6561B5DF" w14:textId="77777777" w:rsidR="00652D99" w:rsidRDefault="00652D99">
      <w:pPr>
        <w:tabs>
          <w:tab w:val="left" w:pos="720"/>
        </w:tabs>
        <w:ind w:left="0" w:firstLine="0"/>
        <w:jc w:val="both"/>
        <w:rPr>
          <w:rFonts w:cstheme="minorHAnsi"/>
          <w:sz w:val="20"/>
        </w:rPr>
      </w:pPr>
    </w:p>
    <w:p w14:paraId="708B16B5" w14:textId="77777777" w:rsidR="00652D99" w:rsidRDefault="00652D99">
      <w:pPr>
        <w:tabs>
          <w:tab w:val="left" w:pos="720"/>
        </w:tabs>
        <w:ind w:left="0" w:firstLine="0"/>
        <w:jc w:val="both"/>
        <w:rPr>
          <w:rFonts w:cstheme="minorHAnsi"/>
          <w:sz w:val="20"/>
        </w:rPr>
      </w:pPr>
    </w:p>
    <w:p w14:paraId="22F310C5" w14:textId="77777777" w:rsidR="00652D99" w:rsidRDefault="00D011FB">
      <w:pPr>
        <w:pStyle w:val="Titre2"/>
        <w:ind w:left="0" w:firstLine="0"/>
        <w:rPr>
          <w:rFonts w:cstheme="minorHAnsi"/>
          <w:b/>
          <w:bCs/>
          <w:color w:val="4F81BD"/>
          <w:sz w:val="28"/>
          <w:szCs w:val="24"/>
        </w:rPr>
      </w:pPr>
      <w:bookmarkStart w:id="21" w:name="_Toc153893255"/>
      <w:r>
        <w:rPr>
          <w:rFonts w:cstheme="minorHAnsi"/>
          <w:b/>
          <w:bCs/>
          <w:color w:val="4F81BD" w:themeColor="accent1"/>
          <w:sz w:val="28"/>
          <w:szCs w:val="24"/>
        </w:rPr>
        <w:t>Engagement sur l’organisation interne</w:t>
      </w:r>
      <w:bookmarkEnd w:id="21"/>
    </w:p>
    <w:p w14:paraId="61D72883" w14:textId="77777777" w:rsidR="00652D99" w:rsidRDefault="00652D99">
      <w:pPr>
        <w:ind w:left="0" w:firstLine="0"/>
        <w:jc w:val="both"/>
        <w:rPr>
          <w:rFonts w:cstheme="minorHAnsi"/>
          <w:sz w:val="20"/>
        </w:rPr>
      </w:pPr>
    </w:p>
    <w:p w14:paraId="163A065B" w14:textId="2CA01C49" w:rsidR="00652D99" w:rsidRPr="006933EF" w:rsidRDefault="00D011FB">
      <w:pPr>
        <w:ind w:left="0" w:firstLine="0"/>
        <w:jc w:val="both"/>
        <w:rPr>
          <w:rFonts w:eastAsia="Marianne" w:cs="Marianne"/>
          <w:sz w:val="20"/>
        </w:rPr>
      </w:pPr>
      <w:r>
        <w:rPr>
          <w:rFonts w:cstheme="minorHAnsi"/>
          <w:sz w:val="20"/>
        </w:rPr>
        <w:t>Le Bénéficiaire s’engage à communiquer le plan d’organisation et de formation de son personnel aux nouveaux équipements mis en place dans le cadre du projet en matière de management de l’énergie (</w:t>
      </w:r>
      <w:r>
        <w:rPr>
          <w:rFonts w:eastAsia="Marianne" w:cs="Marianne"/>
          <w:sz w:val="20"/>
        </w:rPr>
        <w:t>e</w:t>
      </w:r>
      <w:r>
        <w:rPr>
          <w:rFonts w:eastAsia="Marianne" w:cs="Marianne"/>
          <w:color w:val="000000"/>
          <w:sz w:val="20"/>
        </w:rPr>
        <w:t xml:space="preserve">x. : participation à des formations sur le management de l'énergie, le financement des projets de décarbonation, les stratégies </w:t>
      </w:r>
      <w:r w:rsidR="00B10F5E">
        <w:rPr>
          <w:rFonts w:eastAsia="Marianne" w:cs="Marianne"/>
          <w:color w:val="000000"/>
          <w:sz w:val="20"/>
        </w:rPr>
        <w:t>b</w:t>
      </w:r>
      <w:r>
        <w:rPr>
          <w:rFonts w:eastAsia="Marianne" w:cs="Marianne"/>
          <w:color w:val="000000"/>
          <w:sz w:val="20"/>
        </w:rPr>
        <w:t>as carbone et/ou lancement d'études complémentaires sur les mix énergétiques, les stratégies bas carbone et trajectoires d'investissement, proposées dans le cadre du programme PACTE industrie</w:t>
      </w:r>
      <w:r w:rsidR="00B10F5E">
        <w:rPr>
          <w:rFonts w:eastAsia="Marianne" w:cs="Marianne"/>
          <w:color w:val="000000"/>
          <w:sz w:val="20"/>
        </w:rPr>
        <w:t xml:space="preserve">, </w:t>
      </w:r>
      <w:r w:rsidR="00C54727">
        <w:rPr>
          <w:rFonts w:eastAsia="Marianne" w:cs="Marianne"/>
          <w:color w:val="000000"/>
          <w:sz w:val="20"/>
        </w:rPr>
        <w:t>etc.</w:t>
      </w:r>
      <w:r w:rsidR="00B10F5E">
        <w:rPr>
          <w:rFonts w:eastAsia="Marianne" w:cs="Marianne"/>
          <w:color w:val="000000"/>
          <w:sz w:val="20"/>
        </w:rPr>
        <w:t>).</w:t>
      </w:r>
    </w:p>
    <w:p w14:paraId="4B127F97" w14:textId="77777777" w:rsidR="00652D99" w:rsidRDefault="00652D99">
      <w:pPr>
        <w:ind w:left="0" w:firstLine="0"/>
        <w:jc w:val="both"/>
        <w:rPr>
          <w:rFonts w:cstheme="minorHAnsi"/>
          <w:sz w:val="20"/>
        </w:rPr>
      </w:pPr>
    </w:p>
    <w:p w14:paraId="1FB595FB" w14:textId="77777777" w:rsidR="00652D99" w:rsidRDefault="00D011FB">
      <w:pPr>
        <w:pStyle w:val="Titre2"/>
        <w:ind w:left="0" w:firstLine="0"/>
        <w:rPr>
          <w:rFonts w:cstheme="minorHAnsi"/>
          <w:b/>
          <w:bCs/>
          <w:color w:val="4F81BD"/>
          <w:sz w:val="28"/>
          <w:szCs w:val="24"/>
        </w:rPr>
      </w:pPr>
      <w:bookmarkStart w:id="22" w:name="_Toc153893256"/>
      <w:r>
        <w:rPr>
          <w:rFonts w:cstheme="minorHAnsi"/>
          <w:b/>
          <w:bCs/>
          <w:color w:val="4F81BD" w:themeColor="accent1"/>
          <w:sz w:val="28"/>
          <w:szCs w:val="24"/>
        </w:rPr>
        <w:t>Autres engagements liés à la communication</w:t>
      </w:r>
      <w:bookmarkEnd w:id="22"/>
      <w:r>
        <w:rPr>
          <w:rFonts w:cstheme="minorHAnsi"/>
          <w:b/>
          <w:bCs/>
          <w:color w:val="4F81BD" w:themeColor="accent1"/>
          <w:sz w:val="28"/>
          <w:szCs w:val="24"/>
        </w:rPr>
        <w:t xml:space="preserve"> </w:t>
      </w:r>
    </w:p>
    <w:p w14:paraId="144774A9" w14:textId="77777777" w:rsidR="00652D99" w:rsidRDefault="00652D99">
      <w:pPr>
        <w:ind w:left="0" w:firstLine="0"/>
      </w:pPr>
    </w:p>
    <w:p w14:paraId="14532CE5" w14:textId="52E5442D" w:rsidR="00652D99" w:rsidRDefault="00D011FB">
      <w:pPr>
        <w:ind w:left="0" w:firstLine="0"/>
        <w:jc w:val="both"/>
        <w:rPr>
          <w:rFonts w:cstheme="minorHAnsi"/>
          <w:iCs/>
          <w:color w:val="000000"/>
          <w:sz w:val="20"/>
        </w:rPr>
      </w:pPr>
      <w:r>
        <w:rPr>
          <w:rFonts w:cstheme="minorHAnsi"/>
          <w:iCs/>
          <w:color w:val="000000"/>
          <w:sz w:val="20"/>
        </w:rPr>
        <w:t>Le Bénéficiaire s’engage à garantir</w:t>
      </w:r>
      <w:r w:rsidR="00B10F5E">
        <w:rPr>
          <w:rFonts w:cstheme="minorHAnsi"/>
          <w:iCs/>
          <w:color w:val="000000"/>
          <w:sz w:val="20"/>
        </w:rPr>
        <w:t xml:space="preserve"> à</w:t>
      </w:r>
      <w:r>
        <w:rPr>
          <w:rFonts w:cstheme="minorHAnsi"/>
          <w:iCs/>
          <w:color w:val="000000"/>
          <w:sz w:val="20"/>
        </w:rPr>
        <w:t xml:space="preserve"> l’ADEME</w:t>
      </w:r>
      <w:r w:rsidR="00B10F5E">
        <w:rPr>
          <w:rFonts w:cstheme="minorHAnsi"/>
          <w:iCs/>
          <w:color w:val="000000"/>
          <w:sz w:val="20"/>
        </w:rPr>
        <w:t>,</w:t>
      </w:r>
      <w:r>
        <w:rPr>
          <w:rFonts w:cstheme="minorHAnsi"/>
          <w:iCs/>
          <w:color w:val="000000"/>
          <w:sz w:val="20"/>
        </w:rPr>
        <w:t xml:space="preserv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r>
        <w:rPr>
          <w:rFonts w:cstheme="minorHAnsi"/>
          <w:iCs/>
          <w:color w:val="000000"/>
          <w:sz w:val="20"/>
        </w:rPr>
        <w:tab/>
      </w:r>
    </w:p>
    <w:p w14:paraId="55EE1B31" w14:textId="77777777" w:rsidR="00652D99" w:rsidRDefault="00652D99">
      <w:pPr>
        <w:ind w:left="0" w:firstLine="0"/>
        <w:jc w:val="both"/>
        <w:rPr>
          <w:rFonts w:cstheme="minorHAnsi"/>
          <w:iCs/>
          <w:color w:val="000000"/>
          <w:sz w:val="20"/>
        </w:rPr>
      </w:pPr>
    </w:p>
    <w:p w14:paraId="2A960403" w14:textId="12EA6F52" w:rsidR="00652D99" w:rsidRDefault="00D011FB">
      <w:pPr>
        <w:ind w:left="0" w:firstLine="0"/>
        <w:jc w:val="both"/>
        <w:rPr>
          <w:sz w:val="20"/>
        </w:rPr>
      </w:pPr>
      <w:r>
        <w:rPr>
          <w:sz w:val="20"/>
        </w:rPr>
        <w:t>Le Bénéficiaire s’engage également à communiquer sur la contribution financière de l’Etat au titre de France 2030 à cette opération, avec la mention «</w:t>
      </w:r>
      <w:r>
        <w:rPr>
          <w:rFonts w:ascii="Calibri" w:hAnsi="Calibri" w:cs="Calibri"/>
          <w:sz w:val="20"/>
        </w:rPr>
        <w:t> </w:t>
      </w:r>
      <w:r>
        <w:rPr>
          <w:sz w:val="20"/>
        </w:rPr>
        <w:t xml:space="preserve">ce projet a </w:t>
      </w:r>
      <w:r>
        <w:rPr>
          <w:rFonts w:cs="Marianne"/>
          <w:sz w:val="20"/>
        </w:rPr>
        <w:t>é</w:t>
      </w:r>
      <w:r>
        <w:rPr>
          <w:sz w:val="20"/>
        </w:rPr>
        <w:t>t</w:t>
      </w:r>
      <w:r>
        <w:rPr>
          <w:rFonts w:cs="Marianne"/>
          <w:sz w:val="20"/>
        </w:rPr>
        <w:t>é</w:t>
      </w:r>
      <w:r>
        <w:rPr>
          <w:sz w:val="20"/>
        </w:rPr>
        <w:t xml:space="preserve"> financ</w:t>
      </w:r>
      <w:r>
        <w:rPr>
          <w:rFonts w:cs="Marianne"/>
          <w:sz w:val="20"/>
        </w:rPr>
        <w:t>é</w:t>
      </w:r>
      <w:r>
        <w:rPr>
          <w:sz w:val="20"/>
        </w:rPr>
        <w:t xml:space="preserve"> par le </w:t>
      </w:r>
      <w:r>
        <w:rPr>
          <w:sz w:val="20"/>
        </w:rPr>
        <w:lastRenderedPageBreak/>
        <w:t>Gouvernement dans le cadre d</w:t>
      </w:r>
      <w:r w:rsidR="00B10F5E">
        <w:rPr>
          <w:sz w:val="20"/>
        </w:rPr>
        <w:t>u plan</w:t>
      </w:r>
      <w:r>
        <w:rPr>
          <w:sz w:val="20"/>
        </w:rPr>
        <w:t xml:space="preserve"> France 2030 opéré par l’ADEME</w:t>
      </w:r>
      <w:r>
        <w:rPr>
          <w:rFonts w:ascii="Calibri" w:hAnsi="Calibri" w:cs="Calibri"/>
          <w:sz w:val="20"/>
        </w:rPr>
        <w:t> </w:t>
      </w:r>
      <w:r>
        <w:rPr>
          <w:sz w:val="20"/>
        </w:rPr>
        <w:t xml:space="preserve">». Il devra en faire état sur l’ensemble des documents de communication relatifs au projet financé (communiqués de presse, plaquettes, invitations, affiches, supports audiovisuels, sites internet ou intranet, réseaux sociaux, etc.) et lors des manifestations valorisant l’objet du financement. Les logos de France 2030 et de l’ADEME </w:t>
      </w:r>
      <w:r w:rsidR="00B10F5E">
        <w:rPr>
          <w:sz w:val="20"/>
        </w:rPr>
        <w:t xml:space="preserve">devront </w:t>
      </w:r>
      <w:r>
        <w:rPr>
          <w:sz w:val="20"/>
        </w:rPr>
        <w:t xml:space="preserve">être affichés sur tous ces documents. </w:t>
      </w:r>
    </w:p>
    <w:p w14:paraId="5824BF6E" w14:textId="77777777" w:rsidR="00652D99" w:rsidRDefault="00652D99">
      <w:pPr>
        <w:ind w:left="0" w:firstLine="0"/>
        <w:jc w:val="both"/>
        <w:rPr>
          <w:rFonts w:cstheme="minorHAnsi"/>
          <w:iCs/>
          <w:color w:val="000000"/>
          <w:sz w:val="20"/>
          <w:szCs w:val="22"/>
        </w:rPr>
      </w:pPr>
    </w:p>
    <w:p w14:paraId="14D0BEB9" w14:textId="77777777" w:rsidR="00652D99" w:rsidRDefault="00D011FB">
      <w:pPr>
        <w:pStyle w:val="Titre2"/>
        <w:ind w:left="0" w:firstLine="0"/>
        <w:rPr>
          <w:rFonts w:cstheme="minorHAnsi"/>
          <w:b/>
          <w:bCs/>
          <w:color w:val="4F81BD"/>
          <w:sz w:val="28"/>
          <w:szCs w:val="24"/>
        </w:rPr>
      </w:pPr>
      <w:bookmarkStart w:id="23" w:name="_Toc153893257"/>
      <w:r>
        <w:rPr>
          <w:rFonts w:cstheme="minorHAnsi"/>
          <w:b/>
          <w:bCs/>
          <w:color w:val="4F81BD" w:themeColor="accent1"/>
          <w:sz w:val="28"/>
          <w:szCs w:val="24"/>
        </w:rPr>
        <w:t>Livrables à transmettre à l’ADEME</w:t>
      </w:r>
      <w:bookmarkEnd w:id="23"/>
    </w:p>
    <w:p w14:paraId="273177EE" w14:textId="77777777" w:rsidR="00652D99" w:rsidRDefault="00652D99">
      <w:pPr>
        <w:tabs>
          <w:tab w:val="left" w:pos="720"/>
        </w:tabs>
        <w:ind w:left="0" w:firstLine="0"/>
        <w:rPr>
          <w:rFonts w:cstheme="minorHAnsi"/>
          <w:bCs/>
          <w:sz w:val="20"/>
        </w:rPr>
      </w:pPr>
    </w:p>
    <w:p w14:paraId="2FD2AC32" w14:textId="2D487B1D" w:rsidR="00652D99" w:rsidRDefault="0021634B">
      <w:pPr>
        <w:tabs>
          <w:tab w:val="left" w:pos="567"/>
        </w:tabs>
        <w:ind w:left="0" w:firstLine="0"/>
        <w:jc w:val="both"/>
        <w:rPr>
          <w:rFonts w:cstheme="minorHAnsi"/>
          <w:b/>
          <w:sz w:val="20"/>
        </w:rPr>
      </w:pPr>
      <w:r>
        <w:rPr>
          <w:rFonts w:cstheme="minorHAnsi"/>
          <w:b/>
          <w:sz w:val="20"/>
          <w:u w:val="single"/>
        </w:rPr>
        <w:t>U</w:t>
      </w:r>
      <w:r w:rsidR="00D011FB">
        <w:rPr>
          <w:rFonts w:cstheme="minorHAnsi"/>
          <w:b/>
          <w:sz w:val="20"/>
        </w:rPr>
        <w:t xml:space="preserve">n rapport d’avancement à remettre dans les 3 mois suivant la mise en service de l’installation comprenant : </w:t>
      </w:r>
    </w:p>
    <w:p w14:paraId="4024BF9F" w14:textId="77777777" w:rsidR="00652D99" w:rsidRDefault="00D011FB" w:rsidP="00426530">
      <w:pPr>
        <w:pStyle w:val="Paragraphedeliste"/>
        <w:numPr>
          <w:ilvl w:val="0"/>
          <w:numId w:val="3"/>
        </w:numPr>
        <w:spacing w:after="100"/>
        <w:jc w:val="both"/>
        <w:rPr>
          <w:rFonts w:cstheme="minorHAnsi"/>
          <w:iCs/>
          <w:color w:val="000000"/>
          <w:sz w:val="20"/>
          <w:szCs w:val="22"/>
        </w:rPr>
      </w:pPr>
      <w:r>
        <w:rPr>
          <w:rFonts w:cstheme="minorHAnsi"/>
          <w:iCs/>
          <w:color w:val="000000"/>
          <w:sz w:val="20"/>
          <w:szCs w:val="22"/>
        </w:rPr>
        <w:t>Une description de l’installation précisant notamment la marque et le modèle des équipements ainsi que, le cas échéant, la performance</w:t>
      </w:r>
      <w:r>
        <w:rPr>
          <w:rFonts w:ascii="Calibri" w:hAnsi="Calibri" w:cs="Calibri"/>
          <w:iCs/>
          <w:color w:val="000000"/>
          <w:sz w:val="20"/>
          <w:szCs w:val="22"/>
        </w:rPr>
        <w:t> </w:t>
      </w:r>
      <w:r>
        <w:rPr>
          <w:rFonts w:cstheme="minorHAnsi"/>
          <w:iCs/>
          <w:color w:val="000000"/>
          <w:sz w:val="20"/>
          <w:szCs w:val="22"/>
        </w:rPr>
        <w:t>;</w:t>
      </w:r>
    </w:p>
    <w:p w14:paraId="5CD81F36" w14:textId="77777777" w:rsidR="00652D99" w:rsidRDefault="00D011FB" w:rsidP="00426530">
      <w:pPr>
        <w:pStyle w:val="Paragraphedeliste"/>
        <w:numPr>
          <w:ilvl w:val="0"/>
          <w:numId w:val="3"/>
        </w:numPr>
        <w:spacing w:after="100"/>
        <w:jc w:val="both"/>
        <w:rPr>
          <w:rFonts w:cstheme="minorHAnsi"/>
          <w:iCs/>
          <w:color w:val="000000"/>
          <w:sz w:val="20"/>
          <w:szCs w:val="22"/>
        </w:rPr>
      </w:pPr>
      <w:r>
        <w:rPr>
          <w:rFonts w:cstheme="minorHAnsi"/>
          <w:iCs/>
          <w:color w:val="000000"/>
          <w:sz w:val="20"/>
          <w:szCs w:val="22"/>
        </w:rPr>
        <w:t>Le schéma des flux énergétiques de l’installation</w:t>
      </w:r>
      <w:r>
        <w:rPr>
          <w:rFonts w:ascii="Calibri" w:hAnsi="Calibri" w:cs="Calibri"/>
          <w:iCs/>
          <w:color w:val="000000"/>
          <w:sz w:val="20"/>
          <w:szCs w:val="22"/>
        </w:rPr>
        <w:t> </w:t>
      </w:r>
      <w:r>
        <w:rPr>
          <w:rFonts w:cstheme="minorHAnsi"/>
          <w:iCs/>
          <w:color w:val="000000"/>
          <w:sz w:val="20"/>
          <w:szCs w:val="22"/>
        </w:rPr>
        <w:t>;</w:t>
      </w:r>
    </w:p>
    <w:p w14:paraId="6A323C65" w14:textId="77777777" w:rsidR="00652D99" w:rsidRDefault="00D011FB" w:rsidP="00426530">
      <w:pPr>
        <w:pStyle w:val="Paragraphedeliste"/>
        <w:numPr>
          <w:ilvl w:val="0"/>
          <w:numId w:val="3"/>
        </w:numPr>
        <w:spacing w:after="100"/>
        <w:jc w:val="both"/>
        <w:rPr>
          <w:rFonts w:cstheme="minorHAnsi"/>
          <w:iCs/>
          <w:color w:val="000000"/>
          <w:sz w:val="20"/>
          <w:szCs w:val="22"/>
        </w:rPr>
      </w:pPr>
      <w:r>
        <w:rPr>
          <w:rFonts w:cstheme="minorHAnsi"/>
          <w:iCs/>
          <w:color w:val="000000"/>
          <w:sz w:val="20"/>
          <w:szCs w:val="22"/>
        </w:rPr>
        <w:t>La copie des procès-verbaux de réception définitive des installations attestant du bon fonctionnement de l’installation</w:t>
      </w:r>
      <w:r>
        <w:rPr>
          <w:rFonts w:ascii="Calibri" w:hAnsi="Calibri" w:cs="Calibri"/>
          <w:iCs/>
          <w:color w:val="000000"/>
          <w:sz w:val="20"/>
          <w:szCs w:val="22"/>
        </w:rPr>
        <w:t> </w:t>
      </w:r>
      <w:r>
        <w:rPr>
          <w:rFonts w:cstheme="minorHAnsi"/>
          <w:iCs/>
          <w:color w:val="000000"/>
          <w:sz w:val="20"/>
          <w:szCs w:val="22"/>
        </w:rPr>
        <w:t>;</w:t>
      </w:r>
    </w:p>
    <w:p w14:paraId="2443F078" w14:textId="77777777" w:rsidR="00652D99" w:rsidRDefault="00D011FB" w:rsidP="00426530">
      <w:pPr>
        <w:pStyle w:val="Paragraphedeliste"/>
        <w:numPr>
          <w:ilvl w:val="0"/>
          <w:numId w:val="3"/>
        </w:numPr>
        <w:spacing w:after="100"/>
        <w:jc w:val="both"/>
        <w:rPr>
          <w:rFonts w:cstheme="minorHAnsi"/>
          <w:iCs/>
          <w:color w:val="000000"/>
          <w:sz w:val="20"/>
          <w:szCs w:val="22"/>
        </w:rPr>
      </w:pPr>
      <w:r>
        <w:rPr>
          <w:rFonts w:cstheme="minorHAnsi"/>
          <w:iCs/>
          <w:color w:val="000000"/>
          <w:sz w:val="20"/>
          <w:szCs w:val="22"/>
        </w:rPr>
        <w:t>Plan de masse définitif avec les équipements et réseaux</w:t>
      </w:r>
      <w:r>
        <w:rPr>
          <w:rFonts w:ascii="Calibri" w:hAnsi="Calibri" w:cs="Calibri"/>
          <w:iCs/>
          <w:color w:val="000000"/>
          <w:sz w:val="20"/>
          <w:szCs w:val="22"/>
        </w:rPr>
        <w:t> </w:t>
      </w:r>
      <w:r>
        <w:rPr>
          <w:rFonts w:cstheme="minorHAnsi"/>
          <w:iCs/>
          <w:color w:val="000000"/>
          <w:sz w:val="20"/>
          <w:szCs w:val="22"/>
        </w:rPr>
        <w:t>;</w:t>
      </w:r>
    </w:p>
    <w:p w14:paraId="5D6CF625" w14:textId="77777777" w:rsidR="00652D99" w:rsidRDefault="00D011FB" w:rsidP="00426530">
      <w:pPr>
        <w:pStyle w:val="Paragraphedeliste"/>
        <w:numPr>
          <w:ilvl w:val="0"/>
          <w:numId w:val="3"/>
        </w:numPr>
        <w:spacing w:after="100"/>
        <w:jc w:val="both"/>
        <w:rPr>
          <w:rFonts w:cstheme="minorHAnsi"/>
          <w:iCs/>
          <w:color w:val="000000"/>
          <w:sz w:val="20"/>
          <w:szCs w:val="22"/>
        </w:rPr>
      </w:pPr>
      <w:r>
        <w:rPr>
          <w:rFonts w:cstheme="minorHAnsi"/>
          <w:iCs/>
          <w:color w:val="000000"/>
          <w:sz w:val="20"/>
          <w:szCs w:val="22"/>
        </w:rPr>
        <w:t>Le début de remplissage du bilan énergétique sur les premières semaines d’exploitation</w:t>
      </w:r>
    </w:p>
    <w:p w14:paraId="382BDF61" w14:textId="77777777" w:rsidR="00652D99" w:rsidRDefault="00D011FB" w:rsidP="00426530">
      <w:pPr>
        <w:pStyle w:val="Paragraphedeliste"/>
        <w:numPr>
          <w:ilvl w:val="0"/>
          <w:numId w:val="3"/>
        </w:numPr>
        <w:spacing w:after="100"/>
        <w:jc w:val="both"/>
        <w:rPr>
          <w:rFonts w:cstheme="minorHAnsi"/>
          <w:iCs/>
          <w:color w:val="000000"/>
          <w:sz w:val="20"/>
          <w:szCs w:val="22"/>
        </w:rPr>
      </w:pPr>
      <w:r>
        <w:rPr>
          <w:rFonts w:cstheme="minorHAnsi"/>
          <w:iCs/>
          <w:color w:val="000000"/>
          <w:sz w:val="20"/>
          <w:szCs w:val="22"/>
        </w:rPr>
        <w:t>La proposition d’une date de déclenchement du comptage (mesure et vérification des performances énergétiques).</w:t>
      </w:r>
    </w:p>
    <w:p w14:paraId="06256256" w14:textId="77777777" w:rsidR="00652D99" w:rsidRDefault="00652D99">
      <w:pPr>
        <w:ind w:left="0" w:firstLine="0"/>
        <w:jc w:val="both"/>
        <w:rPr>
          <w:rFonts w:cstheme="minorHAnsi"/>
          <w:iCs/>
          <w:color w:val="000000"/>
          <w:sz w:val="20"/>
          <w:szCs w:val="22"/>
        </w:rPr>
      </w:pPr>
    </w:p>
    <w:p w14:paraId="633A2567" w14:textId="77777777" w:rsidR="00652D99" w:rsidRDefault="00D011FB">
      <w:pPr>
        <w:tabs>
          <w:tab w:val="left" w:pos="567"/>
        </w:tabs>
        <w:ind w:left="0" w:firstLine="0"/>
        <w:jc w:val="both"/>
        <w:rPr>
          <w:rFonts w:cstheme="minorHAnsi"/>
          <w:b/>
          <w:sz w:val="20"/>
        </w:rPr>
      </w:pPr>
      <w:r>
        <w:rPr>
          <w:rFonts w:cstheme="minorHAnsi"/>
          <w:b/>
          <w:sz w:val="20"/>
        </w:rPr>
        <w:t>Un rapport final à remettre dans un délai maximum de 24 mois après la mise en service de l’installation et avant la date de fin de l’opération comprenant :</w:t>
      </w:r>
    </w:p>
    <w:p w14:paraId="75BB6C9B" w14:textId="6187BBB0" w:rsidR="00255452" w:rsidRPr="00BB4E65" w:rsidRDefault="00255452" w:rsidP="00CB632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Un audit d’effacement électrique pour les projets</w:t>
      </w:r>
      <w:r w:rsidR="00CB632B" w:rsidRPr="00CB632B">
        <w:rPr>
          <w:rFonts w:ascii="Calibri" w:eastAsiaTheme="minorHAnsi" w:hAnsi="Calibri" w:cs="Calibri"/>
          <w:sz w:val="20"/>
          <w:lang w:eastAsia="en-US"/>
        </w:rPr>
        <w:t xml:space="preserve"> </w:t>
      </w:r>
      <w:r w:rsidR="00CB632B">
        <w:rPr>
          <w:rFonts w:cstheme="minorHAnsi"/>
          <w:iCs/>
          <w:color w:val="000000"/>
          <w:sz w:val="20"/>
          <w:szCs w:val="22"/>
        </w:rPr>
        <w:t>concernés (</w:t>
      </w:r>
      <w:r w:rsidR="00AE44D6">
        <w:rPr>
          <w:rFonts w:cstheme="minorHAnsi"/>
          <w:iCs/>
          <w:color w:val="000000"/>
          <w:sz w:val="20"/>
          <w:szCs w:val="22"/>
        </w:rPr>
        <w:t xml:space="preserve">critères décrits en </w:t>
      </w:r>
      <w:r w:rsidR="00CB632B">
        <w:rPr>
          <w:rFonts w:cstheme="minorHAnsi"/>
          <w:iCs/>
          <w:color w:val="000000"/>
          <w:sz w:val="20"/>
          <w:szCs w:val="22"/>
        </w:rPr>
        <w:t>partie 3 du cahier des charges)</w:t>
      </w:r>
    </w:p>
    <w:p w14:paraId="48B9C80B" w14:textId="3622F26F" w:rsidR="00652D99" w:rsidRDefault="00D011FB" w:rsidP="00426530">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Le schéma des flux énergétiques de l’installation</w:t>
      </w:r>
      <w:r>
        <w:rPr>
          <w:rFonts w:ascii="Calibri" w:hAnsi="Calibri" w:cs="Calibri"/>
          <w:iCs/>
          <w:color w:val="000000"/>
          <w:sz w:val="20"/>
          <w:szCs w:val="22"/>
        </w:rPr>
        <w:t> </w:t>
      </w:r>
      <w:r>
        <w:rPr>
          <w:rFonts w:cstheme="minorHAnsi"/>
          <w:iCs/>
          <w:color w:val="000000"/>
          <w:sz w:val="20"/>
          <w:szCs w:val="22"/>
        </w:rPr>
        <w:t>;</w:t>
      </w:r>
    </w:p>
    <w:p w14:paraId="1A3C2FDB" w14:textId="77777777" w:rsidR="00652D99" w:rsidRDefault="00D011FB" w:rsidP="00426530">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Un bilan énergétique présentant les résultats réels consolidés sur une pleine année de production représentative d'un fonctionnement nominal</w:t>
      </w:r>
      <w:r>
        <w:rPr>
          <w:rFonts w:ascii="Calibri" w:hAnsi="Calibri" w:cs="Calibri"/>
          <w:iCs/>
          <w:color w:val="000000"/>
          <w:sz w:val="20"/>
          <w:szCs w:val="22"/>
        </w:rPr>
        <w:t> </w:t>
      </w:r>
      <w:r>
        <w:rPr>
          <w:rFonts w:cstheme="minorHAnsi"/>
          <w:iCs/>
          <w:color w:val="000000"/>
          <w:sz w:val="20"/>
          <w:szCs w:val="22"/>
        </w:rPr>
        <w:t>et l’ensemble des justificatifs permettant la vérification de l’atteinte des engagements énergétiques ;</w:t>
      </w:r>
    </w:p>
    <w:p w14:paraId="1204A094" w14:textId="77777777" w:rsidR="00652D99" w:rsidRDefault="00D011FB" w:rsidP="00426530">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Le plan d’organisation et de formation de son personnel à ce nouvel équipement en matière de management</w:t>
      </w:r>
      <w:r>
        <w:rPr>
          <w:rFonts w:ascii="Calibri" w:hAnsi="Calibri" w:cs="Calibri"/>
          <w:iCs/>
          <w:color w:val="000000"/>
          <w:sz w:val="20"/>
          <w:szCs w:val="22"/>
        </w:rPr>
        <w:t> </w:t>
      </w:r>
      <w:r>
        <w:rPr>
          <w:rFonts w:cstheme="minorHAnsi"/>
          <w:iCs/>
          <w:color w:val="000000"/>
          <w:sz w:val="20"/>
          <w:szCs w:val="22"/>
        </w:rPr>
        <w:t>;</w:t>
      </w:r>
    </w:p>
    <w:p w14:paraId="56911432" w14:textId="17C83D21" w:rsidR="00652D99" w:rsidRDefault="00D011FB" w:rsidP="00426530">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Une synthèse sur l’impact économique et social du projet (pérennité du site, nouveaux marchés, création d’emplois directs et indirects, réplicabilité du projet</w:t>
      </w:r>
      <w:r w:rsidR="002B53DC">
        <w:rPr>
          <w:rFonts w:cstheme="minorHAnsi"/>
          <w:iCs/>
          <w:color w:val="000000"/>
          <w:sz w:val="20"/>
          <w:szCs w:val="22"/>
        </w:rPr>
        <w:t>, etc</w:t>
      </w:r>
      <w:r w:rsidR="008B104D">
        <w:rPr>
          <w:rFonts w:cstheme="minorHAnsi"/>
          <w:iCs/>
          <w:color w:val="000000"/>
          <w:sz w:val="20"/>
          <w:szCs w:val="22"/>
        </w:rPr>
        <w:t>.</w:t>
      </w:r>
      <w:r>
        <w:rPr>
          <w:rFonts w:cstheme="minorHAnsi"/>
          <w:iCs/>
          <w:color w:val="000000"/>
          <w:sz w:val="20"/>
          <w:szCs w:val="22"/>
        </w:rPr>
        <w:t>)</w:t>
      </w:r>
      <w:r>
        <w:rPr>
          <w:rFonts w:ascii="Calibri" w:hAnsi="Calibri" w:cs="Calibri"/>
          <w:iCs/>
          <w:color w:val="000000"/>
          <w:sz w:val="20"/>
          <w:szCs w:val="22"/>
        </w:rPr>
        <w:t> </w:t>
      </w:r>
      <w:r>
        <w:rPr>
          <w:rFonts w:cstheme="minorHAnsi"/>
          <w:iCs/>
          <w:color w:val="000000"/>
          <w:sz w:val="20"/>
          <w:szCs w:val="22"/>
        </w:rPr>
        <w:t>;</w:t>
      </w:r>
    </w:p>
    <w:p w14:paraId="16C0B87B" w14:textId="77777777" w:rsidR="00652D99" w:rsidRDefault="00D011FB" w:rsidP="00426530">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Les modifications techniques éventuelles apportées sur l’installation</w:t>
      </w:r>
      <w:r>
        <w:rPr>
          <w:rFonts w:ascii="Calibri" w:hAnsi="Calibri" w:cs="Calibri"/>
          <w:iCs/>
          <w:color w:val="000000"/>
          <w:sz w:val="20"/>
          <w:szCs w:val="22"/>
        </w:rPr>
        <w:t> </w:t>
      </w:r>
      <w:r>
        <w:rPr>
          <w:rFonts w:cstheme="minorHAnsi"/>
          <w:iCs/>
          <w:color w:val="000000"/>
          <w:sz w:val="20"/>
          <w:szCs w:val="22"/>
        </w:rPr>
        <w:t>;</w:t>
      </w:r>
    </w:p>
    <w:p w14:paraId="7A71F2E3" w14:textId="77777777" w:rsidR="00652D99" w:rsidRDefault="00D011FB" w:rsidP="00426530">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La liste des problèmes techniques éventuels rencontrés depuis la mise en service de l’installation</w:t>
      </w:r>
      <w:r>
        <w:rPr>
          <w:rFonts w:ascii="Calibri" w:hAnsi="Calibri" w:cs="Calibri"/>
          <w:iCs/>
          <w:color w:val="000000"/>
          <w:sz w:val="20"/>
          <w:szCs w:val="22"/>
        </w:rPr>
        <w:t> </w:t>
      </w:r>
      <w:r>
        <w:rPr>
          <w:rFonts w:cstheme="minorHAnsi"/>
          <w:iCs/>
          <w:color w:val="000000"/>
          <w:sz w:val="20"/>
          <w:szCs w:val="22"/>
        </w:rPr>
        <w:t>;</w:t>
      </w:r>
    </w:p>
    <w:p w14:paraId="007FF51D" w14:textId="77777777" w:rsidR="00652D99" w:rsidRPr="0042426C" w:rsidRDefault="00D011FB" w:rsidP="00426530">
      <w:pPr>
        <w:pStyle w:val="Paragraphedeliste"/>
        <w:numPr>
          <w:ilvl w:val="0"/>
          <w:numId w:val="4"/>
        </w:numPr>
        <w:spacing w:after="100" w:line="276" w:lineRule="auto"/>
        <w:jc w:val="both"/>
        <w:rPr>
          <w:rFonts w:eastAsia="Calibri" w:cstheme="minorHAnsi"/>
          <w:sz w:val="20"/>
          <w:lang w:eastAsia="en-US"/>
        </w:rPr>
      </w:pPr>
      <w:r>
        <w:rPr>
          <w:rFonts w:cstheme="minorHAnsi"/>
          <w:iCs/>
          <w:color w:val="000000"/>
          <w:sz w:val="20"/>
          <w:szCs w:val="22"/>
        </w:rPr>
        <w:t>Une proposition de fiche «</w:t>
      </w:r>
      <w:r>
        <w:rPr>
          <w:rFonts w:ascii="Calibri" w:hAnsi="Calibri" w:cs="Calibri"/>
          <w:iCs/>
          <w:color w:val="000000"/>
          <w:sz w:val="20"/>
          <w:szCs w:val="22"/>
        </w:rPr>
        <w:t> </w:t>
      </w:r>
      <w:r>
        <w:rPr>
          <w:rFonts w:cstheme="minorHAnsi"/>
          <w:iCs/>
          <w:color w:val="000000"/>
          <w:sz w:val="20"/>
          <w:szCs w:val="22"/>
        </w:rPr>
        <w:t>Ils l’ont fait</w:t>
      </w:r>
      <w:r>
        <w:rPr>
          <w:rFonts w:ascii="Calibri" w:hAnsi="Calibri" w:cs="Calibri"/>
          <w:iCs/>
          <w:color w:val="000000"/>
          <w:sz w:val="20"/>
          <w:szCs w:val="22"/>
        </w:rPr>
        <w:t> </w:t>
      </w:r>
      <w:r>
        <w:rPr>
          <w:rFonts w:cstheme="minorHAnsi"/>
          <w:iCs/>
          <w:color w:val="000000"/>
          <w:sz w:val="20"/>
          <w:szCs w:val="22"/>
        </w:rPr>
        <w:t>» dûment complétée (selon le modèle qui sera transmis informatiquement par l’ADEME). Dans le cas d’une diffusion de cette fiche sur les sites internet de l’ADEME, sa version finale sera laissée à la discrétion de l’ADEME pouvant effectuer des modifications le cas échéant.</w:t>
      </w:r>
    </w:p>
    <w:p w14:paraId="77B1E69D" w14:textId="77777777" w:rsidR="00426530" w:rsidRDefault="00426530" w:rsidP="0042426C">
      <w:pPr>
        <w:spacing w:after="100" w:line="276" w:lineRule="auto"/>
        <w:jc w:val="both"/>
        <w:rPr>
          <w:rFonts w:eastAsia="Calibri" w:cstheme="minorHAnsi"/>
          <w:sz w:val="20"/>
          <w:lang w:eastAsia="en-US"/>
        </w:rPr>
      </w:pPr>
    </w:p>
    <w:p w14:paraId="4E36F7E1" w14:textId="77777777" w:rsidR="0042426C" w:rsidRPr="0042426C" w:rsidRDefault="0042426C" w:rsidP="0042426C">
      <w:pPr>
        <w:spacing w:after="100" w:line="276" w:lineRule="auto"/>
        <w:jc w:val="both"/>
        <w:rPr>
          <w:rFonts w:eastAsia="Calibri" w:cstheme="minorHAnsi"/>
          <w:sz w:val="20"/>
          <w:lang w:eastAsia="en-US"/>
        </w:rPr>
      </w:pPr>
    </w:p>
    <w:p w14:paraId="21BAA29B" w14:textId="77777777" w:rsidR="00652D99" w:rsidRDefault="00652D99">
      <w:pPr>
        <w:spacing w:after="100" w:line="276" w:lineRule="auto"/>
        <w:ind w:left="0" w:firstLine="0"/>
        <w:jc w:val="both"/>
        <w:rPr>
          <w:rFonts w:eastAsia="Calibri" w:cstheme="minorHAnsi"/>
          <w:sz w:val="20"/>
          <w:lang w:eastAsia="en-US"/>
        </w:rPr>
      </w:pPr>
    </w:p>
    <w:p w14:paraId="0FFCE3BC" w14:textId="77777777" w:rsidR="00652D99" w:rsidRDefault="00652D99">
      <w:pPr>
        <w:spacing w:after="100" w:line="276" w:lineRule="auto"/>
        <w:ind w:left="0" w:firstLine="0"/>
        <w:jc w:val="both"/>
        <w:rPr>
          <w:rFonts w:eastAsia="Calibri" w:cstheme="minorHAnsi"/>
          <w:sz w:val="20"/>
          <w:lang w:eastAsia="en-US"/>
        </w:rPr>
      </w:pPr>
    </w:p>
    <w:p w14:paraId="73B96B73" w14:textId="77777777" w:rsidR="00652D99" w:rsidRDefault="00652D99">
      <w:pPr>
        <w:spacing w:after="100" w:line="276" w:lineRule="auto"/>
        <w:ind w:left="0" w:firstLine="0"/>
        <w:jc w:val="both"/>
        <w:rPr>
          <w:rFonts w:eastAsia="Calibri" w:cstheme="minorHAnsi"/>
          <w:sz w:val="20"/>
          <w:lang w:eastAsia="en-US"/>
        </w:rPr>
      </w:pPr>
    </w:p>
    <w:p w14:paraId="7F873C35" w14:textId="77777777" w:rsidR="00652D99" w:rsidRDefault="00652D99">
      <w:pPr>
        <w:spacing w:line="276" w:lineRule="auto"/>
        <w:ind w:left="0" w:firstLine="0"/>
        <w:contextualSpacing/>
        <w:jc w:val="both"/>
        <w:rPr>
          <w:rFonts w:eastAsia="Calibri" w:cstheme="minorHAnsi"/>
          <w:sz w:val="20"/>
          <w:lang w:eastAsia="en-US"/>
        </w:rPr>
        <w:sectPr w:rsidR="00652D99">
          <w:headerReference w:type="default" r:id="rId89"/>
          <w:footerReference w:type="default" r:id="rId90"/>
          <w:type w:val="continuous"/>
          <w:pgSz w:w="11906" w:h="16838"/>
          <w:pgMar w:top="1418" w:right="1418" w:bottom="1418" w:left="1418" w:header="709" w:footer="680" w:gutter="0"/>
          <w:cols w:space="708"/>
          <w:docGrid w:linePitch="360"/>
        </w:sectPr>
      </w:pPr>
    </w:p>
    <w:p w14:paraId="021DB5E4" w14:textId="40B5BBAB" w:rsidR="00652D99" w:rsidRDefault="00D011FB">
      <w:pPr>
        <w:pStyle w:val="Titre1"/>
        <w:keepLines/>
        <w:shd w:val="clear" w:color="auto" w:fill="auto"/>
        <w:spacing w:before="0" w:after="0" w:line="259" w:lineRule="auto"/>
        <w:jc w:val="center"/>
        <w:rPr>
          <w:rFonts w:eastAsia="Arial" w:cs="Times New Roman"/>
          <w:smallCaps w:val="0"/>
          <w:color w:val="4F81BD"/>
          <w:szCs w:val="32"/>
        </w:rPr>
      </w:pPr>
      <w:bookmarkStart w:id="24" w:name="_Ref127277361"/>
      <w:bookmarkStart w:id="25" w:name="_Toc153893258"/>
      <w:commentRangeStart w:id="26"/>
      <w:r>
        <w:rPr>
          <w:rFonts w:eastAsia="Arial" w:cs="Times New Roman"/>
          <w:smallCaps w:val="0"/>
          <w:color w:val="4F81BD" w:themeColor="accent1"/>
          <w:szCs w:val="32"/>
        </w:rPr>
        <w:lastRenderedPageBreak/>
        <w:t xml:space="preserve">Annexe </w:t>
      </w:r>
      <w:r>
        <w:rPr>
          <w:rFonts w:eastAsia="Arial" w:cs="Times New Roman"/>
          <w:smallCaps w:val="0"/>
          <w:color w:val="4F81BD" w:themeColor="accent1"/>
          <w:szCs w:val="32"/>
        </w:rPr>
        <w:fldChar w:fldCharType="begin"/>
      </w:r>
      <w:r>
        <w:rPr>
          <w:rFonts w:eastAsia="Arial" w:cs="Times New Roman"/>
          <w:smallCaps w:val="0"/>
          <w:color w:val="4F81BD" w:themeColor="accent1"/>
          <w:szCs w:val="32"/>
        </w:rPr>
        <w:instrText xml:space="preserve"> SEQ Annexe \* ARABIC </w:instrText>
      </w:r>
      <w:r>
        <w:rPr>
          <w:rFonts w:eastAsia="Arial" w:cs="Times New Roman"/>
          <w:smallCaps w:val="0"/>
          <w:color w:val="4F81BD" w:themeColor="accent1"/>
          <w:szCs w:val="32"/>
        </w:rPr>
        <w:fldChar w:fldCharType="separate"/>
      </w:r>
      <w:r>
        <w:rPr>
          <w:rFonts w:eastAsia="Arial" w:cs="Times New Roman"/>
          <w:smallCaps w:val="0"/>
          <w:noProof/>
          <w:color w:val="4F81BD" w:themeColor="accent1"/>
          <w:szCs w:val="32"/>
        </w:rPr>
        <w:t>1</w:t>
      </w:r>
      <w:r>
        <w:rPr>
          <w:rFonts w:eastAsia="Arial" w:cs="Times New Roman"/>
          <w:smallCaps w:val="0"/>
          <w:color w:val="4F81BD" w:themeColor="accent1"/>
          <w:szCs w:val="32"/>
        </w:rPr>
        <w:fldChar w:fldCharType="end"/>
      </w:r>
      <w:bookmarkEnd w:id="24"/>
      <w:r>
        <w:rPr>
          <w:rFonts w:ascii="Calibri" w:eastAsia="Arial" w:hAnsi="Calibri"/>
          <w:smallCaps w:val="0"/>
          <w:color w:val="4F81BD" w:themeColor="accent1"/>
          <w:szCs w:val="32"/>
        </w:rPr>
        <w:t> </w:t>
      </w:r>
      <w:r>
        <w:rPr>
          <w:rFonts w:eastAsia="Arial" w:cs="Times New Roman"/>
          <w:smallCaps w:val="0"/>
          <w:color w:val="4F81BD" w:themeColor="accent1"/>
          <w:szCs w:val="32"/>
        </w:rPr>
        <w:t>– Facteurs d’émissions de GES</w:t>
      </w:r>
      <w:bookmarkEnd w:id="25"/>
      <w:commentRangeEnd w:id="26"/>
      <w:r w:rsidR="006B7B4F">
        <w:rPr>
          <w:rStyle w:val="Marquedecommentaire"/>
          <w:rFonts w:eastAsia="Times New Roman" w:cs="Arial"/>
          <w:b w:val="0"/>
          <w:bCs w:val="0"/>
          <w:smallCaps w:val="0"/>
          <w:color w:val="auto"/>
          <w:lang w:eastAsia="fr-FR"/>
        </w:rPr>
        <w:commentReference w:id="26"/>
      </w:r>
    </w:p>
    <w:p w14:paraId="48D7B063" w14:textId="4B0BA852" w:rsidR="00652D99" w:rsidRDefault="00D011FB">
      <w:pPr>
        <w:ind w:left="0" w:firstLine="0"/>
        <w:jc w:val="center"/>
        <w:rPr>
          <w:rFonts w:cstheme="minorHAnsi"/>
          <w:i/>
          <w:sz w:val="20"/>
          <w:szCs w:val="18"/>
        </w:rPr>
      </w:pPr>
      <w:r>
        <w:rPr>
          <w:rFonts w:cstheme="minorHAnsi"/>
          <w:i/>
          <w:sz w:val="20"/>
          <w:szCs w:val="18"/>
        </w:rPr>
        <w:t>Source</w:t>
      </w:r>
      <w:r>
        <w:rPr>
          <w:rFonts w:ascii="Calibri" w:hAnsi="Calibri" w:cs="Calibri"/>
          <w:i/>
          <w:sz w:val="20"/>
          <w:szCs w:val="18"/>
        </w:rPr>
        <w:t> </w:t>
      </w:r>
      <w:r>
        <w:rPr>
          <w:rFonts w:cstheme="minorHAnsi"/>
          <w:i/>
          <w:sz w:val="20"/>
          <w:szCs w:val="18"/>
        </w:rPr>
        <w:t xml:space="preserve">: Base </w:t>
      </w:r>
      <w:r w:rsidR="00AE44D6">
        <w:rPr>
          <w:rFonts w:cstheme="minorHAnsi"/>
          <w:i/>
          <w:sz w:val="20"/>
          <w:szCs w:val="18"/>
        </w:rPr>
        <w:t xml:space="preserve">Empreinte </w:t>
      </w:r>
      <w:r>
        <w:rPr>
          <w:rFonts w:cstheme="minorHAnsi"/>
          <w:i/>
          <w:sz w:val="20"/>
          <w:szCs w:val="18"/>
        </w:rPr>
        <w:t>ADEME en date de janvier 2023, facteurs d’émissions limités à leurs composantes estimées comme contribuant aux catégories (anciennement scopes) 1 et 2 des sites industriels.</w:t>
      </w:r>
    </w:p>
    <w:p w14:paraId="1596A787" w14:textId="77777777" w:rsidR="00652D99" w:rsidRDefault="00652D99">
      <w:pPr>
        <w:ind w:left="0" w:firstLine="0"/>
        <w:jc w:val="center"/>
        <w:rPr>
          <w:rFonts w:cstheme="minorHAnsi"/>
          <w:i/>
          <w:sz w:val="18"/>
          <w:szCs w:val="18"/>
        </w:rPr>
      </w:pPr>
    </w:p>
    <w:tbl>
      <w:tblPr>
        <w:tblStyle w:val="Grilledutableau"/>
        <w:tblW w:w="5000" w:type="pct"/>
        <w:tblLook w:val="04A0" w:firstRow="1" w:lastRow="0" w:firstColumn="1" w:lastColumn="0" w:noHBand="0" w:noVBand="1"/>
      </w:tblPr>
      <w:tblGrid>
        <w:gridCol w:w="4643"/>
        <w:gridCol w:w="4643"/>
      </w:tblGrid>
      <w:tr w:rsidR="00652D99" w14:paraId="5FE68BF1" w14:textId="77777777">
        <w:tc>
          <w:tcPr>
            <w:tcW w:w="5000" w:type="pct"/>
            <w:gridSpan w:val="2"/>
            <w:shd w:val="clear" w:color="auto" w:fill="D6E3BC" w:themeFill="accent3" w:themeFillTint="66"/>
          </w:tcPr>
          <w:p w14:paraId="4FA59D31" w14:textId="77777777" w:rsidR="00652D99" w:rsidRDefault="00D011FB">
            <w:pPr>
              <w:ind w:left="0" w:firstLine="0"/>
              <w:jc w:val="center"/>
              <w:rPr>
                <w:rFonts w:cstheme="minorHAnsi"/>
                <w:b/>
                <w:sz w:val="20"/>
              </w:rPr>
            </w:pPr>
            <w:r>
              <w:rPr>
                <w:rFonts w:cstheme="minorHAnsi"/>
                <w:b/>
                <w:sz w:val="20"/>
              </w:rPr>
              <w:t>Facteur d’émissions moyen des mixes électriques en France</w:t>
            </w:r>
          </w:p>
          <w:p w14:paraId="1F8C2EA7" w14:textId="77777777" w:rsidR="00652D99" w:rsidRDefault="00D011FB">
            <w:pPr>
              <w:ind w:left="0" w:firstLine="0"/>
              <w:jc w:val="center"/>
              <w:rPr>
                <w:rFonts w:cstheme="minorHAnsi"/>
                <w:sz w:val="20"/>
              </w:rPr>
            </w:pPr>
            <w:r>
              <w:rPr>
                <w:rFonts w:cstheme="minorHAnsi"/>
                <w:bCs/>
                <w:sz w:val="20"/>
              </w:rPr>
              <w:t>(</w:t>
            </w:r>
            <w:proofErr w:type="gramStart"/>
            <w:r>
              <w:rPr>
                <w:rFonts w:cstheme="minorHAnsi"/>
                <w:sz w:val="20"/>
              </w:rPr>
              <w:t>tCO</w:t>
            </w:r>
            <w:proofErr w:type="gramEnd"/>
            <w:r>
              <w:rPr>
                <w:rFonts w:cstheme="minorHAnsi"/>
                <w:sz w:val="20"/>
              </w:rPr>
              <w:t>2e/MWh EF   –   EF = énergie finale = énergie électrique)</w:t>
            </w:r>
          </w:p>
        </w:tc>
      </w:tr>
      <w:tr w:rsidR="00AE44D6" w14:paraId="4CCCDDE0" w14:textId="77777777">
        <w:tc>
          <w:tcPr>
            <w:tcW w:w="2500" w:type="pct"/>
          </w:tcPr>
          <w:p w14:paraId="2A937D23" w14:textId="77777777" w:rsidR="00AE44D6" w:rsidRDefault="00AE44D6" w:rsidP="00AE44D6">
            <w:pPr>
              <w:ind w:left="0" w:firstLine="0"/>
              <w:jc w:val="center"/>
              <w:rPr>
                <w:rFonts w:cstheme="minorHAnsi"/>
                <w:sz w:val="20"/>
              </w:rPr>
            </w:pPr>
            <w:r>
              <w:rPr>
                <w:rFonts w:cstheme="minorHAnsi"/>
                <w:sz w:val="20"/>
              </w:rPr>
              <w:t>France continentale</w:t>
            </w:r>
          </w:p>
        </w:tc>
        <w:tc>
          <w:tcPr>
            <w:tcW w:w="2500" w:type="pct"/>
            <w:shd w:val="clear" w:color="auto" w:fill="FFFFFF" w:themeFill="background1"/>
          </w:tcPr>
          <w:p w14:paraId="7734605C" w14:textId="6FD5C081" w:rsidR="00AE44D6" w:rsidRPr="00AE44D6" w:rsidRDefault="00AE44D6" w:rsidP="00AE44D6">
            <w:pPr>
              <w:ind w:left="0" w:firstLine="0"/>
              <w:jc w:val="center"/>
              <w:rPr>
                <w:rFonts w:cstheme="minorHAnsi"/>
                <w:sz w:val="20"/>
              </w:rPr>
            </w:pPr>
            <w:r w:rsidRPr="00BB4E65">
              <w:rPr>
                <w:sz w:val="20"/>
              </w:rPr>
              <w:t>0,039</w:t>
            </w:r>
          </w:p>
        </w:tc>
      </w:tr>
      <w:tr w:rsidR="00AE44D6" w14:paraId="1EF6B61E" w14:textId="77777777">
        <w:tc>
          <w:tcPr>
            <w:tcW w:w="2500" w:type="pct"/>
          </w:tcPr>
          <w:p w14:paraId="6A68C96B" w14:textId="77777777" w:rsidR="00AE44D6" w:rsidRDefault="00AE44D6" w:rsidP="00AE44D6">
            <w:pPr>
              <w:ind w:left="0" w:firstLine="0"/>
              <w:jc w:val="center"/>
              <w:rPr>
                <w:rFonts w:cstheme="minorHAnsi"/>
                <w:sz w:val="20"/>
              </w:rPr>
            </w:pPr>
            <w:r>
              <w:rPr>
                <w:rFonts w:cstheme="minorHAnsi"/>
                <w:sz w:val="20"/>
              </w:rPr>
              <w:t>Corse</w:t>
            </w:r>
          </w:p>
        </w:tc>
        <w:tc>
          <w:tcPr>
            <w:tcW w:w="2500" w:type="pct"/>
          </w:tcPr>
          <w:p w14:paraId="5103EF0D" w14:textId="0DAFA14E" w:rsidR="00AE44D6" w:rsidRPr="00AE44D6" w:rsidRDefault="00AE44D6" w:rsidP="00AE44D6">
            <w:pPr>
              <w:ind w:left="0" w:firstLine="0"/>
              <w:jc w:val="center"/>
              <w:rPr>
                <w:rFonts w:cstheme="minorHAnsi"/>
                <w:sz w:val="20"/>
              </w:rPr>
            </w:pPr>
            <w:r w:rsidRPr="00BB4E65">
              <w:rPr>
                <w:sz w:val="20"/>
              </w:rPr>
              <w:t>0,530</w:t>
            </w:r>
          </w:p>
        </w:tc>
      </w:tr>
      <w:tr w:rsidR="00AE44D6" w14:paraId="42112698" w14:textId="77777777">
        <w:tc>
          <w:tcPr>
            <w:tcW w:w="2500" w:type="pct"/>
          </w:tcPr>
          <w:p w14:paraId="79B5620E" w14:textId="77777777" w:rsidR="00AE44D6" w:rsidRDefault="00AE44D6" w:rsidP="00AE44D6">
            <w:pPr>
              <w:ind w:left="0" w:firstLine="0"/>
              <w:jc w:val="center"/>
              <w:rPr>
                <w:rFonts w:cstheme="minorHAnsi"/>
                <w:sz w:val="20"/>
              </w:rPr>
            </w:pPr>
            <w:r>
              <w:rPr>
                <w:rFonts w:cstheme="minorHAnsi"/>
                <w:sz w:val="20"/>
              </w:rPr>
              <w:t>Réunion</w:t>
            </w:r>
          </w:p>
        </w:tc>
        <w:tc>
          <w:tcPr>
            <w:tcW w:w="2500" w:type="pct"/>
          </w:tcPr>
          <w:p w14:paraId="3E7FA607" w14:textId="25CBD86C" w:rsidR="00AE44D6" w:rsidRPr="00AE44D6" w:rsidRDefault="00AE44D6" w:rsidP="00AE44D6">
            <w:pPr>
              <w:ind w:left="0" w:firstLine="0"/>
              <w:jc w:val="center"/>
              <w:rPr>
                <w:rFonts w:cstheme="minorHAnsi"/>
                <w:sz w:val="20"/>
              </w:rPr>
            </w:pPr>
            <w:r w:rsidRPr="00BB4E65">
              <w:rPr>
                <w:sz w:val="20"/>
              </w:rPr>
              <w:t>0,701</w:t>
            </w:r>
          </w:p>
        </w:tc>
      </w:tr>
      <w:tr w:rsidR="00AE44D6" w14:paraId="775C2C34" w14:textId="77777777">
        <w:tc>
          <w:tcPr>
            <w:tcW w:w="2500" w:type="pct"/>
          </w:tcPr>
          <w:p w14:paraId="27027D12" w14:textId="77777777" w:rsidR="00AE44D6" w:rsidRDefault="00AE44D6" w:rsidP="00AE44D6">
            <w:pPr>
              <w:ind w:left="0" w:firstLine="0"/>
              <w:jc w:val="center"/>
              <w:rPr>
                <w:rFonts w:cstheme="minorHAnsi"/>
                <w:sz w:val="20"/>
              </w:rPr>
            </w:pPr>
            <w:r>
              <w:rPr>
                <w:rFonts w:cstheme="minorHAnsi"/>
                <w:sz w:val="20"/>
              </w:rPr>
              <w:t>Martinique</w:t>
            </w:r>
          </w:p>
        </w:tc>
        <w:tc>
          <w:tcPr>
            <w:tcW w:w="2500" w:type="pct"/>
          </w:tcPr>
          <w:p w14:paraId="2584EBF0" w14:textId="183A6BB9" w:rsidR="00AE44D6" w:rsidRPr="00AE44D6" w:rsidRDefault="00AE44D6" w:rsidP="00AE44D6">
            <w:pPr>
              <w:ind w:left="0" w:firstLine="0"/>
              <w:jc w:val="center"/>
              <w:rPr>
                <w:rFonts w:cstheme="minorHAnsi"/>
                <w:sz w:val="20"/>
              </w:rPr>
            </w:pPr>
            <w:r w:rsidRPr="00BB4E65">
              <w:rPr>
                <w:sz w:val="20"/>
              </w:rPr>
              <w:t>0,716</w:t>
            </w:r>
          </w:p>
        </w:tc>
      </w:tr>
      <w:tr w:rsidR="00AE44D6" w14:paraId="72138944" w14:textId="77777777">
        <w:tc>
          <w:tcPr>
            <w:tcW w:w="2500" w:type="pct"/>
          </w:tcPr>
          <w:p w14:paraId="2618B4D0" w14:textId="77777777" w:rsidR="00AE44D6" w:rsidRDefault="00AE44D6" w:rsidP="00AE44D6">
            <w:pPr>
              <w:ind w:left="0" w:firstLine="0"/>
              <w:jc w:val="center"/>
              <w:rPr>
                <w:rFonts w:cstheme="minorHAnsi"/>
                <w:sz w:val="20"/>
              </w:rPr>
            </w:pPr>
            <w:r>
              <w:rPr>
                <w:rFonts w:cstheme="minorHAnsi"/>
                <w:sz w:val="20"/>
              </w:rPr>
              <w:t>Guadeloupe</w:t>
            </w:r>
          </w:p>
        </w:tc>
        <w:tc>
          <w:tcPr>
            <w:tcW w:w="2500" w:type="pct"/>
          </w:tcPr>
          <w:p w14:paraId="1CDD5506" w14:textId="14434C6F" w:rsidR="00AE44D6" w:rsidRPr="00AE44D6" w:rsidRDefault="00AE44D6" w:rsidP="00AE44D6">
            <w:pPr>
              <w:ind w:left="0" w:firstLine="0"/>
              <w:jc w:val="center"/>
              <w:rPr>
                <w:rFonts w:cstheme="minorHAnsi"/>
                <w:sz w:val="20"/>
              </w:rPr>
            </w:pPr>
            <w:r w:rsidRPr="00BB4E65">
              <w:rPr>
                <w:sz w:val="20"/>
              </w:rPr>
              <w:t>0,612</w:t>
            </w:r>
          </w:p>
        </w:tc>
      </w:tr>
      <w:tr w:rsidR="00AE44D6" w14:paraId="43FDD85E" w14:textId="77777777">
        <w:tc>
          <w:tcPr>
            <w:tcW w:w="2500" w:type="pct"/>
          </w:tcPr>
          <w:p w14:paraId="7285D77B" w14:textId="77777777" w:rsidR="00AE44D6" w:rsidRDefault="00AE44D6" w:rsidP="00AE44D6">
            <w:pPr>
              <w:ind w:left="0" w:firstLine="0"/>
              <w:jc w:val="center"/>
              <w:rPr>
                <w:rFonts w:cstheme="minorHAnsi"/>
                <w:sz w:val="20"/>
              </w:rPr>
            </w:pPr>
            <w:r>
              <w:rPr>
                <w:rFonts w:cstheme="minorHAnsi"/>
                <w:sz w:val="20"/>
              </w:rPr>
              <w:t>Guyane</w:t>
            </w:r>
          </w:p>
        </w:tc>
        <w:tc>
          <w:tcPr>
            <w:tcW w:w="2500" w:type="pct"/>
          </w:tcPr>
          <w:p w14:paraId="13A88B8A" w14:textId="74D808F3" w:rsidR="00AE44D6" w:rsidRPr="00AE44D6" w:rsidRDefault="00AE44D6" w:rsidP="00AE44D6">
            <w:pPr>
              <w:ind w:left="0" w:firstLine="0"/>
              <w:jc w:val="center"/>
              <w:rPr>
                <w:rFonts w:cstheme="minorHAnsi"/>
                <w:sz w:val="20"/>
              </w:rPr>
            </w:pPr>
            <w:r w:rsidRPr="00BB4E65">
              <w:rPr>
                <w:sz w:val="20"/>
              </w:rPr>
              <w:t>0,914</w:t>
            </w:r>
          </w:p>
        </w:tc>
      </w:tr>
      <w:tr w:rsidR="00AE44D6" w14:paraId="0766086C" w14:textId="77777777">
        <w:tc>
          <w:tcPr>
            <w:tcW w:w="2500" w:type="pct"/>
          </w:tcPr>
          <w:p w14:paraId="7C626091" w14:textId="77777777" w:rsidR="00AE44D6" w:rsidRDefault="00AE44D6" w:rsidP="00AE44D6">
            <w:pPr>
              <w:ind w:left="0" w:firstLine="0"/>
              <w:jc w:val="center"/>
              <w:rPr>
                <w:rFonts w:cstheme="minorHAnsi"/>
                <w:sz w:val="20"/>
              </w:rPr>
            </w:pPr>
            <w:r>
              <w:rPr>
                <w:rFonts w:cstheme="minorHAnsi"/>
                <w:sz w:val="20"/>
              </w:rPr>
              <w:t>Mayotte</w:t>
            </w:r>
          </w:p>
        </w:tc>
        <w:tc>
          <w:tcPr>
            <w:tcW w:w="2500" w:type="pct"/>
          </w:tcPr>
          <w:p w14:paraId="651F9362" w14:textId="1EDC4F2F" w:rsidR="00AE44D6" w:rsidRPr="00AE44D6" w:rsidRDefault="00AE44D6" w:rsidP="00AE44D6">
            <w:pPr>
              <w:ind w:left="0" w:firstLine="0"/>
              <w:jc w:val="center"/>
              <w:rPr>
                <w:rFonts w:cstheme="minorHAnsi"/>
                <w:sz w:val="20"/>
              </w:rPr>
            </w:pPr>
            <w:r w:rsidRPr="00BB4E65">
              <w:rPr>
                <w:sz w:val="20"/>
              </w:rPr>
              <w:t>0,686</w:t>
            </w:r>
          </w:p>
        </w:tc>
      </w:tr>
    </w:tbl>
    <w:p w14:paraId="705DC756" w14:textId="77777777" w:rsidR="00652D99" w:rsidRDefault="00652D99">
      <w:pPr>
        <w:ind w:left="0" w:firstLine="0"/>
        <w:jc w:val="both"/>
        <w:rPr>
          <w:rFonts w:cstheme="minorHAnsi"/>
          <w:sz w:val="20"/>
        </w:rPr>
      </w:pPr>
    </w:p>
    <w:tbl>
      <w:tblPr>
        <w:tblW w:w="5000" w:type="pct"/>
        <w:tblCellMar>
          <w:left w:w="70" w:type="dxa"/>
          <w:right w:w="70" w:type="dxa"/>
        </w:tblCellMar>
        <w:tblLook w:val="04A0" w:firstRow="1" w:lastRow="0" w:firstColumn="1" w:lastColumn="0" w:noHBand="0" w:noVBand="1"/>
      </w:tblPr>
      <w:tblGrid>
        <w:gridCol w:w="1370"/>
        <w:gridCol w:w="5110"/>
        <w:gridCol w:w="2730"/>
      </w:tblGrid>
      <w:tr w:rsidR="00652D99" w14:paraId="1F369592" w14:textId="77777777">
        <w:trPr>
          <w:trHeight w:val="20"/>
        </w:trPr>
        <w:tc>
          <w:tcPr>
            <w:tcW w:w="7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B51F9C" w14:textId="77777777" w:rsidR="00652D99" w:rsidRDefault="00D011FB">
            <w:pPr>
              <w:ind w:left="0" w:firstLine="0"/>
              <w:jc w:val="center"/>
              <w:rPr>
                <w:rFonts w:cstheme="minorHAnsi"/>
                <w:b/>
                <w:bCs/>
                <w:sz w:val="20"/>
              </w:rPr>
            </w:pPr>
            <w:r>
              <w:rPr>
                <w:rFonts w:cstheme="minorHAnsi"/>
                <w:b/>
                <w:bCs/>
                <w:sz w:val="20"/>
              </w:rPr>
              <w:t>Etat combustible</w:t>
            </w:r>
          </w:p>
        </w:tc>
        <w:tc>
          <w:tcPr>
            <w:tcW w:w="27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8A76C5" w14:textId="77777777" w:rsidR="00652D99" w:rsidRDefault="00D011FB">
            <w:pPr>
              <w:ind w:left="0" w:firstLine="0"/>
              <w:jc w:val="center"/>
              <w:rPr>
                <w:rFonts w:cstheme="minorHAnsi"/>
                <w:b/>
                <w:bCs/>
                <w:sz w:val="20"/>
              </w:rPr>
            </w:pPr>
            <w:r>
              <w:rPr>
                <w:rFonts w:cstheme="minorHAnsi"/>
                <w:b/>
                <w:bCs/>
                <w:sz w:val="20"/>
              </w:rPr>
              <w:t>Type combustible</w:t>
            </w:r>
          </w:p>
        </w:tc>
        <w:tc>
          <w:tcPr>
            <w:tcW w:w="1482" w:type="pct"/>
            <w:tcBorders>
              <w:top w:val="single" w:sz="4" w:space="0" w:color="auto"/>
              <w:left w:val="none" w:sz="4" w:space="0" w:color="000000"/>
              <w:bottom w:val="single" w:sz="4" w:space="0" w:color="auto"/>
              <w:right w:val="single" w:sz="4" w:space="0" w:color="auto"/>
            </w:tcBorders>
            <w:shd w:val="clear" w:color="auto" w:fill="D6E3BC" w:themeFill="accent3" w:themeFillTint="66"/>
            <w:vAlign w:val="center"/>
          </w:tcPr>
          <w:p w14:paraId="55FB27E6" w14:textId="77777777" w:rsidR="00652D99" w:rsidRDefault="00D011FB">
            <w:pPr>
              <w:ind w:left="0" w:firstLine="0"/>
              <w:jc w:val="center"/>
              <w:rPr>
                <w:rFonts w:cstheme="minorHAnsi"/>
                <w:b/>
                <w:bCs/>
                <w:sz w:val="20"/>
              </w:rPr>
            </w:pPr>
            <w:r>
              <w:rPr>
                <w:rFonts w:cstheme="minorHAnsi"/>
                <w:b/>
                <w:bCs/>
                <w:sz w:val="20"/>
              </w:rPr>
              <w:t xml:space="preserve">Facteur d’émissions </w:t>
            </w:r>
            <w:r>
              <w:rPr>
                <w:rFonts w:cstheme="minorHAnsi"/>
                <w:sz w:val="20"/>
              </w:rPr>
              <w:t>(tCO2e/MWh PCI)</w:t>
            </w:r>
          </w:p>
        </w:tc>
      </w:tr>
      <w:tr w:rsidR="00652D99" w14:paraId="72172C22"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0C14D4EA" w14:textId="77777777" w:rsidR="00652D99" w:rsidRDefault="00D011FB">
            <w:pPr>
              <w:ind w:left="0" w:firstLine="0"/>
              <w:jc w:val="center"/>
              <w:rPr>
                <w:rFonts w:cs="Calibri"/>
                <w:color w:val="000000"/>
                <w:sz w:val="20"/>
              </w:rPr>
            </w:pPr>
            <w:r>
              <w:rPr>
                <w:rFonts w:cs="Calibri"/>
                <w:color w:val="000000"/>
                <w:sz w:val="20"/>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638C471" w14:textId="77777777" w:rsidR="00652D99" w:rsidRDefault="00D011FB">
            <w:pPr>
              <w:ind w:left="0" w:firstLine="0"/>
              <w:jc w:val="center"/>
              <w:rPr>
                <w:rFonts w:cs="Calibri"/>
                <w:color w:val="000000"/>
                <w:sz w:val="20"/>
              </w:rPr>
            </w:pPr>
            <w:r>
              <w:rPr>
                <w:rFonts w:cs="Calibri"/>
                <w:color w:val="000000"/>
                <w:sz w:val="20"/>
              </w:rPr>
              <w:t>Gaz Naturel Mix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AD4D5B4" w14:textId="2DC736E7" w:rsidR="00652D99" w:rsidRDefault="00D011FB">
            <w:pPr>
              <w:ind w:left="0" w:firstLine="0"/>
              <w:jc w:val="center"/>
              <w:rPr>
                <w:rFonts w:cs="Calibri"/>
                <w:color w:val="000000"/>
                <w:sz w:val="20"/>
              </w:rPr>
            </w:pPr>
            <w:r>
              <w:rPr>
                <w:rFonts w:cs="Calibri"/>
                <w:color w:val="000000"/>
                <w:sz w:val="20"/>
              </w:rPr>
              <w:t>0,</w:t>
            </w:r>
            <w:r w:rsidR="003107B3">
              <w:rPr>
                <w:rFonts w:cs="Calibri"/>
                <w:color w:val="000000"/>
                <w:sz w:val="20"/>
              </w:rPr>
              <w:t>201</w:t>
            </w:r>
          </w:p>
        </w:tc>
      </w:tr>
      <w:tr w:rsidR="00652D99" w14:paraId="58DE87AA"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7E051B12" w14:textId="77777777" w:rsidR="00652D99" w:rsidRDefault="00D011FB">
            <w:pPr>
              <w:ind w:left="0" w:firstLine="0"/>
              <w:jc w:val="center"/>
              <w:rPr>
                <w:rFonts w:cs="Calibri"/>
                <w:color w:val="000000"/>
                <w:sz w:val="20"/>
              </w:rPr>
            </w:pPr>
            <w:r>
              <w:rPr>
                <w:rFonts w:cs="Calibri"/>
                <w:color w:val="000000"/>
                <w:sz w:val="20"/>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4EC7229" w14:textId="77777777" w:rsidR="00652D99" w:rsidRDefault="00D011FB">
            <w:pPr>
              <w:ind w:left="0" w:firstLine="0"/>
              <w:jc w:val="center"/>
              <w:rPr>
                <w:rFonts w:cs="Calibri"/>
                <w:color w:val="000000"/>
                <w:sz w:val="20"/>
              </w:rPr>
            </w:pPr>
            <w:r>
              <w:rPr>
                <w:rFonts w:cs="Calibri"/>
                <w:color w:val="000000"/>
                <w:sz w:val="20"/>
              </w:rPr>
              <w:t>Gaz Naturel Liquéfié</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DE442AC" w14:textId="7B0765AB" w:rsidR="00652D99" w:rsidRDefault="00D011FB">
            <w:pPr>
              <w:ind w:left="0" w:firstLine="0"/>
              <w:jc w:val="center"/>
              <w:rPr>
                <w:rFonts w:cs="Calibri"/>
                <w:color w:val="000000"/>
                <w:sz w:val="20"/>
              </w:rPr>
            </w:pPr>
            <w:r>
              <w:rPr>
                <w:rFonts w:cs="Calibri"/>
                <w:color w:val="000000"/>
                <w:sz w:val="20"/>
              </w:rPr>
              <w:t>0,</w:t>
            </w:r>
            <w:r w:rsidR="00D670B8">
              <w:rPr>
                <w:rFonts w:cs="Calibri"/>
                <w:color w:val="000000"/>
                <w:sz w:val="20"/>
              </w:rPr>
              <w:t>201</w:t>
            </w:r>
          </w:p>
        </w:tc>
      </w:tr>
      <w:tr w:rsidR="00652D99" w14:paraId="709B1B05"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49C5503E" w14:textId="77777777" w:rsidR="00652D99" w:rsidRDefault="00D011FB">
            <w:pPr>
              <w:ind w:left="0" w:firstLine="0"/>
              <w:jc w:val="center"/>
              <w:rPr>
                <w:rFonts w:cs="Calibri"/>
                <w:color w:val="000000"/>
                <w:sz w:val="20"/>
              </w:rPr>
            </w:pPr>
            <w:r>
              <w:rPr>
                <w:rFonts w:cs="Calibri"/>
                <w:color w:val="000000"/>
                <w:sz w:val="20"/>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31A439C2" w14:textId="77777777" w:rsidR="00652D99" w:rsidRDefault="00D011FB">
            <w:pPr>
              <w:ind w:left="0" w:firstLine="0"/>
              <w:jc w:val="center"/>
              <w:rPr>
                <w:rFonts w:cs="Calibri"/>
                <w:color w:val="000000"/>
                <w:sz w:val="20"/>
              </w:rPr>
            </w:pPr>
            <w:r>
              <w:rPr>
                <w:rFonts w:cs="Calibri"/>
                <w:color w:val="000000"/>
                <w:sz w:val="20"/>
              </w:rPr>
              <w:t>Butane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04489C26" w14:textId="77777777" w:rsidR="00652D99" w:rsidRDefault="00D011FB">
            <w:pPr>
              <w:ind w:left="0" w:firstLine="0"/>
              <w:jc w:val="center"/>
              <w:rPr>
                <w:rFonts w:cs="Calibri"/>
                <w:color w:val="000000"/>
                <w:sz w:val="20"/>
              </w:rPr>
            </w:pPr>
            <w:r>
              <w:rPr>
                <w:rFonts w:cs="Calibri"/>
                <w:color w:val="000000"/>
                <w:sz w:val="20"/>
              </w:rPr>
              <w:t>0,233</w:t>
            </w:r>
          </w:p>
        </w:tc>
      </w:tr>
      <w:tr w:rsidR="00652D99" w14:paraId="5D8EC072"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09687805" w14:textId="77777777" w:rsidR="00652D99" w:rsidRDefault="00D011FB">
            <w:pPr>
              <w:ind w:left="0" w:firstLine="0"/>
              <w:jc w:val="center"/>
              <w:rPr>
                <w:rFonts w:cs="Calibri"/>
                <w:color w:val="000000"/>
                <w:sz w:val="20"/>
              </w:rPr>
            </w:pPr>
            <w:r>
              <w:rPr>
                <w:rFonts w:cs="Calibri"/>
                <w:color w:val="000000"/>
                <w:sz w:val="20"/>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7D10C32" w14:textId="77777777" w:rsidR="00652D99" w:rsidRDefault="00D011FB">
            <w:pPr>
              <w:ind w:left="0" w:firstLine="0"/>
              <w:jc w:val="center"/>
              <w:rPr>
                <w:rFonts w:cs="Calibri"/>
                <w:color w:val="000000"/>
                <w:sz w:val="20"/>
              </w:rPr>
            </w:pPr>
            <w:r>
              <w:rPr>
                <w:rFonts w:cs="Calibri"/>
                <w:color w:val="000000"/>
                <w:sz w:val="20"/>
              </w:rPr>
              <w:t>Propane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9CD8C5D" w14:textId="77777777" w:rsidR="00652D99" w:rsidRDefault="00D011FB">
            <w:pPr>
              <w:ind w:left="0" w:firstLine="0"/>
              <w:jc w:val="center"/>
              <w:rPr>
                <w:rFonts w:cs="Calibri"/>
                <w:color w:val="000000"/>
                <w:sz w:val="20"/>
              </w:rPr>
            </w:pPr>
            <w:r>
              <w:rPr>
                <w:rFonts w:cs="Calibri"/>
                <w:color w:val="000000"/>
                <w:sz w:val="20"/>
              </w:rPr>
              <w:t>0,233</w:t>
            </w:r>
          </w:p>
        </w:tc>
      </w:tr>
      <w:tr w:rsidR="00652D99" w14:paraId="32A664A1"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4879CE93"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3F6AC3B" w14:textId="77777777" w:rsidR="00652D99" w:rsidRDefault="00D011FB">
            <w:pPr>
              <w:ind w:left="0" w:firstLine="0"/>
              <w:jc w:val="center"/>
              <w:rPr>
                <w:rFonts w:cs="Calibri"/>
                <w:color w:val="000000"/>
                <w:sz w:val="20"/>
              </w:rPr>
            </w:pPr>
            <w:r>
              <w:rPr>
                <w:rFonts w:cs="Calibri"/>
                <w:color w:val="000000"/>
                <w:sz w:val="20"/>
              </w:rPr>
              <w:t>Fioul domestique (FOD) -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93A0A35" w14:textId="77777777" w:rsidR="00652D99" w:rsidRDefault="00D011FB">
            <w:pPr>
              <w:ind w:left="0" w:firstLine="0"/>
              <w:jc w:val="center"/>
              <w:rPr>
                <w:rFonts w:cs="Calibri"/>
                <w:color w:val="000000"/>
                <w:sz w:val="20"/>
              </w:rPr>
            </w:pPr>
            <w:r>
              <w:rPr>
                <w:rFonts w:cs="Calibri"/>
                <w:color w:val="000000"/>
                <w:sz w:val="20"/>
              </w:rPr>
              <w:t>0,272</w:t>
            </w:r>
          </w:p>
        </w:tc>
      </w:tr>
      <w:tr w:rsidR="00652D99" w14:paraId="7218F698"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346F3201"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8DE2F13" w14:textId="77777777" w:rsidR="00652D99" w:rsidRDefault="00D011FB">
            <w:pPr>
              <w:ind w:left="0" w:firstLine="0"/>
              <w:jc w:val="center"/>
              <w:rPr>
                <w:rFonts w:cs="Calibri"/>
                <w:color w:val="000000"/>
                <w:sz w:val="20"/>
              </w:rPr>
            </w:pPr>
            <w:r>
              <w:rPr>
                <w:rFonts w:cs="Calibri"/>
                <w:color w:val="000000"/>
                <w:sz w:val="20"/>
              </w:rPr>
              <w:t>Fioul domestique (FOD) - Corse/Outre-Mer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EC0B627" w14:textId="77777777" w:rsidR="00652D99" w:rsidRDefault="00D011FB">
            <w:pPr>
              <w:ind w:left="0" w:firstLine="0"/>
              <w:jc w:val="center"/>
              <w:rPr>
                <w:rFonts w:cs="Calibri"/>
                <w:color w:val="000000"/>
                <w:sz w:val="20"/>
              </w:rPr>
            </w:pPr>
            <w:r>
              <w:rPr>
                <w:rFonts w:cs="Calibri"/>
                <w:color w:val="000000"/>
                <w:sz w:val="20"/>
              </w:rPr>
              <w:t>0,271</w:t>
            </w:r>
          </w:p>
        </w:tc>
      </w:tr>
      <w:tr w:rsidR="00652D99" w14:paraId="3DF73BA9"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42B90BF2"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500C1DF4" w14:textId="77777777" w:rsidR="00652D99" w:rsidRDefault="00D011FB">
            <w:pPr>
              <w:ind w:left="0" w:firstLine="0"/>
              <w:jc w:val="center"/>
              <w:rPr>
                <w:rFonts w:cs="Calibri"/>
                <w:color w:val="000000"/>
                <w:sz w:val="20"/>
              </w:rPr>
            </w:pPr>
            <w:r>
              <w:rPr>
                <w:rFonts w:cs="Calibri"/>
                <w:color w:val="000000"/>
                <w:sz w:val="20"/>
              </w:rPr>
              <w:t>Fioul lourd (FOL) -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BE5E7B6" w14:textId="77777777" w:rsidR="00652D99" w:rsidRDefault="00D011FB">
            <w:pPr>
              <w:ind w:left="0" w:firstLine="0"/>
              <w:jc w:val="center"/>
              <w:rPr>
                <w:rFonts w:cs="Calibri"/>
                <w:color w:val="000000"/>
                <w:sz w:val="20"/>
              </w:rPr>
            </w:pPr>
            <w:r>
              <w:rPr>
                <w:rFonts w:cs="Calibri"/>
                <w:color w:val="000000"/>
                <w:sz w:val="20"/>
              </w:rPr>
              <w:t>0,283</w:t>
            </w:r>
          </w:p>
        </w:tc>
      </w:tr>
      <w:tr w:rsidR="00652D99" w14:paraId="453BF9C4"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50B896B0"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5479C50A" w14:textId="61886C9D" w:rsidR="00652D99" w:rsidRDefault="00D011FB">
            <w:pPr>
              <w:ind w:left="0" w:firstLine="0"/>
              <w:jc w:val="center"/>
              <w:rPr>
                <w:rFonts w:cs="Calibri"/>
                <w:color w:val="000000"/>
                <w:sz w:val="20"/>
              </w:rPr>
            </w:pPr>
            <w:r>
              <w:rPr>
                <w:rFonts w:cs="Calibri"/>
                <w:color w:val="000000"/>
                <w:sz w:val="20"/>
              </w:rPr>
              <w:t>Fioul lourd (FOL)</w:t>
            </w:r>
            <w:r w:rsidR="005247C2">
              <w:rPr>
                <w:rFonts w:cs="Calibri"/>
                <w:color w:val="000000"/>
                <w:sz w:val="20"/>
              </w:rPr>
              <w:t xml:space="preserve"> </w:t>
            </w:r>
            <w:r>
              <w:rPr>
                <w:rFonts w:cs="Calibri"/>
                <w:color w:val="000000"/>
                <w:sz w:val="20"/>
              </w:rPr>
              <w:t>- Corse/Outre-Mer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E88E813" w14:textId="77777777" w:rsidR="00652D99" w:rsidRDefault="00D011FB">
            <w:pPr>
              <w:ind w:left="0" w:firstLine="0"/>
              <w:jc w:val="center"/>
              <w:rPr>
                <w:rFonts w:cs="Calibri"/>
                <w:color w:val="000000"/>
                <w:sz w:val="20"/>
              </w:rPr>
            </w:pPr>
            <w:r>
              <w:rPr>
                <w:rFonts w:cs="Calibri"/>
                <w:color w:val="000000"/>
                <w:sz w:val="20"/>
              </w:rPr>
              <w:t>0,282</w:t>
            </w:r>
          </w:p>
        </w:tc>
      </w:tr>
      <w:tr w:rsidR="00652D99" w14:paraId="78C38604"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28E9BE61"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A39517A" w14:textId="77777777" w:rsidR="00652D99" w:rsidRDefault="00D011FB">
            <w:pPr>
              <w:ind w:left="0" w:firstLine="0"/>
              <w:jc w:val="center"/>
              <w:rPr>
                <w:rFonts w:cs="Calibri"/>
                <w:color w:val="000000"/>
                <w:sz w:val="20"/>
              </w:rPr>
            </w:pPr>
            <w:r>
              <w:rPr>
                <w:rFonts w:cs="Calibri"/>
                <w:color w:val="000000"/>
                <w:sz w:val="20"/>
              </w:rPr>
              <w:t>Gazole Non Routier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3F77EAC" w14:textId="77777777" w:rsidR="00652D99" w:rsidRDefault="00D011FB">
            <w:pPr>
              <w:ind w:left="0" w:firstLine="0"/>
              <w:jc w:val="center"/>
              <w:rPr>
                <w:rFonts w:cs="Calibri"/>
                <w:color w:val="000000"/>
                <w:sz w:val="20"/>
              </w:rPr>
            </w:pPr>
            <w:r>
              <w:rPr>
                <w:rFonts w:cs="Calibri"/>
                <w:color w:val="000000"/>
                <w:sz w:val="20"/>
              </w:rPr>
              <w:t>0,262</w:t>
            </w:r>
          </w:p>
        </w:tc>
      </w:tr>
      <w:tr w:rsidR="00652D99" w14:paraId="7A8C04B5"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7FF93944"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716E29D" w14:textId="77777777" w:rsidR="00652D99" w:rsidRDefault="00D011FB">
            <w:pPr>
              <w:ind w:left="0" w:firstLine="0"/>
              <w:jc w:val="center"/>
              <w:rPr>
                <w:rFonts w:cs="Calibri"/>
                <w:color w:val="000000"/>
                <w:sz w:val="20"/>
              </w:rPr>
            </w:pPr>
            <w:r>
              <w:rPr>
                <w:rFonts w:cs="Calibri"/>
                <w:color w:val="000000"/>
                <w:sz w:val="20"/>
              </w:rPr>
              <w:t>Bitume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4004CB7" w14:textId="77777777" w:rsidR="00652D99" w:rsidRDefault="00D011FB">
            <w:pPr>
              <w:ind w:left="0" w:firstLine="0"/>
              <w:jc w:val="center"/>
              <w:rPr>
                <w:rFonts w:cs="Calibri"/>
                <w:color w:val="000000"/>
                <w:sz w:val="20"/>
              </w:rPr>
            </w:pPr>
            <w:r>
              <w:rPr>
                <w:rFonts w:cs="Calibri"/>
                <w:color w:val="000000"/>
                <w:sz w:val="20"/>
              </w:rPr>
              <w:t>0,295</w:t>
            </w:r>
          </w:p>
        </w:tc>
      </w:tr>
      <w:tr w:rsidR="00652D99" w14:paraId="687FA1E7"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689D9A19"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12DA526" w14:textId="77777777" w:rsidR="00652D99" w:rsidRDefault="00D011FB">
            <w:pPr>
              <w:ind w:left="0" w:firstLine="0"/>
              <w:jc w:val="center"/>
              <w:rPr>
                <w:rFonts w:cs="Calibri"/>
                <w:color w:val="000000"/>
                <w:sz w:val="20"/>
              </w:rPr>
            </w:pPr>
            <w:r>
              <w:rPr>
                <w:rFonts w:cs="Calibri"/>
                <w:color w:val="000000"/>
                <w:sz w:val="20"/>
              </w:rPr>
              <w:t>Huile de schistes</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4F256424" w14:textId="77777777" w:rsidR="00652D99" w:rsidRDefault="00D011FB">
            <w:pPr>
              <w:ind w:left="0" w:firstLine="0"/>
              <w:jc w:val="center"/>
              <w:rPr>
                <w:rFonts w:cs="Calibri"/>
                <w:color w:val="000000"/>
                <w:sz w:val="20"/>
              </w:rPr>
            </w:pPr>
            <w:r>
              <w:rPr>
                <w:rFonts w:cs="Calibri"/>
                <w:color w:val="000000"/>
                <w:sz w:val="20"/>
              </w:rPr>
              <w:t>0,264</w:t>
            </w:r>
          </w:p>
        </w:tc>
      </w:tr>
      <w:tr w:rsidR="00652D99" w14:paraId="45BBFE73"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037304A5"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E85ECBB" w14:textId="3DD500BF" w:rsidR="00652D99" w:rsidRDefault="002B53DC">
            <w:pPr>
              <w:ind w:left="0" w:firstLine="0"/>
              <w:jc w:val="center"/>
              <w:rPr>
                <w:rFonts w:cs="Calibri"/>
                <w:color w:val="000000"/>
                <w:sz w:val="20"/>
              </w:rPr>
            </w:pPr>
            <w:r>
              <w:rPr>
                <w:rFonts w:cs="Calibri"/>
                <w:color w:val="000000"/>
                <w:sz w:val="20"/>
              </w:rPr>
              <w:t>Naphta</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2D7A404" w14:textId="77777777" w:rsidR="00652D99" w:rsidRDefault="00D011FB">
            <w:pPr>
              <w:ind w:left="0" w:firstLine="0"/>
              <w:jc w:val="center"/>
              <w:rPr>
                <w:rFonts w:cs="Calibri"/>
                <w:color w:val="000000"/>
                <w:sz w:val="20"/>
              </w:rPr>
            </w:pPr>
            <w:r>
              <w:rPr>
                <w:rFonts w:cs="Calibri"/>
                <w:color w:val="000000"/>
                <w:sz w:val="20"/>
              </w:rPr>
              <w:t>0,266</w:t>
            </w:r>
          </w:p>
        </w:tc>
      </w:tr>
      <w:tr w:rsidR="00652D99" w14:paraId="3E822A89"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581D692D"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B58D6A9" w14:textId="77777777" w:rsidR="00652D99" w:rsidRDefault="00D011FB">
            <w:pPr>
              <w:ind w:left="0" w:firstLine="0"/>
              <w:jc w:val="center"/>
              <w:rPr>
                <w:rFonts w:cs="Calibri"/>
                <w:color w:val="000000"/>
                <w:sz w:val="20"/>
              </w:rPr>
            </w:pPr>
            <w:r>
              <w:rPr>
                <w:rFonts w:cs="Calibri"/>
                <w:color w:val="000000"/>
                <w:sz w:val="20"/>
              </w:rPr>
              <w:t>Biomasse durable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A300024" w14:textId="77777777" w:rsidR="00652D99" w:rsidRDefault="00D011FB">
            <w:pPr>
              <w:ind w:left="0" w:firstLine="0"/>
              <w:jc w:val="center"/>
              <w:rPr>
                <w:rFonts w:cs="Calibri"/>
                <w:color w:val="000000"/>
                <w:sz w:val="20"/>
              </w:rPr>
            </w:pPr>
            <w:r>
              <w:rPr>
                <w:rFonts w:cs="Calibri"/>
                <w:color w:val="000000"/>
                <w:sz w:val="20"/>
              </w:rPr>
              <w:t>0,000</w:t>
            </w:r>
          </w:p>
        </w:tc>
      </w:tr>
      <w:tr w:rsidR="00652D99" w14:paraId="5FF5652F"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22A6B239"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00FF01F" w14:textId="77777777" w:rsidR="00652D99" w:rsidRDefault="00D011FB">
            <w:pPr>
              <w:ind w:left="0" w:firstLine="0"/>
              <w:jc w:val="center"/>
              <w:rPr>
                <w:rFonts w:cs="Calibri"/>
                <w:color w:val="000000"/>
                <w:sz w:val="20"/>
              </w:rPr>
            </w:pPr>
            <w:r>
              <w:rPr>
                <w:rFonts w:cs="Calibri"/>
                <w:color w:val="000000"/>
                <w:sz w:val="20"/>
              </w:rPr>
              <w:t>Agglomérés de 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E7BD70A" w14:textId="77777777" w:rsidR="00652D99" w:rsidRDefault="00D011FB">
            <w:pPr>
              <w:ind w:left="0" w:firstLine="0"/>
              <w:jc w:val="center"/>
              <w:rPr>
                <w:rFonts w:cs="Calibri"/>
                <w:color w:val="000000"/>
                <w:sz w:val="20"/>
              </w:rPr>
            </w:pPr>
            <w:r>
              <w:rPr>
                <w:rFonts w:cs="Calibri"/>
                <w:color w:val="000000"/>
                <w:sz w:val="20"/>
              </w:rPr>
              <w:t>0,345</w:t>
            </w:r>
          </w:p>
        </w:tc>
      </w:tr>
      <w:tr w:rsidR="00652D99" w14:paraId="15097536"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6437B202"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7B4F32F" w14:textId="77777777" w:rsidR="00652D99" w:rsidRDefault="00D011FB">
            <w:pPr>
              <w:ind w:left="0" w:firstLine="0"/>
              <w:jc w:val="center"/>
              <w:rPr>
                <w:rFonts w:cs="Calibri"/>
                <w:color w:val="000000"/>
                <w:sz w:val="20"/>
              </w:rPr>
            </w:pPr>
            <w:r>
              <w:rPr>
                <w:rFonts w:cs="Calibri"/>
                <w:color w:val="000000"/>
                <w:sz w:val="20"/>
              </w:rPr>
              <w:t>Anthracite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03E2209A" w14:textId="77777777" w:rsidR="00652D99" w:rsidRDefault="00D011FB">
            <w:pPr>
              <w:ind w:left="0" w:firstLine="0"/>
              <w:jc w:val="center"/>
              <w:rPr>
                <w:rFonts w:cs="Calibri"/>
                <w:color w:val="000000"/>
                <w:sz w:val="20"/>
              </w:rPr>
            </w:pPr>
            <w:r>
              <w:rPr>
                <w:rFonts w:cs="Calibri"/>
                <w:color w:val="000000"/>
                <w:sz w:val="20"/>
              </w:rPr>
              <w:t>0,356</w:t>
            </w:r>
          </w:p>
        </w:tc>
      </w:tr>
      <w:tr w:rsidR="00652D99" w14:paraId="1CB8FDC4"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26E2541D"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53C1988D" w14:textId="77777777" w:rsidR="00652D99" w:rsidRDefault="00D011FB">
            <w:pPr>
              <w:ind w:left="0" w:firstLine="0"/>
              <w:jc w:val="center"/>
              <w:rPr>
                <w:rFonts w:cs="Calibri"/>
                <w:color w:val="000000"/>
                <w:sz w:val="20"/>
              </w:rPr>
            </w:pPr>
            <w:r>
              <w:rPr>
                <w:rFonts w:cs="Calibri"/>
                <w:color w:val="000000"/>
                <w:sz w:val="20"/>
              </w:rPr>
              <w:t>Briquettes de 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45064605" w14:textId="77777777" w:rsidR="00652D99" w:rsidRDefault="00D011FB">
            <w:pPr>
              <w:ind w:left="0" w:firstLine="0"/>
              <w:jc w:val="center"/>
              <w:rPr>
                <w:rFonts w:cs="Calibri"/>
                <w:color w:val="000000"/>
                <w:sz w:val="20"/>
              </w:rPr>
            </w:pPr>
            <w:r>
              <w:rPr>
                <w:rFonts w:cs="Calibri"/>
                <w:color w:val="000000"/>
                <w:sz w:val="20"/>
              </w:rPr>
              <w:t>0,357</w:t>
            </w:r>
          </w:p>
        </w:tc>
      </w:tr>
      <w:tr w:rsidR="00652D99" w14:paraId="238BFA05"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7FEC1AC5"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FCBFE37" w14:textId="77777777" w:rsidR="00652D99" w:rsidRDefault="00D011FB">
            <w:pPr>
              <w:ind w:left="0" w:firstLine="0"/>
              <w:jc w:val="center"/>
              <w:rPr>
                <w:rFonts w:cs="Calibri"/>
                <w:color w:val="000000"/>
                <w:sz w:val="20"/>
              </w:rPr>
            </w:pPr>
            <w:r>
              <w:rPr>
                <w:rFonts w:cs="Calibri"/>
                <w:color w:val="000000"/>
                <w:sz w:val="20"/>
              </w:rPr>
              <w:t>Charbon à coke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FE44730" w14:textId="77777777" w:rsidR="00652D99" w:rsidRDefault="00D011FB">
            <w:pPr>
              <w:ind w:left="0" w:firstLine="0"/>
              <w:jc w:val="center"/>
              <w:rPr>
                <w:rFonts w:cs="Calibri"/>
                <w:color w:val="000000"/>
                <w:sz w:val="20"/>
              </w:rPr>
            </w:pPr>
            <w:r>
              <w:rPr>
                <w:rFonts w:cs="Calibri"/>
                <w:color w:val="000000"/>
                <w:sz w:val="20"/>
              </w:rPr>
              <w:t>0,345</w:t>
            </w:r>
          </w:p>
        </w:tc>
      </w:tr>
      <w:tr w:rsidR="00652D99" w14:paraId="56C61AAC"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4C0355C7"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36FE8378" w14:textId="77777777" w:rsidR="00652D99" w:rsidRDefault="00D011FB">
            <w:pPr>
              <w:ind w:left="0" w:firstLine="0"/>
              <w:jc w:val="center"/>
              <w:rPr>
                <w:rFonts w:cs="Calibri"/>
                <w:color w:val="000000"/>
                <w:sz w:val="20"/>
              </w:rPr>
            </w:pPr>
            <w:r>
              <w:rPr>
                <w:rFonts w:cs="Calibri"/>
                <w:color w:val="000000"/>
                <w:sz w:val="20"/>
              </w:rPr>
              <w:t>Charbon à vapeur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D0653B4" w14:textId="77777777" w:rsidR="00652D99" w:rsidRDefault="00D011FB">
            <w:pPr>
              <w:ind w:left="0" w:firstLine="0"/>
              <w:jc w:val="center"/>
              <w:rPr>
                <w:rFonts w:cs="Calibri"/>
                <w:color w:val="000000"/>
                <w:sz w:val="20"/>
              </w:rPr>
            </w:pPr>
            <w:r>
              <w:rPr>
                <w:rFonts w:cs="Calibri"/>
                <w:color w:val="000000"/>
                <w:sz w:val="20"/>
              </w:rPr>
              <w:t>0,345</w:t>
            </w:r>
          </w:p>
        </w:tc>
      </w:tr>
      <w:tr w:rsidR="00652D99" w14:paraId="428F9CB7"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08FA231C"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F21AEDA" w14:textId="77777777" w:rsidR="00652D99" w:rsidRDefault="00D011FB">
            <w:pPr>
              <w:ind w:left="0" w:firstLine="0"/>
              <w:jc w:val="center"/>
              <w:rPr>
                <w:rFonts w:cs="Calibri"/>
                <w:color w:val="000000"/>
                <w:sz w:val="20"/>
              </w:rPr>
            </w:pPr>
            <w:r>
              <w:rPr>
                <w:rFonts w:cs="Calibri"/>
                <w:color w:val="000000"/>
                <w:sz w:val="20"/>
              </w:rPr>
              <w:t>Charbon sous-bitumineux</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4A3DDE8D" w14:textId="77777777" w:rsidR="00652D99" w:rsidRDefault="00D011FB">
            <w:pPr>
              <w:ind w:left="0" w:firstLine="0"/>
              <w:jc w:val="center"/>
              <w:rPr>
                <w:rFonts w:cs="Calibri"/>
                <w:color w:val="000000"/>
                <w:sz w:val="20"/>
              </w:rPr>
            </w:pPr>
            <w:r>
              <w:rPr>
                <w:rFonts w:cs="Calibri"/>
                <w:color w:val="000000"/>
                <w:sz w:val="20"/>
              </w:rPr>
              <w:t>0,349</w:t>
            </w:r>
          </w:p>
        </w:tc>
      </w:tr>
      <w:tr w:rsidR="00652D99" w14:paraId="6AF3715B"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1A7BFBFD"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17ED4C8" w14:textId="77777777" w:rsidR="00652D99" w:rsidRDefault="00D011FB">
            <w:pPr>
              <w:ind w:left="0" w:firstLine="0"/>
              <w:jc w:val="center"/>
              <w:rPr>
                <w:rFonts w:cs="Calibri"/>
                <w:color w:val="000000"/>
                <w:sz w:val="20"/>
              </w:rPr>
            </w:pPr>
            <w:r>
              <w:rPr>
                <w:rFonts w:cs="Calibri"/>
                <w:color w:val="000000"/>
                <w:sz w:val="20"/>
              </w:rPr>
              <w:t>Coke de 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9B5B528" w14:textId="77777777" w:rsidR="00652D99" w:rsidRDefault="00D011FB">
            <w:pPr>
              <w:ind w:left="0" w:firstLine="0"/>
              <w:jc w:val="center"/>
              <w:rPr>
                <w:rFonts w:cs="Calibri"/>
                <w:color w:val="000000"/>
                <w:sz w:val="20"/>
              </w:rPr>
            </w:pPr>
            <w:r>
              <w:rPr>
                <w:rFonts w:cs="Calibri"/>
                <w:color w:val="000000"/>
                <w:sz w:val="20"/>
              </w:rPr>
              <w:t>0,389</w:t>
            </w:r>
          </w:p>
        </w:tc>
      </w:tr>
      <w:tr w:rsidR="00652D99" w14:paraId="63C87F36"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1850A83F"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95339D9" w14:textId="77777777" w:rsidR="00652D99" w:rsidRDefault="00D011FB">
            <w:pPr>
              <w:ind w:left="0" w:firstLine="0"/>
              <w:jc w:val="center"/>
              <w:rPr>
                <w:rFonts w:cs="Calibri"/>
                <w:color w:val="000000"/>
                <w:sz w:val="20"/>
              </w:rPr>
            </w:pPr>
            <w:r>
              <w:rPr>
                <w:rFonts w:cs="Calibri"/>
                <w:color w:val="000000"/>
                <w:sz w:val="20"/>
              </w:rPr>
              <w:t>Coke de 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38DF262E" w14:textId="77777777" w:rsidR="00652D99" w:rsidRDefault="00D011FB">
            <w:pPr>
              <w:ind w:left="0" w:firstLine="0"/>
              <w:jc w:val="center"/>
              <w:rPr>
                <w:rFonts w:cs="Calibri"/>
                <w:color w:val="000000"/>
                <w:sz w:val="20"/>
              </w:rPr>
            </w:pPr>
            <w:r>
              <w:rPr>
                <w:rFonts w:cs="Calibri"/>
                <w:color w:val="000000"/>
                <w:sz w:val="20"/>
              </w:rPr>
              <w:t>0,393</w:t>
            </w:r>
          </w:p>
        </w:tc>
      </w:tr>
      <w:tr w:rsidR="00652D99" w14:paraId="3BE60921"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1DC525EB"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F4C600B" w14:textId="77777777" w:rsidR="00652D99" w:rsidRDefault="00D011FB">
            <w:pPr>
              <w:ind w:left="0" w:firstLine="0"/>
              <w:jc w:val="center"/>
              <w:rPr>
                <w:rFonts w:cs="Calibri"/>
                <w:color w:val="000000"/>
                <w:sz w:val="20"/>
              </w:rPr>
            </w:pPr>
            <w:r>
              <w:rPr>
                <w:rFonts w:cs="Calibri"/>
                <w:color w:val="000000"/>
                <w:sz w:val="20"/>
              </w:rPr>
              <w:t>Coke de pétrole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00D5E44" w14:textId="77777777" w:rsidR="00652D99" w:rsidRDefault="00D011FB">
            <w:pPr>
              <w:ind w:left="0" w:firstLine="0"/>
              <w:jc w:val="center"/>
              <w:rPr>
                <w:rFonts w:cs="Calibri"/>
                <w:color w:val="000000"/>
                <w:sz w:val="20"/>
              </w:rPr>
            </w:pPr>
            <w:r>
              <w:rPr>
                <w:rFonts w:cs="Calibri"/>
                <w:color w:val="000000"/>
                <w:sz w:val="20"/>
              </w:rPr>
              <w:t>0,349</w:t>
            </w:r>
          </w:p>
        </w:tc>
      </w:tr>
      <w:tr w:rsidR="00652D99" w14:paraId="652F7016"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02F91A33"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96EB686" w14:textId="77777777" w:rsidR="00652D99" w:rsidRDefault="00D011FB">
            <w:pPr>
              <w:ind w:left="0" w:firstLine="0"/>
              <w:jc w:val="center"/>
              <w:rPr>
                <w:rFonts w:cs="Calibri"/>
                <w:color w:val="000000"/>
                <w:sz w:val="20"/>
              </w:rPr>
            </w:pPr>
            <w:r>
              <w:rPr>
                <w:rFonts w:cs="Calibri"/>
                <w:color w:val="000000"/>
                <w:sz w:val="20"/>
              </w:rPr>
              <w:t>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75CFBAA" w14:textId="77777777" w:rsidR="00652D99" w:rsidRDefault="00D011FB">
            <w:pPr>
              <w:ind w:left="0" w:firstLine="0"/>
              <w:jc w:val="center"/>
              <w:rPr>
                <w:rFonts w:cs="Calibri"/>
                <w:color w:val="000000"/>
                <w:sz w:val="20"/>
              </w:rPr>
            </w:pPr>
            <w:r>
              <w:rPr>
                <w:rFonts w:cs="Calibri"/>
                <w:color w:val="000000"/>
                <w:sz w:val="20"/>
              </w:rPr>
              <w:t>0,346</w:t>
            </w:r>
          </w:p>
        </w:tc>
      </w:tr>
      <w:tr w:rsidR="00652D99" w14:paraId="6C19B077"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67EBF932"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2C3E102" w14:textId="77777777" w:rsidR="00652D99" w:rsidRDefault="00D011FB">
            <w:pPr>
              <w:ind w:left="0" w:firstLine="0"/>
              <w:jc w:val="center"/>
              <w:rPr>
                <w:rFonts w:cs="Calibri"/>
                <w:color w:val="000000"/>
                <w:sz w:val="20"/>
              </w:rPr>
            </w:pPr>
            <w:r>
              <w:rPr>
                <w:rFonts w:cs="Calibri"/>
                <w:color w:val="000000"/>
                <w:sz w:val="20"/>
              </w:rPr>
              <w:t>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0F9BEE82" w14:textId="77777777" w:rsidR="00652D99" w:rsidRDefault="00D011FB">
            <w:pPr>
              <w:ind w:left="0" w:firstLine="0"/>
              <w:jc w:val="center"/>
              <w:rPr>
                <w:rFonts w:cs="Calibri"/>
                <w:color w:val="000000"/>
                <w:sz w:val="20"/>
              </w:rPr>
            </w:pPr>
            <w:r>
              <w:rPr>
                <w:rFonts w:cs="Calibri"/>
                <w:color w:val="000000"/>
                <w:sz w:val="20"/>
              </w:rPr>
              <w:t>0,364</w:t>
            </w:r>
          </w:p>
        </w:tc>
      </w:tr>
      <w:tr w:rsidR="00652D99" w14:paraId="01F2B07A"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3093AAC2"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C0AB31D" w14:textId="77777777" w:rsidR="00652D99" w:rsidRDefault="00D011FB">
            <w:pPr>
              <w:ind w:left="0" w:firstLine="0"/>
              <w:jc w:val="center"/>
              <w:rPr>
                <w:rFonts w:cs="Calibri"/>
                <w:color w:val="000000"/>
                <w:sz w:val="20"/>
              </w:rPr>
            </w:pPr>
            <w:r>
              <w:rPr>
                <w:rFonts w:cs="Calibri"/>
                <w:color w:val="000000"/>
                <w:sz w:val="20"/>
              </w:rPr>
              <w:t>Tourbe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318622D2" w14:textId="77777777" w:rsidR="00652D99" w:rsidRDefault="00D011FB">
            <w:pPr>
              <w:ind w:left="0" w:firstLine="0"/>
              <w:jc w:val="center"/>
              <w:rPr>
                <w:rFonts w:cs="Calibri"/>
                <w:color w:val="000000"/>
                <w:sz w:val="20"/>
              </w:rPr>
            </w:pPr>
            <w:commentRangeStart w:id="27"/>
            <w:r>
              <w:rPr>
                <w:rFonts w:cs="Calibri"/>
                <w:color w:val="000000"/>
                <w:sz w:val="20"/>
              </w:rPr>
              <w:t>0,398</w:t>
            </w:r>
            <w:commentRangeEnd w:id="27"/>
            <w:r w:rsidR="00AE44D6">
              <w:rPr>
                <w:rStyle w:val="Marquedecommentaire"/>
              </w:rPr>
              <w:commentReference w:id="27"/>
            </w:r>
          </w:p>
        </w:tc>
      </w:tr>
    </w:tbl>
    <w:p w14:paraId="5668F828" w14:textId="77777777" w:rsidR="00652D99" w:rsidRDefault="00652D99">
      <w:pPr>
        <w:ind w:left="0" w:firstLine="0"/>
        <w:jc w:val="both"/>
        <w:rPr>
          <w:rFonts w:cstheme="minorHAnsi"/>
          <w:sz w:val="20"/>
        </w:rPr>
      </w:pPr>
    </w:p>
    <w:p w14:paraId="14050D73" w14:textId="7CB0F6C5" w:rsidR="00652D99" w:rsidRDefault="00D011FB">
      <w:pPr>
        <w:ind w:left="0" w:firstLine="0"/>
        <w:jc w:val="both"/>
        <w:rPr>
          <w:rFonts w:cstheme="minorHAnsi"/>
          <w:sz w:val="20"/>
        </w:rPr>
      </w:pPr>
      <w:r>
        <w:rPr>
          <w:rFonts w:cstheme="minorHAnsi"/>
          <w:sz w:val="20"/>
        </w:rPr>
        <w:t>Cette liste de facteurs d’émissions est directement intégré</w:t>
      </w:r>
      <w:r w:rsidR="002B53DC">
        <w:rPr>
          <w:rFonts w:cstheme="minorHAnsi"/>
          <w:sz w:val="20"/>
        </w:rPr>
        <w:t>e</w:t>
      </w:r>
      <w:r>
        <w:rPr>
          <w:rFonts w:cstheme="minorHAnsi"/>
          <w:sz w:val="20"/>
        </w:rPr>
        <w:t xml:space="preserve"> dans l’onglet «</w:t>
      </w:r>
      <w:r>
        <w:rPr>
          <w:rFonts w:ascii="Calibri" w:hAnsi="Calibri" w:cs="Calibri"/>
          <w:sz w:val="20"/>
        </w:rPr>
        <w:t> </w:t>
      </w:r>
      <w:r>
        <w:rPr>
          <w:rFonts w:cstheme="minorHAnsi"/>
          <w:sz w:val="20"/>
        </w:rPr>
        <w:t>Données Techniques</w:t>
      </w:r>
      <w:r>
        <w:rPr>
          <w:rFonts w:ascii="Calibri" w:hAnsi="Calibri" w:cs="Calibri"/>
          <w:sz w:val="20"/>
        </w:rPr>
        <w:t> </w:t>
      </w:r>
      <w:r>
        <w:rPr>
          <w:rFonts w:cs="Marianne"/>
          <w:sz w:val="20"/>
        </w:rPr>
        <w:t>»</w:t>
      </w:r>
      <w:r>
        <w:rPr>
          <w:rFonts w:cstheme="minorHAnsi"/>
          <w:sz w:val="20"/>
        </w:rPr>
        <w:t xml:space="preserve"> du Volet Technico-financier.</w:t>
      </w:r>
    </w:p>
    <w:p w14:paraId="20E1A303" w14:textId="77777777" w:rsidR="00652D99" w:rsidRDefault="00652D99">
      <w:pPr>
        <w:ind w:left="0" w:firstLine="0"/>
        <w:jc w:val="both"/>
        <w:rPr>
          <w:rFonts w:cstheme="minorHAnsi"/>
          <w:sz w:val="20"/>
        </w:rPr>
      </w:pPr>
    </w:p>
    <w:p w14:paraId="0B376057" w14:textId="04D69020" w:rsidR="00652D99" w:rsidRDefault="00D011FB">
      <w:pPr>
        <w:ind w:left="0" w:firstLine="0"/>
        <w:jc w:val="both"/>
        <w:rPr>
          <w:rFonts w:cstheme="minorHAnsi"/>
          <w:sz w:val="20"/>
        </w:rPr>
      </w:pPr>
      <w:r>
        <w:rPr>
          <w:rFonts w:cstheme="minorHAnsi"/>
          <w:sz w:val="20"/>
        </w:rPr>
        <w:t xml:space="preserve">Dans le cas où un facteur d’émissions pour un vecteur énergétique ou matière particulier ne serait pas spécifié ici, un facteur d’émissions pour ce vecteur devra être proposé par le porteur de projet. Ce facteur d’émissions sera confronté à la Base </w:t>
      </w:r>
      <w:r w:rsidR="00AE44D6">
        <w:rPr>
          <w:rFonts w:cstheme="minorHAnsi"/>
          <w:sz w:val="20"/>
        </w:rPr>
        <w:t xml:space="preserve">Empreinte </w:t>
      </w:r>
      <w:r>
        <w:rPr>
          <w:rFonts w:cstheme="minorHAnsi"/>
          <w:sz w:val="20"/>
        </w:rPr>
        <w:t>de l’ADEME durant l’instruction du projet et pourra être modifié le cas échéant.</w:t>
      </w:r>
      <w:r>
        <w:rPr>
          <w:rFonts w:cstheme="minorHAnsi"/>
          <w:sz w:val="20"/>
        </w:rPr>
        <w:br w:type="page" w:clear="all"/>
      </w:r>
    </w:p>
    <w:p w14:paraId="6677B08F" w14:textId="19166CEA" w:rsidR="00652D99" w:rsidRDefault="00D011FB">
      <w:pPr>
        <w:pStyle w:val="Titre1"/>
        <w:keepLines/>
        <w:shd w:val="clear" w:color="auto" w:fill="auto"/>
        <w:spacing w:before="0" w:after="0" w:line="259" w:lineRule="auto"/>
        <w:jc w:val="center"/>
        <w:rPr>
          <w:rFonts w:eastAsia="Arial" w:cs="Times New Roman"/>
          <w:smallCaps w:val="0"/>
          <w:color w:val="4F81BD"/>
          <w:szCs w:val="32"/>
        </w:rPr>
      </w:pPr>
      <w:bookmarkStart w:id="28" w:name="_Ref127280654"/>
      <w:bookmarkStart w:id="29" w:name="_Toc153893259"/>
      <w:bookmarkStart w:id="30" w:name="_Ref124941725"/>
      <w:r>
        <w:rPr>
          <w:rFonts w:eastAsia="Arial" w:cs="Times New Roman"/>
          <w:smallCaps w:val="0"/>
          <w:color w:val="4F81BD" w:themeColor="accent1"/>
          <w:szCs w:val="32"/>
        </w:rPr>
        <w:lastRenderedPageBreak/>
        <w:t xml:space="preserve">Annexe </w:t>
      </w:r>
      <w:r>
        <w:rPr>
          <w:rFonts w:eastAsia="Arial" w:cs="Times New Roman"/>
          <w:smallCaps w:val="0"/>
          <w:color w:val="4F81BD" w:themeColor="accent1"/>
          <w:szCs w:val="32"/>
        </w:rPr>
        <w:fldChar w:fldCharType="begin"/>
      </w:r>
      <w:r>
        <w:rPr>
          <w:rFonts w:eastAsia="Arial" w:cs="Times New Roman"/>
          <w:smallCaps w:val="0"/>
          <w:color w:val="4F81BD" w:themeColor="accent1"/>
          <w:szCs w:val="32"/>
        </w:rPr>
        <w:instrText xml:space="preserve"> SEQ Annexe \* ARABIC </w:instrText>
      </w:r>
      <w:r>
        <w:rPr>
          <w:rFonts w:eastAsia="Arial" w:cs="Times New Roman"/>
          <w:smallCaps w:val="0"/>
          <w:color w:val="4F81BD" w:themeColor="accent1"/>
          <w:szCs w:val="32"/>
        </w:rPr>
        <w:fldChar w:fldCharType="separate"/>
      </w:r>
      <w:r>
        <w:rPr>
          <w:rFonts w:eastAsia="Arial" w:cs="Times New Roman"/>
          <w:smallCaps w:val="0"/>
          <w:noProof/>
          <w:color w:val="4F81BD" w:themeColor="accent1"/>
          <w:szCs w:val="32"/>
        </w:rPr>
        <w:t>2</w:t>
      </w:r>
      <w:r>
        <w:rPr>
          <w:rFonts w:eastAsia="Arial" w:cs="Times New Roman"/>
          <w:smallCaps w:val="0"/>
          <w:color w:val="4F81BD" w:themeColor="accent1"/>
          <w:szCs w:val="32"/>
        </w:rPr>
        <w:fldChar w:fldCharType="end"/>
      </w:r>
      <w:bookmarkEnd w:id="28"/>
      <w:r>
        <w:rPr>
          <w:rFonts w:ascii="Calibri" w:eastAsia="Arial" w:hAnsi="Calibri"/>
          <w:smallCaps w:val="0"/>
          <w:color w:val="4F81BD" w:themeColor="accent1"/>
          <w:szCs w:val="32"/>
        </w:rPr>
        <w:t> </w:t>
      </w:r>
      <w:r>
        <w:rPr>
          <w:rFonts w:eastAsia="Arial" w:cs="Times New Roman"/>
          <w:smallCaps w:val="0"/>
          <w:color w:val="4F81BD" w:themeColor="accent1"/>
          <w:szCs w:val="32"/>
        </w:rPr>
        <w:t xml:space="preserve">– </w:t>
      </w:r>
      <w:bookmarkStart w:id="31" w:name="_1ksv4uv"/>
      <w:bookmarkEnd w:id="31"/>
      <w:r>
        <w:rPr>
          <w:rFonts w:eastAsia="Arial" w:cs="Times New Roman"/>
          <w:smallCaps w:val="0"/>
          <w:color w:val="4F81BD" w:themeColor="accent1"/>
          <w:szCs w:val="32"/>
        </w:rPr>
        <w:t>Liste indicative de technologies clés pour la décarbonation de l’industrie</w:t>
      </w:r>
      <w:bookmarkEnd w:id="29"/>
    </w:p>
    <w:p w14:paraId="18BD5EAE" w14:textId="77777777" w:rsidR="00652D99" w:rsidRDefault="00652D99">
      <w:pPr>
        <w:ind w:left="0" w:firstLine="0"/>
        <w:jc w:val="both"/>
        <w:rPr>
          <w:rFonts w:cstheme="minorHAnsi"/>
          <w:sz w:val="20"/>
        </w:rPr>
      </w:pPr>
    </w:p>
    <w:p w14:paraId="33E5EEF0" w14:textId="77777777" w:rsidR="00652D99" w:rsidRDefault="00D011FB">
      <w:pPr>
        <w:ind w:left="0" w:firstLine="0"/>
        <w:jc w:val="both"/>
        <w:rPr>
          <w:rFonts w:cstheme="minorHAnsi"/>
          <w:sz w:val="20"/>
        </w:rPr>
      </w:pPr>
      <w:r>
        <w:rPr>
          <w:rFonts w:cstheme="minorHAnsi"/>
          <w:sz w:val="20"/>
        </w:rPr>
        <w:t>La pertinence de l’intégration des technologies listées ci-dessous dans la trajectoire de décarbonation du site sera analysée pour déterminer la note N2A.</w:t>
      </w:r>
    </w:p>
    <w:p w14:paraId="170C29BB" w14:textId="77777777" w:rsidR="00652D99" w:rsidRDefault="00652D99">
      <w:pPr>
        <w:ind w:left="0" w:firstLine="0"/>
        <w:jc w:val="both"/>
        <w:rPr>
          <w:rFonts w:cstheme="minorHAnsi"/>
          <w:sz w:val="20"/>
        </w:rPr>
      </w:pPr>
    </w:p>
    <w:p w14:paraId="48A9BBC8" w14:textId="77777777" w:rsidR="00652D99" w:rsidRDefault="00D011FB">
      <w:pPr>
        <w:ind w:left="0" w:firstLine="0"/>
        <w:jc w:val="both"/>
        <w:rPr>
          <w:rFonts w:cstheme="minorHAnsi"/>
          <w:sz w:val="20"/>
        </w:rPr>
      </w:pPr>
      <w:r>
        <w:rPr>
          <w:rFonts w:cstheme="minorHAnsi"/>
          <w:sz w:val="20"/>
        </w:rPr>
        <w:t xml:space="preserve">Le porteur pourra faire la démonstration du caractère clé de la technologie utilisée si celle-ci ne figure pas dans la liste des technologies ci-dessous, notamment si celle-ci constitue une innovation, notamment aux niveaux des procédés, par rapport aux pratiques actuelles de décarbonation des activités industrielles. </w:t>
      </w:r>
    </w:p>
    <w:tbl>
      <w:tblPr>
        <w:tblStyle w:val="Grilledutableau"/>
        <w:tblpPr w:leftFromText="141" w:rightFromText="141" w:vertAnchor="text" w:horzAnchor="margin" w:tblpXSpec="center" w:tblpY="225"/>
        <w:tblW w:w="5395" w:type="pct"/>
        <w:tblLook w:val="04A0" w:firstRow="1" w:lastRow="0" w:firstColumn="1" w:lastColumn="0" w:noHBand="0" w:noVBand="1"/>
      </w:tblPr>
      <w:tblGrid>
        <w:gridCol w:w="3481"/>
        <w:gridCol w:w="3202"/>
        <w:gridCol w:w="3337"/>
      </w:tblGrid>
      <w:tr w:rsidR="00652D99" w14:paraId="3174AA11" w14:textId="77777777">
        <w:trPr>
          <w:trHeight w:val="676"/>
        </w:trPr>
        <w:tc>
          <w:tcPr>
            <w:tcW w:w="1737" w:type="pct"/>
            <w:shd w:val="clear" w:color="auto" w:fill="D9D9D9" w:themeFill="background1" w:themeFillShade="D9"/>
            <w:vAlign w:val="center"/>
          </w:tcPr>
          <w:p w14:paraId="3295C11F" w14:textId="77777777" w:rsidR="00652D99" w:rsidRDefault="00D011FB">
            <w:pPr>
              <w:ind w:left="0" w:firstLine="0"/>
              <w:jc w:val="center"/>
              <w:rPr>
                <w:rFonts w:cstheme="minorHAnsi"/>
                <w:b/>
                <w:bCs/>
                <w:sz w:val="20"/>
              </w:rPr>
            </w:pPr>
            <w:r>
              <w:rPr>
                <w:rFonts w:cstheme="minorHAnsi"/>
                <w:b/>
                <w:bCs/>
                <w:sz w:val="20"/>
              </w:rPr>
              <w:t>Technologie</w:t>
            </w:r>
          </w:p>
        </w:tc>
        <w:tc>
          <w:tcPr>
            <w:tcW w:w="1598" w:type="pct"/>
            <w:shd w:val="clear" w:color="auto" w:fill="D9D9D9" w:themeFill="background1" w:themeFillShade="D9"/>
            <w:vAlign w:val="center"/>
          </w:tcPr>
          <w:p w14:paraId="361E9775" w14:textId="77777777" w:rsidR="00652D99" w:rsidRDefault="00D011FB">
            <w:pPr>
              <w:ind w:left="0" w:firstLine="0"/>
              <w:jc w:val="center"/>
              <w:rPr>
                <w:rFonts w:cstheme="minorHAnsi"/>
                <w:b/>
                <w:bCs/>
                <w:sz w:val="20"/>
              </w:rPr>
            </w:pPr>
            <w:r>
              <w:rPr>
                <w:rFonts w:cstheme="minorHAnsi"/>
                <w:b/>
                <w:bCs/>
                <w:sz w:val="20"/>
              </w:rPr>
              <w:t>Remarques complémentaires</w:t>
            </w:r>
          </w:p>
        </w:tc>
        <w:tc>
          <w:tcPr>
            <w:tcW w:w="1665" w:type="pct"/>
            <w:shd w:val="clear" w:color="auto" w:fill="D9D9D9" w:themeFill="background1" w:themeFillShade="D9"/>
            <w:vAlign w:val="center"/>
          </w:tcPr>
          <w:p w14:paraId="4EA52B23" w14:textId="77777777" w:rsidR="00652D99" w:rsidRDefault="00D011FB">
            <w:pPr>
              <w:ind w:left="0" w:firstLine="0"/>
              <w:jc w:val="center"/>
              <w:rPr>
                <w:rFonts w:cstheme="minorHAnsi"/>
                <w:b/>
                <w:bCs/>
                <w:sz w:val="20"/>
              </w:rPr>
            </w:pPr>
            <w:r>
              <w:rPr>
                <w:rFonts w:cstheme="minorHAnsi"/>
                <w:b/>
                <w:bCs/>
                <w:sz w:val="20"/>
              </w:rPr>
              <w:t>Secteurs concernés à titre indicatif</w:t>
            </w:r>
          </w:p>
        </w:tc>
      </w:tr>
      <w:tr w:rsidR="00652D99" w14:paraId="056C0D0D" w14:textId="77777777">
        <w:trPr>
          <w:trHeight w:val="287"/>
        </w:trPr>
        <w:tc>
          <w:tcPr>
            <w:tcW w:w="5000" w:type="pct"/>
            <w:gridSpan w:val="3"/>
            <w:shd w:val="clear" w:color="auto" w:fill="9BBB59" w:themeFill="accent3"/>
            <w:vAlign w:val="center"/>
          </w:tcPr>
          <w:p w14:paraId="63AD2B89" w14:textId="77777777" w:rsidR="00652D99" w:rsidRDefault="00D011FB">
            <w:pPr>
              <w:ind w:left="0" w:firstLine="0"/>
              <w:jc w:val="center"/>
              <w:rPr>
                <w:rFonts w:cstheme="minorHAnsi"/>
                <w:b/>
                <w:bCs/>
                <w:sz w:val="20"/>
              </w:rPr>
            </w:pPr>
            <w:r>
              <w:rPr>
                <w:rFonts w:cstheme="minorHAnsi"/>
                <w:b/>
                <w:bCs/>
                <w:sz w:val="20"/>
              </w:rPr>
              <w:t>Modification du mix énergétique</w:t>
            </w:r>
          </w:p>
        </w:tc>
      </w:tr>
      <w:tr w:rsidR="00652D99" w14:paraId="4F8B394F" w14:textId="77777777">
        <w:trPr>
          <w:trHeight w:val="347"/>
        </w:trPr>
        <w:tc>
          <w:tcPr>
            <w:tcW w:w="1737" w:type="pct"/>
            <w:shd w:val="clear" w:color="auto" w:fill="auto"/>
            <w:vAlign w:val="center"/>
          </w:tcPr>
          <w:p w14:paraId="1D3D5CE1" w14:textId="77777777" w:rsidR="00652D99" w:rsidRDefault="00D011FB">
            <w:pPr>
              <w:ind w:left="0" w:firstLine="0"/>
              <w:jc w:val="center"/>
              <w:rPr>
                <w:rFonts w:cstheme="minorHAnsi"/>
                <w:sz w:val="20"/>
              </w:rPr>
            </w:pPr>
            <w:r>
              <w:rPr>
                <w:rFonts w:cstheme="minorHAnsi"/>
                <w:sz w:val="20"/>
              </w:rPr>
              <w:t>Pompe à chaleur</w:t>
            </w:r>
          </w:p>
        </w:tc>
        <w:tc>
          <w:tcPr>
            <w:tcW w:w="1598" w:type="pct"/>
            <w:shd w:val="clear" w:color="auto" w:fill="auto"/>
            <w:vAlign w:val="center"/>
          </w:tcPr>
          <w:p w14:paraId="5620DD35" w14:textId="4EE142A0" w:rsidR="00652D99" w:rsidRDefault="00CE790F">
            <w:pPr>
              <w:ind w:left="0" w:firstLine="0"/>
              <w:jc w:val="center"/>
              <w:rPr>
                <w:rFonts w:cstheme="minorHAnsi"/>
                <w:sz w:val="20"/>
              </w:rPr>
            </w:pPr>
            <w:r>
              <w:rPr>
                <w:rFonts w:cstheme="minorHAnsi"/>
                <w:sz w:val="20"/>
              </w:rPr>
              <w:t>Selon les exigences du Fonds Chaleur</w:t>
            </w:r>
            <w:r w:rsidR="002742C2">
              <w:rPr>
                <w:rStyle w:val="Appelnotedebasdep"/>
                <w:rFonts w:cstheme="minorHAnsi"/>
                <w:sz w:val="20"/>
              </w:rPr>
              <w:footnoteReference w:id="4"/>
            </w:r>
          </w:p>
        </w:tc>
        <w:tc>
          <w:tcPr>
            <w:tcW w:w="1665" w:type="pct"/>
            <w:shd w:val="clear" w:color="auto" w:fill="auto"/>
            <w:vAlign w:val="center"/>
          </w:tcPr>
          <w:p w14:paraId="45D3204E" w14:textId="77777777" w:rsidR="00652D99" w:rsidRDefault="00D011FB">
            <w:pPr>
              <w:ind w:left="0" w:firstLine="0"/>
              <w:jc w:val="center"/>
              <w:rPr>
                <w:rFonts w:cstheme="minorHAnsi"/>
                <w:sz w:val="20"/>
              </w:rPr>
            </w:pPr>
            <w:r>
              <w:rPr>
                <w:rFonts w:cstheme="minorHAnsi"/>
                <w:sz w:val="20"/>
              </w:rPr>
              <w:t>Tout secteur</w:t>
            </w:r>
          </w:p>
        </w:tc>
      </w:tr>
      <w:tr w:rsidR="00652D99" w14:paraId="5DF3C8F9" w14:textId="77777777">
        <w:trPr>
          <w:trHeight w:val="347"/>
        </w:trPr>
        <w:tc>
          <w:tcPr>
            <w:tcW w:w="1737" w:type="pct"/>
            <w:shd w:val="clear" w:color="auto" w:fill="auto"/>
            <w:vAlign w:val="center"/>
          </w:tcPr>
          <w:p w14:paraId="2B2277E6" w14:textId="77777777" w:rsidR="00652D99" w:rsidRDefault="00D011FB">
            <w:pPr>
              <w:ind w:left="0" w:firstLine="0"/>
              <w:jc w:val="center"/>
              <w:rPr>
                <w:rFonts w:cstheme="minorHAnsi"/>
                <w:sz w:val="20"/>
              </w:rPr>
            </w:pPr>
            <w:r>
              <w:rPr>
                <w:rFonts w:cstheme="minorHAnsi"/>
                <w:sz w:val="20"/>
              </w:rPr>
              <w:t>Four électrique</w:t>
            </w:r>
          </w:p>
        </w:tc>
        <w:tc>
          <w:tcPr>
            <w:tcW w:w="1598" w:type="pct"/>
            <w:shd w:val="clear" w:color="auto" w:fill="auto"/>
            <w:vAlign w:val="center"/>
          </w:tcPr>
          <w:p w14:paraId="645E711E" w14:textId="77777777" w:rsidR="00652D99" w:rsidRDefault="00D011FB">
            <w:pPr>
              <w:ind w:left="0" w:firstLine="0"/>
              <w:jc w:val="center"/>
              <w:rPr>
                <w:rFonts w:cstheme="minorHAnsi"/>
                <w:sz w:val="20"/>
              </w:rPr>
            </w:pPr>
            <w:r>
              <w:rPr>
                <w:rFonts w:cstheme="minorHAnsi"/>
                <w:sz w:val="20"/>
              </w:rPr>
              <w:t>-</w:t>
            </w:r>
          </w:p>
        </w:tc>
        <w:tc>
          <w:tcPr>
            <w:tcW w:w="1665" w:type="pct"/>
            <w:shd w:val="clear" w:color="auto" w:fill="auto"/>
            <w:vAlign w:val="center"/>
          </w:tcPr>
          <w:p w14:paraId="16267F71" w14:textId="77777777" w:rsidR="00652D99" w:rsidRDefault="00D011FB">
            <w:pPr>
              <w:ind w:left="0" w:firstLine="0"/>
              <w:jc w:val="center"/>
              <w:rPr>
                <w:rFonts w:cstheme="minorHAnsi"/>
                <w:sz w:val="20"/>
              </w:rPr>
            </w:pPr>
            <w:r>
              <w:rPr>
                <w:rFonts w:cstheme="minorHAnsi"/>
                <w:sz w:val="20"/>
              </w:rPr>
              <w:t>-</w:t>
            </w:r>
          </w:p>
        </w:tc>
      </w:tr>
      <w:tr w:rsidR="00652D99" w14:paraId="69901F69" w14:textId="77777777">
        <w:trPr>
          <w:trHeight w:val="347"/>
        </w:trPr>
        <w:tc>
          <w:tcPr>
            <w:tcW w:w="1737" w:type="pct"/>
            <w:shd w:val="clear" w:color="auto" w:fill="auto"/>
            <w:vAlign w:val="center"/>
          </w:tcPr>
          <w:p w14:paraId="3D48D9BD" w14:textId="77777777" w:rsidR="00652D99" w:rsidRDefault="00D011FB">
            <w:pPr>
              <w:ind w:left="0" w:firstLine="0"/>
              <w:jc w:val="center"/>
              <w:rPr>
                <w:rFonts w:cstheme="minorHAnsi"/>
                <w:sz w:val="20"/>
              </w:rPr>
            </w:pPr>
            <w:r>
              <w:rPr>
                <w:rFonts w:cstheme="minorHAnsi"/>
                <w:sz w:val="20"/>
              </w:rPr>
              <w:t>Matériel permettant une chauffe en surface ou dans la masse</w:t>
            </w:r>
            <w:r>
              <w:rPr>
                <w:rFonts w:ascii="Calibri" w:hAnsi="Calibri" w:cs="Calibri"/>
                <w:sz w:val="20"/>
              </w:rPr>
              <w:t> </w:t>
            </w:r>
            <w:r>
              <w:rPr>
                <w:rFonts w:cstheme="minorHAnsi"/>
                <w:sz w:val="20"/>
              </w:rPr>
              <w:t>: hautes fréquences, rayonnement UV, micro-ondes, infrarouge</w:t>
            </w:r>
          </w:p>
        </w:tc>
        <w:tc>
          <w:tcPr>
            <w:tcW w:w="1598" w:type="pct"/>
            <w:shd w:val="clear" w:color="auto" w:fill="auto"/>
            <w:vAlign w:val="center"/>
          </w:tcPr>
          <w:p w14:paraId="2ED5F450" w14:textId="77777777" w:rsidR="00652D99" w:rsidRDefault="00652D99">
            <w:pPr>
              <w:ind w:left="0" w:firstLine="0"/>
              <w:jc w:val="center"/>
              <w:rPr>
                <w:rFonts w:cstheme="minorHAnsi"/>
                <w:sz w:val="20"/>
              </w:rPr>
            </w:pPr>
          </w:p>
          <w:p w14:paraId="610A73EE" w14:textId="77777777" w:rsidR="00652D99" w:rsidRDefault="00D011FB">
            <w:pPr>
              <w:ind w:left="0" w:firstLine="0"/>
              <w:jc w:val="center"/>
              <w:rPr>
                <w:rFonts w:cstheme="minorHAnsi"/>
                <w:sz w:val="20"/>
              </w:rPr>
            </w:pPr>
            <w:r>
              <w:rPr>
                <w:rFonts w:cstheme="minorHAnsi"/>
                <w:sz w:val="20"/>
              </w:rPr>
              <w:t>Pour tout usage haute-température</w:t>
            </w:r>
          </w:p>
        </w:tc>
        <w:tc>
          <w:tcPr>
            <w:tcW w:w="1665" w:type="pct"/>
            <w:shd w:val="clear" w:color="auto" w:fill="auto"/>
            <w:vAlign w:val="center"/>
          </w:tcPr>
          <w:p w14:paraId="690E6D9D" w14:textId="77777777" w:rsidR="00652D99" w:rsidRDefault="00D011FB">
            <w:pPr>
              <w:ind w:left="0" w:firstLine="0"/>
              <w:jc w:val="center"/>
              <w:rPr>
                <w:rFonts w:cstheme="minorHAnsi"/>
                <w:sz w:val="20"/>
              </w:rPr>
            </w:pPr>
            <w:r>
              <w:rPr>
                <w:rFonts w:cstheme="minorHAnsi"/>
                <w:sz w:val="20"/>
              </w:rPr>
              <w:t>Tout secteur hors secteur agro-alimentaire</w:t>
            </w:r>
          </w:p>
        </w:tc>
      </w:tr>
      <w:tr w:rsidR="00652D99" w14:paraId="612DEA70" w14:textId="77777777">
        <w:trPr>
          <w:trHeight w:val="347"/>
        </w:trPr>
        <w:tc>
          <w:tcPr>
            <w:tcW w:w="1737" w:type="pct"/>
            <w:shd w:val="clear" w:color="auto" w:fill="auto"/>
            <w:vAlign w:val="center"/>
          </w:tcPr>
          <w:p w14:paraId="5911F741" w14:textId="77777777" w:rsidR="00652D99" w:rsidRDefault="00D011FB">
            <w:pPr>
              <w:ind w:left="0" w:firstLine="0"/>
              <w:jc w:val="center"/>
              <w:rPr>
                <w:rFonts w:cstheme="minorHAnsi"/>
                <w:sz w:val="20"/>
              </w:rPr>
            </w:pPr>
            <w:r>
              <w:rPr>
                <w:rFonts w:cstheme="minorHAnsi"/>
                <w:sz w:val="20"/>
              </w:rPr>
              <w:t>Vapocraqueur électrique</w:t>
            </w:r>
          </w:p>
        </w:tc>
        <w:tc>
          <w:tcPr>
            <w:tcW w:w="1598" w:type="pct"/>
            <w:shd w:val="clear" w:color="auto" w:fill="auto"/>
            <w:vAlign w:val="center"/>
          </w:tcPr>
          <w:p w14:paraId="214758F9" w14:textId="77777777" w:rsidR="00652D99" w:rsidRDefault="00D011FB">
            <w:pPr>
              <w:ind w:left="0" w:firstLine="0"/>
              <w:jc w:val="center"/>
              <w:rPr>
                <w:rFonts w:cstheme="minorHAnsi"/>
                <w:sz w:val="20"/>
              </w:rPr>
            </w:pPr>
            <w:r>
              <w:rPr>
                <w:rFonts w:cstheme="minorHAnsi"/>
                <w:sz w:val="20"/>
              </w:rPr>
              <w:t>-</w:t>
            </w:r>
          </w:p>
        </w:tc>
        <w:tc>
          <w:tcPr>
            <w:tcW w:w="1665" w:type="pct"/>
            <w:shd w:val="clear" w:color="auto" w:fill="auto"/>
            <w:vAlign w:val="center"/>
          </w:tcPr>
          <w:p w14:paraId="492D1290" w14:textId="77777777" w:rsidR="00652D99" w:rsidRDefault="00D011FB">
            <w:pPr>
              <w:ind w:left="0" w:firstLine="0"/>
              <w:jc w:val="center"/>
              <w:rPr>
                <w:rFonts w:cstheme="minorHAnsi"/>
                <w:sz w:val="20"/>
              </w:rPr>
            </w:pPr>
            <w:r>
              <w:rPr>
                <w:rFonts w:cstheme="minorHAnsi"/>
                <w:sz w:val="20"/>
              </w:rPr>
              <w:t>-</w:t>
            </w:r>
          </w:p>
        </w:tc>
      </w:tr>
      <w:tr w:rsidR="00652D99" w14:paraId="26E47C81" w14:textId="77777777">
        <w:trPr>
          <w:trHeight w:val="347"/>
        </w:trPr>
        <w:tc>
          <w:tcPr>
            <w:tcW w:w="5000" w:type="pct"/>
            <w:gridSpan w:val="3"/>
            <w:shd w:val="clear" w:color="auto" w:fill="95B3D7" w:themeFill="accent1" w:themeFillTint="99"/>
            <w:vAlign w:val="center"/>
          </w:tcPr>
          <w:p w14:paraId="3987B982" w14:textId="77777777" w:rsidR="00652D99" w:rsidRDefault="00D011FB">
            <w:pPr>
              <w:ind w:left="0" w:firstLine="0"/>
              <w:jc w:val="center"/>
              <w:rPr>
                <w:rFonts w:cstheme="minorHAnsi"/>
                <w:sz w:val="20"/>
              </w:rPr>
            </w:pPr>
            <w:r>
              <w:rPr>
                <w:rFonts w:cstheme="minorHAnsi"/>
                <w:b/>
                <w:bCs/>
                <w:sz w:val="20"/>
              </w:rPr>
              <w:t>Modification du mix matières</w:t>
            </w:r>
          </w:p>
        </w:tc>
      </w:tr>
      <w:tr w:rsidR="00652D99" w14:paraId="075D97DE" w14:textId="77777777">
        <w:trPr>
          <w:trHeight w:val="347"/>
        </w:trPr>
        <w:tc>
          <w:tcPr>
            <w:tcW w:w="1737" w:type="pct"/>
            <w:shd w:val="clear" w:color="auto" w:fill="auto"/>
            <w:vAlign w:val="center"/>
          </w:tcPr>
          <w:p w14:paraId="26893742" w14:textId="77777777" w:rsidR="00652D99" w:rsidRDefault="00D011FB">
            <w:pPr>
              <w:ind w:left="0" w:firstLine="0"/>
              <w:jc w:val="center"/>
              <w:rPr>
                <w:rFonts w:cstheme="minorHAnsi"/>
                <w:sz w:val="20"/>
              </w:rPr>
            </w:pPr>
            <w:r>
              <w:rPr>
                <w:rFonts w:cstheme="minorHAnsi"/>
                <w:sz w:val="20"/>
              </w:rPr>
              <w:t>Anode inerte</w:t>
            </w:r>
          </w:p>
        </w:tc>
        <w:tc>
          <w:tcPr>
            <w:tcW w:w="1598" w:type="pct"/>
            <w:shd w:val="clear" w:color="auto" w:fill="auto"/>
            <w:vAlign w:val="center"/>
          </w:tcPr>
          <w:p w14:paraId="7919A302" w14:textId="77777777" w:rsidR="00652D99" w:rsidRDefault="00D011FB">
            <w:pPr>
              <w:ind w:left="0" w:firstLine="0"/>
              <w:jc w:val="center"/>
              <w:rPr>
                <w:rFonts w:cstheme="minorHAnsi"/>
                <w:sz w:val="20"/>
              </w:rPr>
            </w:pPr>
            <w:r>
              <w:rPr>
                <w:rFonts w:cstheme="minorHAnsi"/>
                <w:sz w:val="20"/>
              </w:rPr>
              <w:t>-</w:t>
            </w:r>
          </w:p>
        </w:tc>
        <w:tc>
          <w:tcPr>
            <w:tcW w:w="1665" w:type="pct"/>
            <w:shd w:val="clear" w:color="auto" w:fill="auto"/>
            <w:vAlign w:val="center"/>
          </w:tcPr>
          <w:p w14:paraId="678F813B" w14:textId="77777777" w:rsidR="00652D99" w:rsidRDefault="00D011FB">
            <w:pPr>
              <w:ind w:left="0" w:firstLine="0"/>
              <w:jc w:val="center"/>
              <w:rPr>
                <w:rFonts w:cstheme="minorHAnsi"/>
                <w:sz w:val="20"/>
              </w:rPr>
            </w:pPr>
            <w:r>
              <w:rPr>
                <w:rFonts w:cstheme="minorHAnsi"/>
                <w:sz w:val="20"/>
              </w:rPr>
              <w:t>Aluminium</w:t>
            </w:r>
          </w:p>
        </w:tc>
      </w:tr>
    </w:tbl>
    <w:p w14:paraId="2C97D48D" w14:textId="77777777" w:rsidR="00652D99" w:rsidRDefault="00652D99">
      <w:pPr>
        <w:ind w:left="0" w:firstLine="0"/>
        <w:jc w:val="both"/>
        <w:rPr>
          <w:rFonts w:cstheme="minorHAnsi"/>
          <w:sz w:val="20"/>
        </w:rPr>
      </w:pPr>
    </w:p>
    <w:p w14:paraId="57C1E1D7" w14:textId="77777777" w:rsidR="00652D99" w:rsidRDefault="00652D99">
      <w:pPr>
        <w:ind w:left="0" w:firstLine="0"/>
        <w:jc w:val="both"/>
        <w:rPr>
          <w:rFonts w:cstheme="minorHAnsi"/>
          <w:sz w:val="20"/>
        </w:rPr>
      </w:pPr>
    </w:p>
    <w:p w14:paraId="4401CCEC" w14:textId="77777777" w:rsidR="00652D99" w:rsidRDefault="00652D99">
      <w:pPr>
        <w:ind w:left="0" w:firstLine="0"/>
        <w:jc w:val="both"/>
        <w:rPr>
          <w:rFonts w:cstheme="minorHAnsi"/>
          <w:sz w:val="20"/>
        </w:rPr>
      </w:pPr>
    </w:p>
    <w:p w14:paraId="141F4F15" w14:textId="77777777" w:rsidR="00652D99" w:rsidRDefault="00D011FB">
      <w:pPr>
        <w:spacing w:after="100"/>
        <w:rPr>
          <w:sz w:val="20"/>
        </w:rPr>
      </w:pPr>
      <w:r>
        <w:rPr>
          <w:sz w:val="20"/>
        </w:rPr>
        <w:br w:type="page" w:clear="all"/>
      </w:r>
    </w:p>
    <w:p w14:paraId="102987D6" w14:textId="248FDE8B" w:rsidR="00652D99" w:rsidRDefault="00D011FB">
      <w:pPr>
        <w:pStyle w:val="Titre1"/>
        <w:keepLines/>
        <w:shd w:val="clear" w:color="auto" w:fill="auto"/>
        <w:spacing w:before="0" w:after="0" w:line="259" w:lineRule="auto"/>
        <w:jc w:val="center"/>
        <w:rPr>
          <w:rFonts w:eastAsia="Arial" w:cs="Times New Roman"/>
          <w:smallCaps w:val="0"/>
          <w:color w:val="4F81BD"/>
          <w:szCs w:val="32"/>
        </w:rPr>
      </w:pPr>
      <w:bookmarkStart w:id="32" w:name="_Toc153893260"/>
      <w:r>
        <w:rPr>
          <w:rFonts w:eastAsia="Arial" w:cs="Times New Roman"/>
          <w:smallCaps w:val="0"/>
          <w:color w:val="4F81BD" w:themeColor="accent1"/>
          <w:szCs w:val="32"/>
        </w:rPr>
        <w:lastRenderedPageBreak/>
        <w:t xml:space="preserve">Annexe </w:t>
      </w:r>
      <w:r>
        <w:rPr>
          <w:rFonts w:eastAsia="Arial" w:cs="Times New Roman"/>
          <w:smallCaps w:val="0"/>
          <w:color w:val="4F81BD" w:themeColor="accent1"/>
          <w:szCs w:val="32"/>
        </w:rPr>
        <w:fldChar w:fldCharType="begin"/>
      </w:r>
      <w:r>
        <w:rPr>
          <w:rFonts w:eastAsia="Arial" w:cs="Times New Roman"/>
          <w:smallCaps w:val="0"/>
          <w:color w:val="4F81BD" w:themeColor="accent1"/>
          <w:szCs w:val="32"/>
        </w:rPr>
        <w:instrText xml:space="preserve"> SEQ Annexe \* ARABIC </w:instrText>
      </w:r>
      <w:r>
        <w:rPr>
          <w:rFonts w:eastAsia="Arial" w:cs="Times New Roman"/>
          <w:smallCaps w:val="0"/>
          <w:color w:val="4F81BD" w:themeColor="accent1"/>
          <w:szCs w:val="32"/>
        </w:rPr>
        <w:fldChar w:fldCharType="separate"/>
      </w:r>
      <w:r>
        <w:rPr>
          <w:rFonts w:eastAsia="Arial" w:cs="Times New Roman"/>
          <w:smallCaps w:val="0"/>
          <w:noProof/>
          <w:color w:val="4F81BD" w:themeColor="accent1"/>
          <w:szCs w:val="32"/>
        </w:rPr>
        <w:t>3</w:t>
      </w:r>
      <w:r>
        <w:rPr>
          <w:rFonts w:eastAsia="Arial" w:cs="Times New Roman"/>
          <w:smallCaps w:val="0"/>
          <w:color w:val="4F81BD" w:themeColor="accent1"/>
          <w:szCs w:val="32"/>
        </w:rPr>
        <w:fldChar w:fldCharType="end"/>
      </w:r>
      <w:bookmarkEnd w:id="30"/>
      <w:r>
        <w:rPr>
          <w:rFonts w:ascii="Calibri" w:eastAsia="Arial" w:hAnsi="Calibri"/>
          <w:smallCaps w:val="0"/>
          <w:color w:val="4F81BD" w:themeColor="accent1"/>
          <w:szCs w:val="32"/>
        </w:rPr>
        <w:t> </w:t>
      </w:r>
      <w:r>
        <w:rPr>
          <w:rFonts w:eastAsia="Arial" w:cs="Times New Roman"/>
          <w:smallCaps w:val="0"/>
          <w:color w:val="4F81BD" w:themeColor="accent1"/>
          <w:szCs w:val="32"/>
        </w:rPr>
        <w:t>– Éléments explicatifs du concept de Scénario contrefactuel</w:t>
      </w:r>
      <w:bookmarkEnd w:id="32"/>
    </w:p>
    <w:p w14:paraId="244CE0DB" w14:textId="77777777" w:rsidR="00652D99" w:rsidRDefault="00652D99">
      <w:pPr>
        <w:pStyle w:val="Default"/>
        <w:spacing w:before="120" w:after="120"/>
        <w:jc w:val="both"/>
        <w:rPr>
          <w:sz w:val="23"/>
          <w:szCs w:val="23"/>
        </w:rPr>
      </w:pPr>
    </w:p>
    <w:p w14:paraId="345AE94E" w14:textId="77777777" w:rsidR="00652D99" w:rsidRDefault="00652D99">
      <w:pPr>
        <w:shd w:val="clear" w:color="auto" w:fill="FFFFFF" w:themeFill="background1"/>
        <w:ind w:left="0" w:firstLine="0"/>
        <w:jc w:val="both"/>
        <w:rPr>
          <w:rFonts w:cstheme="minorHAnsi"/>
          <w:sz w:val="20"/>
        </w:rPr>
      </w:pPr>
    </w:p>
    <w:p w14:paraId="1EB53492" w14:textId="77777777" w:rsidR="00652D99" w:rsidRDefault="00D011FB">
      <w:pPr>
        <w:shd w:val="clear" w:color="auto" w:fill="FFFFFF" w:themeFill="background1"/>
        <w:ind w:left="0" w:firstLine="0"/>
        <w:jc w:val="both"/>
        <w:rPr>
          <w:rFonts w:cstheme="minorHAnsi"/>
          <w:sz w:val="20"/>
        </w:rPr>
      </w:pPr>
      <w:r>
        <w:rPr>
          <w:rFonts w:cstheme="minorHAnsi"/>
          <w:sz w:val="20"/>
        </w:rPr>
        <w:t>Les coûts admissibles sont les coûts d’investissement supplémentaires en faveur de l’environnement déterminés en comparant les coûts de l’investissement à ceux d’un scénario contrefactuel qui se produirait en l’absence d’aide.</w:t>
      </w:r>
    </w:p>
    <w:p w14:paraId="28AE99B6" w14:textId="7DA52D18" w:rsidR="00652D99" w:rsidRDefault="00D011FB">
      <w:pPr>
        <w:shd w:val="clear" w:color="auto" w:fill="FFFFFF" w:themeFill="background1"/>
        <w:ind w:left="0" w:firstLine="0"/>
        <w:jc w:val="both"/>
        <w:rPr>
          <w:rFonts w:cstheme="minorHAnsi"/>
          <w:sz w:val="20"/>
        </w:rPr>
      </w:pPr>
      <w:r>
        <w:rPr>
          <w:rFonts w:cstheme="minorHAnsi"/>
          <w:sz w:val="20"/>
        </w:rPr>
        <w:t xml:space="preserve">Le demandeur doit définir technologiquement le scénario contrefactuel en faisant état de </w:t>
      </w:r>
      <w:r w:rsidR="002B53DC">
        <w:rPr>
          <w:rFonts w:cstheme="minorHAnsi"/>
          <w:sz w:val="20"/>
        </w:rPr>
        <w:t>s</w:t>
      </w:r>
      <w:r>
        <w:rPr>
          <w:rFonts w:cstheme="minorHAnsi"/>
          <w:sz w:val="20"/>
        </w:rPr>
        <w:t>es performances environnementales et énergétiques moindres et des coûts qui lui sont associés.</w:t>
      </w:r>
    </w:p>
    <w:p w14:paraId="4D4B9855" w14:textId="77777777" w:rsidR="00652D99" w:rsidRDefault="00652D99">
      <w:pPr>
        <w:shd w:val="clear" w:color="auto" w:fill="FFFFFF" w:themeFill="background1"/>
        <w:ind w:left="0" w:firstLine="0"/>
        <w:jc w:val="both"/>
        <w:rPr>
          <w:rFonts w:cstheme="minorHAnsi"/>
          <w:sz w:val="20"/>
        </w:rPr>
      </w:pPr>
    </w:p>
    <w:p w14:paraId="681FDE13" w14:textId="77777777" w:rsidR="00652D99" w:rsidRDefault="00D011FB">
      <w:pPr>
        <w:shd w:val="clear" w:color="auto" w:fill="FFFFFF" w:themeFill="background1"/>
        <w:ind w:left="0" w:firstLine="0"/>
        <w:jc w:val="both"/>
        <w:rPr>
          <w:rFonts w:cstheme="minorHAnsi"/>
          <w:sz w:val="20"/>
        </w:rPr>
      </w:pPr>
      <w:r>
        <w:rPr>
          <w:rFonts w:cstheme="minorHAnsi"/>
          <w:b/>
          <w:bCs/>
          <w:sz w:val="20"/>
          <w:u w:val="single"/>
        </w:rPr>
        <w:t>Cas n°1</w:t>
      </w:r>
      <w:r>
        <w:rPr>
          <w:rFonts w:ascii="Calibri" w:hAnsi="Calibri" w:cs="Calibri"/>
          <w:b/>
          <w:bCs/>
          <w:sz w:val="20"/>
          <w:u w:val="single"/>
        </w:rPr>
        <w:t> </w:t>
      </w:r>
      <w:r>
        <w:rPr>
          <w:rFonts w:cstheme="minorHAnsi"/>
          <w:b/>
          <w:bCs/>
          <w:sz w:val="20"/>
          <w:u w:val="single"/>
        </w:rPr>
        <w:t>: le scénario contrefactuel consiste en une solution de marché bien identifiée</w:t>
      </w:r>
    </w:p>
    <w:p w14:paraId="29978001" w14:textId="77777777" w:rsidR="00652D99" w:rsidRDefault="00652D99">
      <w:pPr>
        <w:shd w:val="clear" w:color="auto" w:fill="FFFFFF" w:themeFill="background1"/>
        <w:ind w:left="0" w:firstLine="0"/>
        <w:jc w:val="both"/>
        <w:rPr>
          <w:rFonts w:cstheme="minorHAnsi"/>
          <w:sz w:val="20"/>
        </w:rPr>
      </w:pPr>
    </w:p>
    <w:p w14:paraId="34167EEE" w14:textId="77777777" w:rsidR="00652D99" w:rsidRDefault="00D011FB">
      <w:pPr>
        <w:shd w:val="clear" w:color="auto" w:fill="FFFFFF" w:themeFill="background1"/>
        <w:ind w:left="0" w:firstLine="0"/>
        <w:jc w:val="both"/>
        <w:rPr>
          <w:rFonts w:cstheme="minorHAnsi"/>
          <w:sz w:val="20"/>
        </w:rPr>
      </w:pPr>
      <w:r>
        <w:rPr>
          <w:rFonts w:cstheme="minorHAnsi"/>
          <w:sz w:val="20"/>
        </w:rPr>
        <w:t xml:space="preserve">Lorsque le scénario contrefactuel consiste en la réalisation d’un investissement moins respectueux de l’environnement qui correspond à une pratique commerciale normale dans le secteur ou pour l’activité concernée, les coûts admissibles consistent en la différence entre les coûts de l’investissement pour lequel une aide d’État est octroyée et les coûts de l’investissement moins respectueux de l’environnement ; </w:t>
      </w:r>
    </w:p>
    <w:p w14:paraId="5E103EC2" w14:textId="77777777" w:rsidR="00652D99" w:rsidRDefault="00652D99">
      <w:pPr>
        <w:shd w:val="clear" w:color="auto" w:fill="FFFFFF" w:themeFill="background1"/>
        <w:ind w:left="0" w:firstLine="0"/>
        <w:jc w:val="both"/>
        <w:rPr>
          <w:rFonts w:cstheme="minorHAnsi"/>
          <w:sz w:val="20"/>
        </w:rPr>
      </w:pPr>
    </w:p>
    <w:p w14:paraId="30449190" w14:textId="77777777" w:rsidR="00652D99" w:rsidRDefault="00D011FB">
      <w:pPr>
        <w:shd w:val="clear" w:color="auto" w:fill="FFFFFF" w:themeFill="background1"/>
        <w:ind w:left="0" w:firstLine="0"/>
        <w:jc w:val="both"/>
        <w:rPr>
          <w:rFonts w:cstheme="minorHAnsi"/>
          <w:sz w:val="20"/>
        </w:rPr>
      </w:pPr>
      <w:r>
        <w:rPr>
          <w:rFonts w:cstheme="minorHAnsi"/>
          <w:b/>
          <w:bCs/>
          <w:sz w:val="20"/>
        </w:rPr>
        <w:t>Exemple</w:t>
      </w:r>
      <w:r>
        <w:rPr>
          <w:rFonts w:ascii="Calibri" w:hAnsi="Calibri" w:cs="Calibri"/>
          <w:sz w:val="20"/>
        </w:rPr>
        <w:t> </w:t>
      </w:r>
      <w:r>
        <w:rPr>
          <w:rFonts w:cstheme="minorHAnsi"/>
          <w:sz w:val="20"/>
        </w:rPr>
        <w:t>: projet de remplacement d’une chaudière vapeur fonctionnant au gaz naturel par une nouvelle chaudière électrique</w:t>
      </w:r>
    </w:p>
    <w:p w14:paraId="5191092B" w14:textId="1558512A" w:rsidR="00652D99" w:rsidRDefault="00D011FB" w:rsidP="00426530">
      <w:pPr>
        <w:pStyle w:val="Paragraphedeliste"/>
        <w:numPr>
          <w:ilvl w:val="0"/>
          <w:numId w:val="14"/>
        </w:numPr>
        <w:shd w:val="clear" w:color="auto" w:fill="FFFFFF" w:themeFill="background1"/>
        <w:jc w:val="both"/>
        <w:rPr>
          <w:rFonts w:cstheme="minorHAnsi"/>
          <w:sz w:val="20"/>
        </w:rPr>
      </w:pPr>
      <w:r>
        <w:rPr>
          <w:rFonts w:cstheme="minorHAnsi"/>
          <w:sz w:val="20"/>
        </w:rPr>
        <w:t>Les fiches explicatives CEE standards nous indiquent que pour le parc existant, la production de vapeur est assurée par des chaudière</w:t>
      </w:r>
      <w:r w:rsidR="002B53DC">
        <w:rPr>
          <w:rFonts w:cstheme="minorHAnsi"/>
          <w:sz w:val="20"/>
        </w:rPr>
        <w:t>s au</w:t>
      </w:r>
      <w:r>
        <w:rPr>
          <w:rFonts w:cstheme="minorHAnsi"/>
          <w:sz w:val="20"/>
        </w:rPr>
        <w:t xml:space="preserve"> gaz naturel dont le rendement est de 86.6%</w:t>
      </w:r>
      <w:r>
        <w:rPr>
          <w:rFonts w:ascii="Calibri" w:hAnsi="Calibri" w:cs="Calibri"/>
          <w:sz w:val="20"/>
        </w:rPr>
        <w:t> </w:t>
      </w:r>
      <w:r>
        <w:rPr>
          <w:rFonts w:cstheme="minorHAnsi"/>
          <w:sz w:val="20"/>
        </w:rPr>
        <w:t>;</w:t>
      </w:r>
    </w:p>
    <w:p w14:paraId="441997E1" w14:textId="44BFDEBD" w:rsidR="00652D99" w:rsidRDefault="00D011FB" w:rsidP="00426530">
      <w:pPr>
        <w:pStyle w:val="Paragraphedeliste"/>
        <w:numPr>
          <w:ilvl w:val="0"/>
          <w:numId w:val="14"/>
        </w:numPr>
        <w:shd w:val="clear" w:color="auto" w:fill="FFFFFF" w:themeFill="background1"/>
        <w:jc w:val="both"/>
        <w:rPr>
          <w:rFonts w:cstheme="minorHAnsi"/>
          <w:sz w:val="20"/>
        </w:rPr>
      </w:pPr>
      <w:r>
        <w:rPr>
          <w:rFonts w:cstheme="minorHAnsi"/>
          <w:sz w:val="20"/>
        </w:rPr>
        <w:t>Le scénario contrefactuel correspond</w:t>
      </w:r>
      <w:r w:rsidR="002B53DC">
        <w:rPr>
          <w:rFonts w:cstheme="minorHAnsi"/>
          <w:sz w:val="20"/>
        </w:rPr>
        <w:t xml:space="preserve"> </w:t>
      </w:r>
      <w:r>
        <w:rPr>
          <w:rFonts w:cstheme="minorHAnsi"/>
          <w:sz w:val="20"/>
        </w:rPr>
        <w:t xml:space="preserve">donc à une nouvelle chaudière fonctionnant au gaz naturel avec un rendement minimal de 86,6%. </w:t>
      </w:r>
    </w:p>
    <w:p w14:paraId="24E463BD" w14:textId="0FD0DD98" w:rsidR="00652D99" w:rsidRDefault="00D011FB" w:rsidP="00426530">
      <w:pPr>
        <w:pStyle w:val="Paragraphedeliste"/>
        <w:numPr>
          <w:ilvl w:val="0"/>
          <w:numId w:val="14"/>
        </w:numPr>
        <w:shd w:val="clear" w:color="auto" w:fill="FFFFFF" w:themeFill="background1"/>
        <w:jc w:val="both"/>
        <w:rPr>
          <w:rFonts w:cstheme="minorHAnsi"/>
          <w:sz w:val="20"/>
        </w:rPr>
      </w:pPr>
      <w:r>
        <w:rPr>
          <w:rFonts w:cstheme="minorHAnsi"/>
          <w:sz w:val="20"/>
        </w:rPr>
        <w:t xml:space="preserve">Les coûts admissibles </w:t>
      </w:r>
      <w:r w:rsidR="002B53DC">
        <w:rPr>
          <w:rFonts w:cstheme="minorHAnsi"/>
          <w:sz w:val="20"/>
        </w:rPr>
        <w:t xml:space="preserve">sont </w:t>
      </w:r>
      <w:r>
        <w:rPr>
          <w:rFonts w:cstheme="minorHAnsi"/>
          <w:sz w:val="20"/>
        </w:rPr>
        <w:t>alors égaux à la différence entre les dépenses éligibles et le coût de la nouvelle chaudière fonctionnant au gaz naturel.</w:t>
      </w:r>
    </w:p>
    <w:p w14:paraId="68D30AB2" w14:textId="77777777" w:rsidR="00652D99" w:rsidRDefault="00652D99">
      <w:pPr>
        <w:shd w:val="clear" w:color="auto" w:fill="FFFFFF" w:themeFill="background1"/>
        <w:jc w:val="both"/>
        <w:rPr>
          <w:rFonts w:cstheme="minorHAnsi"/>
          <w:sz w:val="20"/>
        </w:rPr>
      </w:pPr>
    </w:p>
    <w:p w14:paraId="034E41FC" w14:textId="3153B61C" w:rsidR="00652D99" w:rsidRDefault="00D011FB">
      <w:pPr>
        <w:ind w:left="0" w:firstLine="0"/>
        <w:rPr>
          <w:rFonts w:cstheme="minorHAnsi"/>
          <w:sz w:val="20"/>
          <w:szCs w:val="18"/>
        </w:rPr>
      </w:pPr>
      <m:oMathPara>
        <m:oMath>
          <m:r>
            <w:rPr>
              <w:rFonts w:ascii="Cambria Math" w:hAnsi="Cambria Math" w:cstheme="minorHAnsi"/>
              <w:sz w:val="20"/>
              <w:szCs w:val="18"/>
            </w:rPr>
            <m:t>Coûts admissibles=Dépenses éligibles pour la réalisation de la solution-Dépenses liées à la chaudière gaz du contrefactuel</m:t>
          </m:r>
        </m:oMath>
      </m:oMathPara>
    </w:p>
    <w:p w14:paraId="6C460290" w14:textId="77777777" w:rsidR="00652D99" w:rsidRDefault="00652D99">
      <w:pPr>
        <w:shd w:val="clear" w:color="auto" w:fill="FFFFFF" w:themeFill="background1"/>
        <w:jc w:val="both"/>
        <w:rPr>
          <w:rFonts w:cstheme="minorHAnsi"/>
          <w:sz w:val="20"/>
        </w:rPr>
      </w:pPr>
    </w:p>
    <w:p w14:paraId="54DD39FC" w14:textId="77777777" w:rsidR="00652D99" w:rsidRDefault="00652D99">
      <w:pPr>
        <w:shd w:val="clear" w:color="auto" w:fill="FFFFFF" w:themeFill="background1"/>
        <w:ind w:left="0" w:firstLine="0"/>
        <w:jc w:val="both"/>
        <w:rPr>
          <w:rFonts w:cstheme="minorHAnsi"/>
          <w:sz w:val="20"/>
        </w:rPr>
      </w:pPr>
    </w:p>
    <w:p w14:paraId="46066A10" w14:textId="77777777" w:rsidR="00652D99" w:rsidRDefault="00D011FB">
      <w:pPr>
        <w:shd w:val="clear" w:color="auto" w:fill="FFFFFF" w:themeFill="background1"/>
        <w:ind w:left="0" w:firstLine="0"/>
        <w:jc w:val="both"/>
        <w:rPr>
          <w:rFonts w:cstheme="minorHAnsi"/>
          <w:b/>
          <w:bCs/>
          <w:sz w:val="20"/>
          <w:u w:val="single"/>
        </w:rPr>
      </w:pPr>
      <w:r>
        <w:rPr>
          <w:rFonts w:cstheme="minorHAnsi"/>
          <w:b/>
          <w:bCs/>
          <w:sz w:val="20"/>
          <w:u w:val="single"/>
        </w:rPr>
        <w:t>Cas n°2</w:t>
      </w:r>
      <w:r>
        <w:rPr>
          <w:rFonts w:ascii="Calibri" w:hAnsi="Calibri" w:cs="Calibri"/>
          <w:b/>
          <w:bCs/>
          <w:sz w:val="20"/>
          <w:u w:val="single"/>
        </w:rPr>
        <w:t> </w:t>
      </w:r>
      <w:r>
        <w:rPr>
          <w:rFonts w:cstheme="minorHAnsi"/>
          <w:b/>
          <w:bCs/>
          <w:sz w:val="20"/>
          <w:u w:val="single"/>
        </w:rPr>
        <w:t>: le scénario contrefactuel consiste à réaliser le même projet mais quelques années plus tard</w:t>
      </w:r>
    </w:p>
    <w:p w14:paraId="7F1FC8C4" w14:textId="77777777" w:rsidR="00652D99" w:rsidRDefault="00652D99">
      <w:pPr>
        <w:shd w:val="clear" w:color="auto" w:fill="FFFFFF" w:themeFill="background1"/>
        <w:ind w:left="0" w:firstLine="0"/>
        <w:jc w:val="both"/>
        <w:rPr>
          <w:rFonts w:cstheme="minorHAnsi"/>
          <w:sz w:val="20"/>
        </w:rPr>
      </w:pPr>
    </w:p>
    <w:p w14:paraId="0166090F" w14:textId="737E2BCE" w:rsidR="00652D99" w:rsidRDefault="00D011FB">
      <w:pPr>
        <w:shd w:val="clear" w:color="auto" w:fill="FFFFFF" w:themeFill="background1"/>
        <w:ind w:left="0" w:firstLine="0"/>
        <w:jc w:val="both"/>
        <w:rPr>
          <w:rFonts w:cstheme="minorHAnsi"/>
          <w:sz w:val="20"/>
        </w:rPr>
      </w:pPr>
      <w:r>
        <w:rPr>
          <w:rFonts w:cstheme="minorHAnsi"/>
          <w:sz w:val="20"/>
        </w:rPr>
        <w:t>Lorsque le scénario contrefactuel consiste en la réalisation du même investissement ultérieurement, les coûts admissibles consistent en la différence entre les coûts de l’investissement pour lequel une aide d’État est octroyée et la valeur actuelle nette des coûts de l’investissement ultérieur, actualisé</w:t>
      </w:r>
      <w:r w:rsidR="005E6975">
        <w:rPr>
          <w:rFonts w:cstheme="minorHAnsi"/>
          <w:sz w:val="20"/>
        </w:rPr>
        <w:t>e</w:t>
      </w:r>
      <w:r>
        <w:rPr>
          <w:rFonts w:cstheme="minorHAnsi"/>
          <w:sz w:val="20"/>
        </w:rPr>
        <w:t xml:space="preserve"> au moment où l’investissement bénéficiant de l’aide serait réalisé.</w:t>
      </w:r>
    </w:p>
    <w:p w14:paraId="42762FAF" w14:textId="77777777" w:rsidR="00652D99" w:rsidRDefault="00652D99">
      <w:pPr>
        <w:shd w:val="clear" w:color="auto" w:fill="FFFFFF" w:themeFill="background1"/>
        <w:ind w:left="0" w:firstLine="0"/>
        <w:jc w:val="both"/>
        <w:rPr>
          <w:rFonts w:cstheme="minorHAnsi"/>
          <w:sz w:val="20"/>
        </w:rPr>
      </w:pPr>
    </w:p>
    <w:p w14:paraId="4B101EFF" w14:textId="77777777" w:rsidR="00652D99" w:rsidRDefault="00D011FB">
      <w:pPr>
        <w:shd w:val="clear" w:color="auto" w:fill="FFFFFF" w:themeFill="background1"/>
        <w:ind w:left="0" w:firstLine="0"/>
        <w:jc w:val="both"/>
        <w:rPr>
          <w:rFonts w:cstheme="minorHAnsi"/>
          <w:sz w:val="20"/>
        </w:rPr>
      </w:pPr>
      <w:r>
        <w:rPr>
          <w:rFonts w:cstheme="minorHAnsi"/>
          <w:b/>
          <w:bCs/>
          <w:sz w:val="20"/>
        </w:rPr>
        <w:t>Exemple</w:t>
      </w:r>
      <w:r>
        <w:rPr>
          <w:rFonts w:ascii="Calibri" w:hAnsi="Calibri" w:cs="Calibri"/>
          <w:sz w:val="20"/>
        </w:rPr>
        <w:t> </w:t>
      </w:r>
      <w:r>
        <w:rPr>
          <w:rFonts w:cstheme="minorHAnsi"/>
          <w:sz w:val="20"/>
        </w:rPr>
        <w:t>: projet dont la mise en service est prévue en 2026. Si l’investissement contrefactuel correspond au même projet avec une mise en service prévue pour 2029 alors la valeur actuelle nette des coûts de ce dernier sera</w:t>
      </w:r>
      <w:r>
        <w:rPr>
          <w:rFonts w:ascii="Calibri" w:hAnsi="Calibri" w:cs="Calibri"/>
          <w:sz w:val="20"/>
        </w:rPr>
        <w:t> </w:t>
      </w:r>
      <w:r>
        <w:rPr>
          <w:rFonts w:cstheme="minorHAnsi"/>
          <w:sz w:val="20"/>
        </w:rPr>
        <w:t xml:space="preserve">: </w:t>
      </w:r>
    </w:p>
    <w:p w14:paraId="4481FA72" w14:textId="77777777" w:rsidR="00652D99" w:rsidRDefault="00D011FB">
      <w:pPr>
        <w:shd w:val="clear" w:color="auto" w:fill="FFFFFF" w:themeFill="background1"/>
        <w:ind w:left="0" w:firstLine="0"/>
        <w:jc w:val="center"/>
        <w:rPr>
          <w:rFonts w:cstheme="minorHAnsi"/>
          <w:sz w:val="20"/>
        </w:rPr>
      </w:pPr>
      <w:proofErr w:type="spellStart"/>
      <w:r>
        <w:rPr>
          <w:rFonts w:cstheme="minorHAnsi"/>
          <w:sz w:val="20"/>
        </w:rPr>
        <w:t>VAN</w:t>
      </w:r>
      <w:r>
        <w:rPr>
          <w:rFonts w:cstheme="minorHAnsi"/>
          <w:sz w:val="20"/>
          <w:vertAlign w:val="subscript"/>
        </w:rPr>
        <w:t>contrefactuel</w:t>
      </w:r>
      <w:proofErr w:type="spellEnd"/>
      <w:r>
        <w:rPr>
          <w:rFonts w:cstheme="minorHAnsi"/>
          <w:sz w:val="20"/>
        </w:rPr>
        <w:t xml:space="preserve"> =  </w:t>
      </w:r>
      <m:oMath>
        <m:f>
          <m:fPr>
            <m:ctrlPr>
              <w:rPr>
                <w:rFonts w:ascii="Cambria Math" w:hAnsi="Cambria Math" w:cstheme="minorHAnsi"/>
                <w:sz w:val="20"/>
              </w:rPr>
            </m:ctrlPr>
          </m:fPr>
          <m:num>
            <m:r>
              <m:rPr>
                <m:sty m:val="p"/>
              </m:rPr>
              <w:rPr>
                <w:rFonts w:ascii="Cambria Math" w:hAnsi="Cambria Math" w:cstheme="minorHAnsi"/>
                <w:sz w:val="20"/>
              </w:rPr>
              <m:t>CAPEX</m:t>
            </m:r>
          </m:num>
          <m:den>
            <m:sSup>
              <m:sSupPr>
                <m:ctrlPr>
                  <w:rPr>
                    <w:rFonts w:ascii="Cambria Math" w:hAnsi="Cambria Math" w:cstheme="minorHAnsi"/>
                    <w:sz w:val="20"/>
                  </w:rPr>
                </m:ctrlPr>
              </m:sSupPr>
              <m:e>
                <m:r>
                  <m:rPr>
                    <m:sty m:val="p"/>
                  </m:rPr>
                  <w:rPr>
                    <w:rFonts w:ascii="Cambria Math" w:hAnsi="Cambria Math" w:cstheme="minorHAnsi"/>
                    <w:sz w:val="20"/>
                  </w:rPr>
                  <m:t>(1+</m:t>
                </m:r>
                <m:r>
                  <w:rPr>
                    <w:rFonts w:ascii="Cambria Math" w:hAnsi="Cambria Math" w:cstheme="minorHAnsi"/>
                    <w:sz w:val="20"/>
                  </w:rPr>
                  <m:t>i</m:t>
                </m:r>
                <m:r>
                  <m:rPr>
                    <m:sty m:val="p"/>
                  </m:rPr>
                  <w:rPr>
                    <w:rFonts w:ascii="Cambria Math" w:hAnsi="Cambria Math" w:cstheme="minorHAnsi"/>
                    <w:sz w:val="20"/>
                  </w:rPr>
                  <m:t>)</m:t>
                </m:r>
              </m:e>
              <m:sup>
                <m:r>
                  <m:rPr>
                    <m:sty m:val="p"/>
                  </m:rPr>
                  <w:rPr>
                    <w:rFonts w:ascii="Cambria Math" w:hAnsi="Cambria Math" w:cstheme="minorHAnsi"/>
                    <w:sz w:val="20"/>
                  </w:rPr>
                  <m:t>2029-2026</m:t>
                </m:r>
              </m:sup>
            </m:sSup>
          </m:den>
        </m:f>
      </m:oMath>
    </w:p>
    <w:p w14:paraId="552B7371" w14:textId="77777777" w:rsidR="00652D99" w:rsidRDefault="00D011FB">
      <w:pPr>
        <w:shd w:val="clear" w:color="auto" w:fill="FFFFFF" w:themeFill="background1"/>
        <w:ind w:left="0" w:firstLine="0"/>
        <w:jc w:val="both"/>
        <w:rPr>
          <w:rFonts w:cstheme="minorHAnsi"/>
          <w:sz w:val="20"/>
        </w:rPr>
      </w:pPr>
      <w:r>
        <w:rPr>
          <w:rFonts w:cstheme="minorHAnsi"/>
          <w:sz w:val="20"/>
        </w:rPr>
        <w:t>Avec</w:t>
      </w:r>
      <w:r>
        <w:rPr>
          <w:rFonts w:ascii="Calibri" w:hAnsi="Calibri" w:cs="Calibri"/>
          <w:sz w:val="20"/>
        </w:rPr>
        <w:t> </w:t>
      </w:r>
      <w:r>
        <w:rPr>
          <w:rFonts w:cstheme="minorHAnsi"/>
          <w:sz w:val="20"/>
        </w:rPr>
        <w:t xml:space="preserve">: </w:t>
      </w:r>
    </w:p>
    <w:p w14:paraId="7EF89E33" w14:textId="77777777" w:rsidR="00652D99" w:rsidRDefault="00D011FB" w:rsidP="00426530">
      <w:pPr>
        <w:pStyle w:val="Paragraphedeliste"/>
        <w:numPr>
          <w:ilvl w:val="0"/>
          <w:numId w:val="15"/>
        </w:numPr>
        <w:shd w:val="clear" w:color="auto" w:fill="FFFFFF" w:themeFill="background1"/>
        <w:jc w:val="both"/>
        <w:rPr>
          <w:rFonts w:cstheme="minorHAnsi"/>
          <w:color w:val="000000" w:themeColor="text1"/>
          <w:sz w:val="20"/>
        </w:rPr>
      </w:pPr>
      <w:proofErr w:type="gramStart"/>
      <w:r>
        <w:rPr>
          <w:rFonts w:cstheme="minorHAnsi"/>
          <w:sz w:val="20"/>
        </w:rPr>
        <w:t>i</w:t>
      </w:r>
      <w:proofErr w:type="gramEnd"/>
      <w:r>
        <w:rPr>
          <w:rFonts w:ascii="Calibri" w:hAnsi="Calibri" w:cs="Calibri"/>
          <w:sz w:val="20"/>
        </w:rPr>
        <w:t> </w:t>
      </w:r>
      <w:r>
        <w:rPr>
          <w:rFonts w:cstheme="minorHAnsi"/>
          <w:sz w:val="20"/>
        </w:rPr>
        <w:t>: le taux d’actualisatio</w:t>
      </w:r>
      <w:r>
        <w:rPr>
          <w:rFonts w:cstheme="minorHAnsi"/>
          <w:color w:val="000000" w:themeColor="text1"/>
          <w:sz w:val="20"/>
        </w:rPr>
        <w:t>n, fixé obligatoirement à 6,56%</w:t>
      </w:r>
      <w:r>
        <w:rPr>
          <w:rStyle w:val="Appelnotedebasdep"/>
          <w:color w:val="000000" w:themeColor="text1"/>
        </w:rPr>
        <w:footnoteReference w:id="5"/>
      </w:r>
    </w:p>
    <w:p w14:paraId="4050E1A7" w14:textId="77777777" w:rsidR="00652D99" w:rsidRDefault="00652D99">
      <w:pPr>
        <w:shd w:val="clear" w:color="auto" w:fill="FFFFFF" w:themeFill="background1"/>
        <w:ind w:left="0" w:firstLine="0"/>
        <w:jc w:val="both"/>
        <w:rPr>
          <w:rFonts w:cstheme="minorHAnsi"/>
          <w:sz w:val="20"/>
        </w:rPr>
      </w:pPr>
    </w:p>
    <w:p w14:paraId="79ED9D34" w14:textId="4A6383A8" w:rsidR="00652D99" w:rsidRDefault="00D011FB">
      <w:pPr>
        <w:shd w:val="clear" w:color="auto" w:fill="FFFFFF" w:themeFill="background1"/>
        <w:ind w:left="0" w:firstLine="0"/>
        <w:jc w:val="both"/>
        <w:rPr>
          <w:rFonts w:cstheme="minorHAnsi"/>
          <w:sz w:val="20"/>
        </w:rPr>
      </w:pPr>
      <w:r>
        <w:rPr>
          <w:rFonts w:cstheme="minorHAnsi"/>
          <w:sz w:val="20"/>
        </w:rPr>
        <w:t xml:space="preserve">Les coûts admissibles seront alors égaux à la différence entre les dépenses éligibles du projet et la </w:t>
      </w:r>
      <w:proofErr w:type="spellStart"/>
      <w:r>
        <w:rPr>
          <w:rFonts w:cstheme="minorHAnsi"/>
          <w:sz w:val="20"/>
        </w:rPr>
        <w:t>VAN</w:t>
      </w:r>
      <w:r w:rsidR="005E6975">
        <w:rPr>
          <w:rFonts w:cstheme="minorHAnsi"/>
          <w:sz w:val="20"/>
          <w:vertAlign w:val="subscript"/>
        </w:rPr>
        <w:t>contrefactuel</w:t>
      </w:r>
      <w:proofErr w:type="spellEnd"/>
      <w:r>
        <w:rPr>
          <w:rFonts w:cstheme="minorHAnsi"/>
          <w:sz w:val="20"/>
        </w:rPr>
        <w:t xml:space="preserve"> ci-dessus</w:t>
      </w:r>
      <w:r w:rsidR="005E6975">
        <w:rPr>
          <w:rFonts w:ascii="Calibri" w:hAnsi="Calibri" w:cs="Calibri"/>
          <w:sz w:val="20"/>
        </w:rPr>
        <w:t> </w:t>
      </w:r>
      <w:r w:rsidR="005E6975">
        <w:rPr>
          <w:rFonts w:cstheme="minorHAnsi"/>
          <w:sz w:val="20"/>
        </w:rPr>
        <w:t>:</w:t>
      </w:r>
    </w:p>
    <w:p w14:paraId="2BB4D66B" w14:textId="77777777" w:rsidR="00652D99" w:rsidRDefault="00652D99">
      <w:pPr>
        <w:shd w:val="clear" w:color="auto" w:fill="FFFFFF" w:themeFill="background1"/>
        <w:ind w:left="0" w:firstLine="0"/>
        <w:jc w:val="both"/>
        <w:rPr>
          <w:rFonts w:cstheme="minorHAnsi"/>
          <w:sz w:val="20"/>
        </w:rPr>
      </w:pPr>
    </w:p>
    <w:p w14:paraId="53928A88" w14:textId="77777777" w:rsidR="00652D99" w:rsidRDefault="00D011FB">
      <w:pPr>
        <w:ind w:left="0" w:firstLine="0"/>
        <w:rPr>
          <w:rFonts w:cstheme="minorHAnsi"/>
          <w:sz w:val="20"/>
          <w:szCs w:val="18"/>
        </w:rPr>
      </w:pPr>
      <m:oMathPara>
        <m:oMath>
          <m:r>
            <w:rPr>
              <w:rFonts w:ascii="Cambria Math" w:hAnsi="Cambria Math" w:cstheme="minorHAnsi"/>
              <w:sz w:val="20"/>
              <w:szCs w:val="18"/>
            </w:rPr>
            <m:t>Coûts admissibles=Dépenses éligibles-</m:t>
          </m:r>
          <m:sSub>
            <m:sSubPr>
              <m:ctrlPr>
                <w:rPr>
                  <w:rFonts w:ascii="Cambria Math" w:hAnsi="Cambria Math" w:cstheme="minorHAnsi"/>
                  <w:i/>
                  <w:sz w:val="20"/>
                  <w:szCs w:val="18"/>
                </w:rPr>
              </m:ctrlPr>
            </m:sSubPr>
            <m:e>
              <m:r>
                <w:rPr>
                  <w:rFonts w:ascii="Cambria Math" w:hAnsi="Cambria Math" w:cstheme="minorHAnsi"/>
                  <w:sz w:val="20"/>
                  <w:szCs w:val="18"/>
                </w:rPr>
                <m:t>VAN</m:t>
              </m:r>
            </m:e>
            <m:sub>
              <m:r>
                <w:rPr>
                  <w:rFonts w:ascii="Cambria Math" w:hAnsi="Cambria Math" w:cstheme="minorHAnsi"/>
                  <w:sz w:val="20"/>
                  <w:szCs w:val="18"/>
                </w:rPr>
                <m:t>contrefactuel</m:t>
              </m:r>
            </m:sub>
          </m:sSub>
        </m:oMath>
      </m:oMathPara>
    </w:p>
    <w:p w14:paraId="25970931" w14:textId="77777777" w:rsidR="00652D99" w:rsidRDefault="00652D99">
      <w:pPr>
        <w:shd w:val="clear" w:color="auto" w:fill="FFFFFF" w:themeFill="background1"/>
        <w:ind w:left="0" w:firstLine="0"/>
        <w:jc w:val="both"/>
        <w:rPr>
          <w:rFonts w:cstheme="minorHAnsi"/>
          <w:sz w:val="20"/>
        </w:rPr>
      </w:pPr>
    </w:p>
    <w:p w14:paraId="2E486C4D" w14:textId="77777777" w:rsidR="00652D99" w:rsidRDefault="00652D99">
      <w:pPr>
        <w:shd w:val="clear" w:color="auto" w:fill="FFFFFF" w:themeFill="background1"/>
        <w:ind w:left="0" w:firstLine="0"/>
        <w:jc w:val="both"/>
        <w:rPr>
          <w:rFonts w:cstheme="minorHAnsi"/>
          <w:sz w:val="20"/>
        </w:rPr>
      </w:pPr>
    </w:p>
    <w:p w14:paraId="2B6F9519" w14:textId="77777777" w:rsidR="00652D99" w:rsidRDefault="00D011FB">
      <w:pPr>
        <w:shd w:val="clear" w:color="auto" w:fill="FFFFFF" w:themeFill="background1"/>
        <w:ind w:left="0" w:firstLine="0"/>
        <w:jc w:val="both"/>
        <w:rPr>
          <w:rFonts w:cstheme="minorHAnsi"/>
          <w:b/>
          <w:bCs/>
          <w:sz w:val="20"/>
          <w:u w:val="single"/>
        </w:rPr>
      </w:pPr>
      <w:r>
        <w:rPr>
          <w:rFonts w:cstheme="minorHAnsi"/>
          <w:b/>
          <w:bCs/>
          <w:sz w:val="20"/>
          <w:u w:val="single"/>
        </w:rPr>
        <w:t>Cas n°3</w:t>
      </w:r>
      <w:r>
        <w:rPr>
          <w:rFonts w:ascii="Calibri" w:hAnsi="Calibri" w:cs="Calibri"/>
          <w:b/>
          <w:bCs/>
          <w:sz w:val="20"/>
          <w:u w:val="single"/>
        </w:rPr>
        <w:t> </w:t>
      </w:r>
      <w:r>
        <w:rPr>
          <w:rFonts w:cstheme="minorHAnsi"/>
          <w:b/>
          <w:bCs/>
          <w:sz w:val="20"/>
          <w:u w:val="single"/>
        </w:rPr>
        <w:t>: le scénario contrefactuel consiste à garder les équipements actuels et à réaliser des opérations de maintenance</w:t>
      </w:r>
    </w:p>
    <w:p w14:paraId="72B7B2BA" w14:textId="77777777" w:rsidR="00652D99" w:rsidRDefault="00652D99">
      <w:pPr>
        <w:shd w:val="clear" w:color="auto" w:fill="FFFFFF" w:themeFill="background1"/>
        <w:ind w:left="0" w:firstLine="0"/>
        <w:jc w:val="both"/>
        <w:rPr>
          <w:rFonts w:cstheme="minorHAnsi"/>
          <w:sz w:val="20"/>
        </w:rPr>
      </w:pPr>
    </w:p>
    <w:p w14:paraId="0C5070D3" w14:textId="77777777" w:rsidR="00652D99" w:rsidRDefault="00D011FB">
      <w:pPr>
        <w:shd w:val="clear" w:color="auto" w:fill="FFFFFF" w:themeFill="background1"/>
        <w:ind w:left="0" w:firstLine="0"/>
        <w:jc w:val="both"/>
        <w:rPr>
          <w:rFonts w:cstheme="minorHAnsi"/>
          <w:sz w:val="20"/>
        </w:rPr>
      </w:pPr>
      <w:r>
        <w:rPr>
          <w:rFonts w:cstheme="minorHAnsi"/>
          <w:sz w:val="20"/>
        </w:rPr>
        <w:t>Lorsque le scénario contrefactuel consiste en le maintien des installations existantes et des équipements existants, les coûts admissibles consistent en la différence entre les coûts de l’investissement pour lequel une aide d’État est octroyée et la valeur actuelle nette sur 10 ans des investissements dans l’entretien, la réparation et la modernisation des installations et des équipements existants, actualisés au moment où l’investissement bénéficiant de l’aide serait réalisé.</w:t>
      </w:r>
    </w:p>
    <w:p w14:paraId="05050DD2" w14:textId="77777777" w:rsidR="00652D99" w:rsidRDefault="00652D99">
      <w:pPr>
        <w:shd w:val="clear" w:color="auto" w:fill="FFFFFF" w:themeFill="background1"/>
        <w:ind w:left="0" w:firstLine="0"/>
        <w:jc w:val="both"/>
        <w:rPr>
          <w:rFonts w:cstheme="minorHAnsi"/>
          <w:sz w:val="20"/>
        </w:rPr>
      </w:pPr>
    </w:p>
    <w:p w14:paraId="2DEFE97D" w14:textId="77777777" w:rsidR="00652D99" w:rsidRDefault="00D011FB">
      <w:pPr>
        <w:shd w:val="clear" w:color="auto" w:fill="FFFFFF" w:themeFill="background1"/>
        <w:ind w:left="0" w:firstLine="0"/>
        <w:jc w:val="both"/>
        <w:rPr>
          <w:rFonts w:cstheme="minorHAnsi"/>
          <w:sz w:val="20"/>
        </w:rPr>
      </w:pPr>
      <w:r>
        <w:rPr>
          <w:rFonts w:cstheme="minorHAnsi"/>
          <w:b/>
          <w:bCs/>
          <w:sz w:val="20"/>
        </w:rPr>
        <w:t>Exemple</w:t>
      </w:r>
      <w:r>
        <w:rPr>
          <w:rFonts w:ascii="Calibri" w:hAnsi="Calibri" w:cs="Calibri"/>
          <w:sz w:val="20"/>
        </w:rPr>
        <w:t> </w:t>
      </w:r>
      <w:r>
        <w:rPr>
          <w:rFonts w:cstheme="minorHAnsi"/>
          <w:sz w:val="20"/>
        </w:rPr>
        <w:t xml:space="preserve">: projet dont la mise en service est prévue en 2026 </w:t>
      </w:r>
    </w:p>
    <w:p w14:paraId="67DD1CBA" w14:textId="77777777" w:rsidR="00652D99" w:rsidRDefault="00652D99">
      <w:pPr>
        <w:shd w:val="clear" w:color="auto" w:fill="FFFFFF" w:themeFill="background1"/>
        <w:ind w:left="0" w:firstLine="0"/>
        <w:jc w:val="both"/>
        <w:rPr>
          <w:rFonts w:cstheme="minorHAnsi"/>
          <w:sz w:val="20"/>
        </w:rPr>
      </w:pPr>
    </w:p>
    <w:p w14:paraId="28A3EDE1" w14:textId="77777777" w:rsidR="00652D99" w:rsidRDefault="00D011FB">
      <w:pPr>
        <w:shd w:val="clear" w:color="auto" w:fill="FFFFFF" w:themeFill="background1"/>
        <w:ind w:left="0" w:firstLine="0"/>
        <w:jc w:val="both"/>
        <w:rPr>
          <w:rFonts w:cstheme="minorHAnsi"/>
          <w:sz w:val="20"/>
        </w:rPr>
      </w:pPr>
      <w:r>
        <w:rPr>
          <w:rFonts w:cstheme="minorHAnsi"/>
          <w:sz w:val="20"/>
        </w:rPr>
        <w:t>Le scénario contrefactuel correspondrait donc à la VAN des investissements de maintenance. Cette dernière serait alors</w:t>
      </w:r>
      <w:r>
        <w:rPr>
          <w:rFonts w:ascii="Calibri" w:hAnsi="Calibri" w:cs="Calibri"/>
          <w:sz w:val="20"/>
        </w:rPr>
        <w:t> </w:t>
      </w:r>
      <w:r>
        <w:rPr>
          <w:rFonts w:cstheme="minorHAnsi"/>
          <w:sz w:val="20"/>
        </w:rPr>
        <w:t>:</w:t>
      </w:r>
    </w:p>
    <w:p w14:paraId="33E99034" w14:textId="77777777" w:rsidR="00652D99" w:rsidRDefault="00000000">
      <w:pPr>
        <w:shd w:val="clear" w:color="auto" w:fill="FFFFFF" w:themeFill="background1"/>
        <w:ind w:left="0" w:firstLine="0"/>
        <w:jc w:val="center"/>
        <w:rPr>
          <w:rFonts w:cstheme="minorHAnsi"/>
          <w:sz w:val="20"/>
        </w:rPr>
      </w:pPr>
      <m:oMathPara>
        <m:oMath>
          <m:sSub>
            <m:sSubPr>
              <m:ctrlPr>
                <w:rPr>
                  <w:rFonts w:ascii="Cambria Math" w:hAnsi="Cambria Math" w:cstheme="minorHAnsi"/>
                  <w:i/>
                  <w:sz w:val="20"/>
                </w:rPr>
              </m:ctrlPr>
            </m:sSubPr>
            <m:e>
              <m:r>
                <w:rPr>
                  <w:rFonts w:ascii="Cambria Math" w:hAnsi="Cambria Math" w:cstheme="minorHAnsi"/>
                  <w:sz w:val="20"/>
                </w:rPr>
                <m:t>VAN</m:t>
              </m:r>
            </m:e>
            <m:sub>
              <m:r>
                <w:rPr>
                  <w:rFonts w:ascii="Cambria Math" w:hAnsi="Cambria Math" w:cstheme="minorHAnsi"/>
                  <w:sz w:val="20"/>
                </w:rPr>
                <m:t>contrefactuel</m:t>
              </m:r>
            </m:sub>
          </m:sSub>
          <m:r>
            <w:rPr>
              <w:rFonts w:ascii="Cambria Math" w:hAnsi="Cambria Math" w:cstheme="minorHAnsi"/>
              <w:sz w:val="20"/>
            </w:rPr>
            <m:t xml:space="preserve">= </m:t>
          </m:r>
          <m:sSub>
            <m:sSubPr>
              <m:ctrlPr>
                <w:rPr>
                  <w:rFonts w:ascii="Cambria Math" w:hAnsi="Cambria Math" w:cstheme="minorHAnsi"/>
                  <w:i/>
                  <w:sz w:val="20"/>
                </w:rPr>
              </m:ctrlPr>
            </m:sSubPr>
            <m:e>
              <m:r>
                <w:rPr>
                  <w:rFonts w:ascii="Cambria Math" w:hAnsi="Cambria Math" w:cstheme="minorHAnsi"/>
                  <w:sz w:val="20"/>
                </w:rPr>
                <m:t>CM</m:t>
              </m:r>
            </m:e>
            <m:sub>
              <m:r>
                <w:rPr>
                  <w:rFonts w:ascii="Cambria Math" w:hAnsi="Cambria Math" w:cstheme="minorHAnsi"/>
                  <w:sz w:val="20"/>
                </w:rPr>
                <m:t>2026</m:t>
              </m:r>
            </m:sub>
          </m:sSub>
          <m:r>
            <m:rPr>
              <m:sty m:val="p"/>
            </m:rPr>
            <w:rPr>
              <w:rFonts w:ascii="Cambria Math" w:hAnsi="Cambria Math" w:cstheme="minorHAnsi"/>
              <w:sz w:val="20"/>
            </w:rPr>
            <m:t>+</m:t>
          </m:r>
          <m:f>
            <m:fPr>
              <m:ctrlPr>
                <w:rPr>
                  <w:rFonts w:ascii="Cambria Math" w:hAnsi="Cambria Math" w:cstheme="minorHAnsi"/>
                  <w:sz w:val="20"/>
                </w:rPr>
              </m:ctrlPr>
            </m:fPr>
            <m:num>
              <m:sSub>
                <m:sSubPr>
                  <m:ctrlPr>
                    <w:rPr>
                      <w:rFonts w:ascii="Cambria Math" w:hAnsi="Cambria Math" w:cstheme="minorHAnsi"/>
                      <w:sz w:val="20"/>
                    </w:rPr>
                  </m:ctrlPr>
                </m:sSubPr>
                <m:e>
                  <m:r>
                    <w:rPr>
                      <w:rFonts w:ascii="Cambria Math" w:hAnsi="Cambria Math" w:cstheme="minorHAnsi"/>
                      <w:sz w:val="20"/>
                    </w:rPr>
                    <m:t>CM</m:t>
                  </m:r>
                </m:e>
                <m:sub>
                  <m:r>
                    <m:rPr>
                      <m:sty m:val="p"/>
                    </m:rPr>
                    <w:rPr>
                      <w:rFonts w:ascii="Cambria Math" w:hAnsi="Cambria Math" w:cstheme="minorHAnsi"/>
                      <w:sz w:val="20"/>
                    </w:rPr>
                    <m:t>2027</m:t>
                  </m:r>
                </m:sub>
              </m:sSub>
            </m:num>
            <m:den>
              <m:r>
                <w:rPr>
                  <w:rFonts w:ascii="Cambria Math" w:hAnsi="Cambria Math" w:cstheme="minorHAnsi"/>
                  <w:sz w:val="20"/>
                </w:rPr>
                <m:t>(1+i)</m:t>
              </m:r>
            </m:den>
          </m:f>
          <m:r>
            <m:rPr>
              <m:sty m:val="p"/>
            </m:rPr>
            <w:rPr>
              <w:rFonts w:ascii="Cambria Math" w:hAnsi="Cambria Math" w:cstheme="minorHAnsi"/>
              <w:sz w:val="20"/>
            </w:rPr>
            <m:t>+</m:t>
          </m:r>
          <m:f>
            <m:fPr>
              <m:ctrlPr>
                <w:rPr>
                  <w:rFonts w:ascii="Cambria Math" w:hAnsi="Cambria Math" w:cstheme="minorHAnsi"/>
                  <w:sz w:val="20"/>
                </w:rPr>
              </m:ctrlPr>
            </m:fPr>
            <m:num>
              <m:sSub>
                <m:sSubPr>
                  <m:ctrlPr>
                    <w:rPr>
                      <w:rFonts w:ascii="Cambria Math" w:hAnsi="Cambria Math" w:cstheme="minorHAnsi"/>
                      <w:sz w:val="20"/>
                    </w:rPr>
                  </m:ctrlPr>
                </m:sSubPr>
                <m:e>
                  <m:r>
                    <w:rPr>
                      <w:rFonts w:ascii="Cambria Math" w:hAnsi="Cambria Math" w:cstheme="minorHAnsi"/>
                      <w:sz w:val="20"/>
                    </w:rPr>
                    <m:t>CM</m:t>
                  </m:r>
                </m:e>
                <m:sub>
                  <m:r>
                    <m:rPr>
                      <m:sty m:val="p"/>
                    </m:rPr>
                    <w:rPr>
                      <w:rFonts w:ascii="Cambria Math" w:hAnsi="Cambria Math" w:cstheme="minorHAnsi"/>
                      <w:sz w:val="20"/>
                    </w:rPr>
                    <m:t>2028</m:t>
                  </m:r>
                </m:sub>
              </m:sSub>
            </m:num>
            <m:den>
              <m:sSup>
                <m:sSupPr>
                  <m:ctrlPr>
                    <w:rPr>
                      <w:rFonts w:ascii="Cambria Math" w:hAnsi="Cambria Math" w:cstheme="minorHAnsi"/>
                      <w:sz w:val="20"/>
                    </w:rPr>
                  </m:ctrlPr>
                </m:sSupPr>
                <m:e>
                  <m:r>
                    <m:rPr>
                      <m:sty m:val="p"/>
                    </m:rPr>
                    <w:rPr>
                      <w:rFonts w:ascii="Cambria Math" w:hAnsi="Cambria Math" w:cstheme="minorHAnsi"/>
                      <w:sz w:val="20"/>
                    </w:rPr>
                    <m:t>(1+</m:t>
                  </m:r>
                  <m:r>
                    <w:rPr>
                      <w:rFonts w:ascii="Cambria Math" w:hAnsi="Cambria Math" w:cstheme="minorHAnsi"/>
                      <w:sz w:val="20"/>
                    </w:rPr>
                    <m:t>i</m:t>
                  </m:r>
                  <m:r>
                    <m:rPr>
                      <m:sty m:val="p"/>
                    </m:rPr>
                    <w:rPr>
                      <w:rFonts w:ascii="Cambria Math" w:hAnsi="Cambria Math" w:cstheme="minorHAnsi"/>
                      <w:sz w:val="20"/>
                    </w:rPr>
                    <m:t>)</m:t>
                  </m:r>
                </m:e>
                <m:sup>
                  <m:r>
                    <m:rPr>
                      <m:sty m:val="p"/>
                    </m:rPr>
                    <w:rPr>
                      <w:rFonts w:ascii="Cambria Math" w:hAnsi="Cambria Math" w:cstheme="minorHAnsi"/>
                      <w:sz w:val="20"/>
                    </w:rPr>
                    <m:t>2</m:t>
                  </m:r>
                </m:sup>
              </m:sSup>
            </m:den>
          </m:f>
          <m:r>
            <m:rPr>
              <m:sty m:val="p"/>
            </m:rPr>
            <w:rPr>
              <w:rFonts w:ascii="Cambria Math" w:hAnsi="Cambria Math" w:cstheme="minorHAnsi"/>
              <w:sz w:val="20"/>
            </w:rPr>
            <m:t>+…+</m:t>
          </m:r>
          <m:f>
            <m:fPr>
              <m:ctrlPr>
                <w:rPr>
                  <w:rFonts w:ascii="Cambria Math" w:hAnsi="Cambria Math" w:cstheme="minorHAnsi"/>
                  <w:sz w:val="20"/>
                </w:rPr>
              </m:ctrlPr>
            </m:fPr>
            <m:num>
              <m:sSub>
                <m:sSubPr>
                  <m:ctrlPr>
                    <w:rPr>
                      <w:rFonts w:ascii="Cambria Math" w:hAnsi="Cambria Math" w:cstheme="minorHAnsi"/>
                      <w:sz w:val="20"/>
                    </w:rPr>
                  </m:ctrlPr>
                </m:sSubPr>
                <m:e>
                  <m:r>
                    <w:rPr>
                      <w:rFonts w:ascii="Cambria Math" w:hAnsi="Cambria Math" w:cstheme="minorHAnsi"/>
                      <w:sz w:val="20"/>
                    </w:rPr>
                    <m:t>CM</m:t>
                  </m:r>
                </m:e>
                <m:sub>
                  <m:r>
                    <m:rPr>
                      <m:sty m:val="p"/>
                    </m:rPr>
                    <w:rPr>
                      <w:rFonts w:ascii="Cambria Math" w:hAnsi="Cambria Math" w:cstheme="minorHAnsi"/>
                      <w:sz w:val="20"/>
                    </w:rPr>
                    <m:t>2035</m:t>
                  </m:r>
                </m:sub>
              </m:sSub>
            </m:num>
            <m:den>
              <m:sSup>
                <m:sSupPr>
                  <m:ctrlPr>
                    <w:rPr>
                      <w:rFonts w:ascii="Cambria Math" w:hAnsi="Cambria Math" w:cstheme="minorHAnsi"/>
                      <w:sz w:val="20"/>
                    </w:rPr>
                  </m:ctrlPr>
                </m:sSupPr>
                <m:e>
                  <m:r>
                    <m:rPr>
                      <m:sty m:val="p"/>
                    </m:rPr>
                    <w:rPr>
                      <w:rFonts w:ascii="Cambria Math" w:hAnsi="Cambria Math" w:cstheme="minorHAnsi"/>
                      <w:sz w:val="20"/>
                    </w:rPr>
                    <m:t>(1+</m:t>
                  </m:r>
                  <m:r>
                    <w:rPr>
                      <w:rFonts w:ascii="Cambria Math" w:hAnsi="Cambria Math" w:cstheme="minorHAnsi"/>
                      <w:sz w:val="20"/>
                    </w:rPr>
                    <m:t>i</m:t>
                  </m:r>
                  <m:r>
                    <m:rPr>
                      <m:sty m:val="p"/>
                    </m:rPr>
                    <w:rPr>
                      <w:rFonts w:ascii="Cambria Math" w:hAnsi="Cambria Math" w:cstheme="minorHAnsi"/>
                      <w:sz w:val="20"/>
                    </w:rPr>
                    <m:t>)</m:t>
                  </m:r>
                </m:e>
                <m:sup>
                  <m:r>
                    <m:rPr>
                      <m:sty m:val="p"/>
                    </m:rPr>
                    <w:rPr>
                      <w:rFonts w:ascii="Cambria Math" w:hAnsi="Cambria Math" w:cstheme="minorHAnsi"/>
                      <w:sz w:val="20"/>
                    </w:rPr>
                    <m:t>9</m:t>
                  </m:r>
                </m:sup>
              </m:sSup>
            </m:den>
          </m:f>
        </m:oMath>
      </m:oMathPara>
    </w:p>
    <w:p w14:paraId="550E676C" w14:textId="77777777" w:rsidR="00652D99" w:rsidRDefault="00D011FB">
      <w:pPr>
        <w:shd w:val="clear" w:color="auto" w:fill="FFFFFF" w:themeFill="background1"/>
        <w:ind w:left="0" w:firstLine="0"/>
        <w:jc w:val="both"/>
        <w:rPr>
          <w:rFonts w:cstheme="minorHAnsi"/>
          <w:sz w:val="20"/>
        </w:rPr>
      </w:pPr>
      <w:r>
        <w:rPr>
          <w:rFonts w:cstheme="minorHAnsi"/>
          <w:sz w:val="20"/>
        </w:rPr>
        <w:t>Avec</w:t>
      </w:r>
      <w:r>
        <w:rPr>
          <w:rFonts w:ascii="Calibri" w:hAnsi="Calibri" w:cs="Calibri"/>
          <w:sz w:val="20"/>
        </w:rPr>
        <w:t> </w:t>
      </w:r>
      <w:r>
        <w:rPr>
          <w:rFonts w:cstheme="minorHAnsi"/>
          <w:sz w:val="20"/>
        </w:rPr>
        <w:t>:</w:t>
      </w:r>
    </w:p>
    <w:p w14:paraId="24A28D2D" w14:textId="0B4ABB5D" w:rsidR="00652D99" w:rsidRDefault="00D011FB" w:rsidP="00426530">
      <w:pPr>
        <w:pStyle w:val="Paragraphedeliste"/>
        <w:numPr>
          <w:ilvl w:val="0"/>
          <w:numId w:val="16"/>
        </w:numPr>
        <w:shd w:val="clear" w:color="auto" w:fill="FFFFFF" w:themeFill="background1"/>
        <w:jc w:val="both"/>
        <w:rPr>
          <w:rFonts w:cstheme="minorHAnsi"/>
          <w:sz w:val="20"/>
        </w:rPr>
      </w:pPr>
      <w:proofErr w:type="spellStart"/>
      <w:r>
        <w:rPr>
          <w:rFonts w:cstheme="minorHAnsi"/>
          <w:sz w:val="20"/>
        </w:rPr>
        <w:t>CM</w:t>
      </w:r>
      <w:r w:rsidRPr="006933EF">
        <w:rPr>
          <w:rFonts w:cstheme="minorHAnsi"/>
          <w:sz w:val="20"/>
          <w:vertAlign w:val="subscript"/>
        </w:rPr>
        <w:t>k</w:t>
      </w:r>
      <w:proofErr w:type="spellEnd"/>
      <w:r w:rsidRPr="006933EF">
        <w:rPr>
          <w:rFonts w:ascii="Calibri" w:hAnsi="Calibri" w:cs="Calibri"/>
          <w:sz w:val="20"/>
          <w:vertAlign w:val="subscript"/>
        </w:rPr>
        <w:t> </w:t>
      </w:r>
      <w:r>
        <w:rPr>
          <w:rFonts w:cstheme="minorHAnsi"/>
          <w:sz w:val="20"/>
        </w:rPr>
        <w:t>: les coûts de maintenance pour l’année k</w:t>
      </w:r>
      <w:r w:rsidR="00CE790F">
        <w:rPr>
          <w:rStyle w:val="Appelnotedebasdep"/>
          <w:rFonts w:cstheme="minorHAnsi"/>
          <w:sz w:val="20"/>
        </w:rPr>
        <w:footnoteReference w:id="6"/>
      </w:r>
    </w:p>
    <w:p w14:paraId="5065482A" w14:textId="3663CB21" w:rsidR="00652D99" w:rsidRPr="00BB4E65" w:rsidRDefault="00D011FB" w:rsidP="00BB4E65">
      <w:pPr>
        <w:shd w:val="clear" w:color="auto" w:fill="FFFFFF" w:themeFill="background1"/>
        <w:ind w:left="360" w:firstLine="0"/>
        <w:jc w:val="both"/>
        <w:rPr>
          <w:rFonts w:cstheme="minorHAnsi"/>
          <w:sz w:val="20"/>
        </w:rPr>
      </w:pPr>
      <w:proofErr w:type="gramStart"/>
      <w:r w:rsidRPr="005B1FCA">
        <w:rPr>
          <w:rFonts w:cstheme="minorHAnsi"/>
          <w:sz w:val="20"/>
        </w:rPr>
        <w:t>i</w:t>
      </w:r>
      <w:proofErr w:type="gramEnd"/>
      <w:r w:rsidRPr="005B1FCA">
        <w:rPr>
          <w:rFonts w:ascii="Calibri" w:hAnsi="Calibri" w:cs="Calibri"/>
          <w:sz w:val="20"/>
        </w:rPr>
        <w:t> </w:t>
      </w:r>
      <w:r w:rsidRPr="005B1FCA">
        <w:rPr>
          <w:rFonts w:cstheme="minorHAnsi"/>
          <w:sz w:val="20"/>
        </w:rPr>
        <w:t>: le taux d’actualisation, fixé obligatoirement à 6,56%</w:t>
      </w:r>
    </w:p>
    <w:p w14:paraId="2546524B" w14:textId="77777777" w:rsidR="005B1FCA" w:rsidRDefault="005B1FCA">
      <w:pPr>
        <w:shd w:val="clear" w:color="auto" w:fill="FFFFFF" w:themeFill="background1"/>
        <w:ind w:left="0" w:firstLine="0"/>
        <w:jc w:val="both"/>
        <w:rPr>
          <w:rFonts w:cstheme="minorHAnsi"/>
          <w:sz w:val="20"/>
        </w:rPr>
      </w:pPr>
    </w:p>
    <w:p w14:paraId="19F182AA" w14:textId="4E992CB0" w:rsidR="005B1FCA" w:rsidRDefault="005B1FCA">
      <w:pPr>
        <w:shd w:val="clear" w:color="auto" w:fill="FFFFFF" w:themeFill="background1"/>
        <w:ind w:left="0" w:firstLine="0"/>
        <w:jc w:val="both"/>
        <w:rPr>
          <w:rFonts w:cstheme="minorHAnsi"/>
          <w:sz w:val="20"/>
        </w:rPr>
      </w:pPr>
      <w:r w:rsidRPr="005B1FCA">
        <w:rPr>
          <w:rFonts w:cstheme="minorHAnsi"/>
          <w:sz w:val="20"/>
        </w:rPr>
        <w:t>Il est à noter que les coûts de maintenance devront prendre en compte l’inflation.</w:t>
      </w:r>
    </w:p>
    <w:p w14:paraId="11D8C2EA" w14:textId="77777777" w:rsidR="005B1FCA" w:rsidRDefault="005B1FCA">
      <w:pPr>
        <w:shd w:val="clear" w:color="auto" w:fill="FFFFFF" w:themeFill="background1"/>
        <w:ind w:left="0" w:firstLine="0"/>
        <w:jc w:val="both"/>
        <w:rPr>
          <w:rFonts w:cstheme="minorHAnsi"/>
          <w:sz w:val="20"/>
        </w:rPr>
      </w:pPr>
    </w:p>
    <w:p w14:paraId="588E4BE6" w14:textId="1D99016F" w:rsidR="00652D99" w:rsidRDefault="00D011FB">
      <w:pPr>
        <w:shd w:val="clear" w:color="auto" w:fill="FFFFFF" w:themeFill="background1"/>
        <w:ind w:left="0" w:firstLine="0"/>
        <w:jc w:val="both"/>
        <w:rPr>
          <w:rFonts w:cstheme="minorHAnsi"/>
          <w:sz w:val="20"/>
        </w:rPr>
      </w:pPr>
      <w:r>
        <w:rPr>
          <w:rFonts w:cstheme="minorHAnsi"/>
          <w:sz w:val="20"/>
        </w:rPr>
        <w:t xml:space="preserve">Les coûts admissibles seront alors égaux à la différence entre les dépenses éligibles du projet et la </w:t>
      </w:r>
      <w:proofErr w:type="spellStart"/>
      <w:r>
        <w:rPr>
          <w:rFonts w:cstheme="minorHAnsi"/>
          <w:sz w:val="20"/>
        </w:rPr>
        <w:t>VAN</w:t>
      </w:r>
      <w:r w:rsidR="005E6975">
        <w:rPr>
          <w:rFonts w:cstheme="minorHAnsi"/>
          <w:sz w:val="20"/>
          <w:vertAlign w:val="subscript"/>
        </w:rPr>
        <w:t>contrefactuel</w:t>
      </w:r>
      <w:proofErr w:type="spellEnd"/>
      <w:r>
        <w:rPr>
          <w:rFonts w:cstheme="minorHAnsi"/>
          <w:sz w:val="20"/>
        </w:rPr>
        <w:t xml:space="preserve"> ci-dessus</w:t>
      </w:r>
      <w:r w:rsidR="005E6975">
        <w:rPr>
          <w:rFonts w:ascii="Calibri" w:hAnsi="Calibri" w:cs="Calibri"/>
          <w:sz w:val="20"/>
        </w:rPr>
        <w:t> </w:t>
      </w:r>
      <w:r w:rsidR="005E6975">
        <w:rPr>
          <w:rFonts w:cstheme="minorHAnsi"/>
          <w:sz w:val="20"/>
        </w:rPr>
        <w:t>:</w:t>
      </w:r>
    </w:p>
    <w:p w14:paraId="66028BD2" w14:textId="77777777" w:rsidR="00652D99" w:rsidRDefault="00652D99">
      <w:pPr>
        <w:shd w:val="clear" w:color="auto" w:fill="FFFFFF" w:themeFill="background1"/>
        <w:ind w:left="0" w:firstLine="0"/>
        <w:jc w:val="both"/>
        <w:rPr>
          <w:rFonts w:cstheme="minorHAnsi"/>
          <w:sz w:val="20"/>
        </w:rPr>
      </w:pPr>
    </w:p>
    <w:p w14:paraId="0ABAEC41" w14:textId="77777777" w:rsidR="00652D99" w:rsidRDefault="00D011FB">
      <w:pPr>
        <w:ind w:left="0" w:firstLine="0"/>
        <w:rPr>
          <w:rFonts w:cstheme="minorHAnsi"/>
          <w:sz w:val="20"/>
          <w:szCs w:val="18"/>
        </w:rPr>
      </w:pPr>
      <m:oMathPara>
        <m:oMath>
          <m:r>
            <w:rPr>
              <w:rFonts w:ascii="Cambria Math" w:hAnsi="Cambria Math" w:cstheme="minorHAnsi"/>
              <w:sz w:val="20"/>
              <w:szCs w:val="18"/>
            </w:rPr>
            <m:t>Coûts admissibles=Dépenses éligibles-</m:t>
          </m:r>
          <m:sSub>
            <m:sSubPr>
              <m:ctrlPr>
                <w:rPr>
                  <w:rFonts w:ascii="Cambria Math" w:hAnsi="Cambria Math" w:cstheme="minorHAnsi"/>
                  <w:i/>
                  <w:sz w:val="20"/>
                  <w:szCs w:val="18"/>
                </w:rPr>
              </m:ctrlPr>
            </m:sSubPr>
            <m:e>
              <m:r>
                <w:rPr>
                  <w:rFonts w:ascii="Cambria Math" w:hAnsi="Cambria Math" w:cstheme="minorHAnsi"/>
                  <w:sz w:val="20"/>
                  <w:szCs w:val="18"/>
                </w:rPr>
                <m:t>VAN</m:t>
              </m:r>
            </m:e>
            <m:sub>
              <m:r>
                <w:rPr>
                  <w:rFonts w:ascii="Cambria Math" w:hAnsi="Cambria Math" w:cstheme="minorHAnsi"/>
                  <w:sz w:val="20"/>
                  <w:szCs w:val="18"/>
                </w:rPr>
                <m:t>contrefactuel</m:t>
              </m:r>
            </m:sub>
          </m:sSub>
        </m:oMath>
      </m:oMathPara>
    </w:p>
    <w:p w14:paraId="63EC68AF" w14:textId="77777777" w:rsidR="00652D99" w:rsidRDefault="00652D99">
      <w:pPr>
        <w:shd w:val="clear" w:color="auto" w:fill="FFFFFF" w:themeFill="background1"/>
        <w:ind w:left="0" w:firstLine="0"/>
        <w:jc w:val="both"/>
        <w:rPr>
          <w:rFonts w:cstheme="minorHAnsi"/>
          <w:sz w:val="20"/>
        </w:rPr>
      </w:pPr>
    </w:p>
    <w:p w14:paraId="7F78FC61" w14:textId="77777777" w:rsidR="00652D99" w:rsidRDefault="00652D99">
      <w:pPr>
        <w:shd w:val="clear" w:color="auto" w:fill="FFFFFF" w:themeFill="background1"/>
        <w:ind w:left="0" w:firstLine="0"/>
        <w:jc w:val="both"/>
        <w:rPr>
          <w:rFonts w:cstheme="minorHAnsi"/>
          <w:sz w:val="20"/>
        </w:rPr>
      </w:pPr>
    </w:p>
    <w:p w14:paraId="5F770A46" w14:textId="3C1CAA44" w:rsidR="00652D99" w:rsidRDefault="00D011FB">
      <w:pPr>
        <w:shd w:val="clear" w:color="auto" w:fill="FFFFFF" w:themeFill="background1"/>
        <w:ind w:left="0" w:firstLine="0"/>
        <w:jc w:val="both"/>
        <w:rPr>
          <w:rFonts w:cstheme="minorHAnsi"/>
          <w:b/>
          <w:bCs/>
          <w:sz w:val="20"/>
          <w:u w:val="single"/>
        </w:rPr>
      </w:pPr>
      <w:r>
        <w:rPr>
          <w:rFonts w:cstheme="minorHAnsi"/>
          <w:b/>
          <w:bCs/>
          <w:sz w:val="20"/>
          <w:u w:val="single"/>
        </w:rPr>
        <w:t>Cas n°4</w:t>
      </w:r>
      <w:r>
        <w:rPr>
          <w:rFonts w:ascii="Calibri" w:hAnsi="Calibri" w:cs="Calibri"/>
          <w:b/>
          <w:bCs/>
          <w:sz w:val="20"/>
          <w:u w:val="single"/>
        </w:rPr>
        <w:t> </w:t>
      </w:r>
      <w:r>
        <w:rPr>
          <w:rFonts w:cstheme="minorHAnsi"/>
          <w:b/>
          <w:bCs/>
          <w:sz w:val="20"/>
          <w:u w:val="single"/>
        </w:rPr>
        <w:t xml:space="preserve">: scénario contrefactuel pour des équipements faisant l’objet de contrats de crédit-bail </w:t>
      </w:r>
    </w:p>
    <w:p w14:paraId="74D21524" w14:textId="77777777" w:rsidR="00652D99" w:rsidRDefault="00652D99">
      <w:pPr>
        <w:shd w:val="clear" w:color="auto" w:fill="FFFFFF" w:themeFill="background1"/>
        <w:ind w:left="0" w:firstLine="0"/>
        <w:jc w:val="both"/>
        <w:rPr>
          <w:rFonts w:cstheme="minorHAnsi"/>
          <w:sz w:val="20"/>
        </w:rPr>
      </w:pPr>
    </w:p>
    <w:p w14:paraId="3A81EDA1" w14:textId="77777777" w:rsidR="00652D99" w:rsidRDefault="00D011FB">
      <w:pPr>
        <w:shd w:val="clear" w:color="auto" w:fill="FFFFFF" w:themeFill="background1"/>
        <w:ind w:left="0" w:firstLine="0"/>
        <w:jc w:val="both"/>
        <w:rPr>
          <w:rFonts w:cstheme="minorHAnsi"/>
          <w:sz w:val="20"/>
        </w:rPr>
      </w:pPr>
      <w:r>
        <w:rPr>
          <w:rFonts w:cstheme="minorHAnsi"/>
          <w:sz w:val="20"/>
        </w:rPr>
        <w:t>Dans le cas d’équipements faisant l’objet de contrats de crédit-bail, les coûts admissibles consistent en la différence de valeur actuelle nette entre la location des équipements pour lesquels une aide d’État est octroyée et la location des équipements moins respectueux de l’environnement qui seraient loués en l’absence d’aide. Les coûts de location n’incluent pas les coûts liés à l’exploitation de l’équipement ou de l’installation (carburant, assurance, entretien, autres consommables), qu’ils fassent ou non partie du contrat de location.</w:t>
      </w:r>
    </w:p>
    <w:p w14:paraId="25861487" w14:textId="77777777" w:rsidR="00652D99" w:rsidRDefault="00652D99">
      <w:pPr>
        <w:ind w:left="0" w:firstLine="0"/>
        <w:rPr>
          <w:rFonts w:cstheme="minorHAnsi"/>
        </w:rPr>
      </w:pPr>
    </w:p>
    <w:p w14:paraId="23CE4D1F" w14:textId="69C62565" w:rsidR="00652D99" w:rsidRDefault="00D011FB" w:rsidP="006933EF">
      <w:pPr>
        <w:ind w:left="0" w:firstLine="0"/>
        <w:jc w:val="both"/>
        <w:rPr>
          <w:rFonts w:cstheme="minorHAnsi"/>
          <w:sz w:val="20"/>
        </w:rPr>
      </w:pPr>
      <w:r>
        <w:rPr>
          <w:rFonts w:cstheme="minorHAnsi"/>
          <w:b/>
          <w:bCs/>
          <w:sz w:val="20"/>
        </w:rPr>
        <w:t>Exemple</w:t>
      </w:r>
      <w:r>
        <w:rPr>
          <w:rFonts w:ascii="Calibri" w:hAnsi="Calibri" w:cs="Calibri"/>
          <w:b/>
          <w:bCs/>
          <w:sz w:val="20"/>
        </w:rPr>
        <w:t> </w:t>
      </w:r>
      <w:r>
        <w:rPr>
          <w:rFonts w:cstheme="minorHAnsi"/>
          <w:sz w:val="20"/>
        </w:rPr>
        <w:t xml:space="preserve">: projet d’investissement dans un four électrique. Le futur four électrique fera l’objet d’un contrat de crédit-bail sur 20 ans. L’investissement contrefactuel </w:t>
      </w:r>
      <w:r w:rsidR="005E6975">
        <w:rPr>
          <w:rFonts w:cstheme="minorHAnsi"/>
          <w:sz w:val="20"/>
        </w:rPr>
        <w:t xml:space="preserve">est </w:t>
      </w:r>
      <w:r>
        <w:rPr>
          <w:rFonts w:cstheme="minorHAnsi"/>
          <w:sz w:val="20"/>
        </w:rPr>
        <w:t xml:space="preserve">un nouveau four gaz. Les coûts admissibles </w:t>
      </w:r>
      <w:r w:rsidR="005E6975">
        <w:rPr>
          <w:rFonts w:cstheme="minorHAnsi"/>
          <w:sz w:val="20"/>
        </w:rPr>
        <w:t xml:space="preserve">sont </w:t>
      </w:r>
      <w:r>
        <w:rPr>
          <w:rFonts w:cstheme="minorHAnsi"/>
          <w:sz w:val="20"/>
        </w:rPr>
        <w:t xml:space="preserve">ainsi égaux à la différence </w:t>
      </w:r>
      <w:r w:rsidR="00074ED4">
        <w:rPr>
          <w:rFonts w:cstheme="minorHAnsi"/>
          <w:sz w:val="20"/>
        </w:rPr>
        <w:t xml:space="preserve">entre les </w:t>
      </w:r>
      <w:r>
        <w:rPr>
          <w:rFonts w:cstheme="minorHAnsi"/>
          <w:sz w:val="20"/>
        </w:rPr>
        <w:t>valeurs actuelles nettes</w:t>
      </w:r>
      <w:r w:rsidR="005E6975">
        <w:rPr>
          <w:rFonts w:cstheme="minorHAnsi"/>
          <w:sz w:val="20"/>
        </w:rPr>
        <w:t xml:space="preserve"> du projet et du scénario contrefactuel</w:t>
      </w:r>
      <w:r>
        <w:rPr>
          <w:rFonts w:cstheme="minorHAnsi"/>
          <w:sz w:val="20"/>
        </w:rPr>
        <w:t>.</w:t>
      </w:r>
    </w:p>
    <w:p w14:paraId="3C715C14" w14:textId="0653D73E" w:rsidR="00652D99" w:rsidRDefault="00652D99">
      <w:pPr>
        <w:ind w:left="0" w:firstLine="0"/>
        <w:rPr>
          <w:rFonts w:ascii="Calibri" w:hAnsi="Calibri" w:cs="Calibri"/>
          <w:b/>
          <w:bCs/>
          <w:sz w:val="20"/>
        </w:rPr>
      </w:pPr>
    </w:p>
    <w:p w14:paraId="63E63F7C" w14:textId="77777777" w:rsidR="00652D99" w:rsidRDefault="00D011FB">
      <w:pPr>
        <w:ind w:left="0" w:firstLine="0"/>
        <w:rPr>
          <w:rFonts w:cstheme="minorHAnsi"/>
          <w:sz w:val="20"/>
          <w:szCs w:val="18"/>
        </w:rPr>
      </w:pPr>
      <m:oMathPara>
        <m:oMath>
          <m:r>
            <w:rPr>
              <w:rFonts w:ascii="Cambria Math" w:hAnsi="Cambria Math" w:cstheme="minorHAnsi"/>
              <w:sz w:val="20"/>
              <w:szCs w:val="18"/>
            </w:rPr>
            <m:t>Coûts admissibles=</m:t>
          </m:r>
          <m:sSub>
            <m:sSubPr>
              <m:ctrlPr>
                <w:rPr>
                  <w:rFonts w:ascii="Cambria Math" w:hAnsi="Cambria Math" w:cstheme="minorHAnsi"/>
                  <w:i/>
                  <w:sz w:val="20"/>
                  <w:szCs w:val="18"/>
                </w:rPr>
              </m:ctrlPr>
            </m:sSubPr>
            <m:e>
              <m:r>
                <w:rPr>
                  <w:rFonts w:ascii="Cambria Math" w:hAnsi="Cambria Math" w:cstheme="minorHAnsi"/>
                  <w:sz w:val="20"/>
                  <w:szCs w:val="18"/>
                </w:rPr>
                <m:t>VAN</m:t>
              </m:r>
            </m:e>
            <m:sub>
              <m:r>
                <w:rPr>
                  <w:rFonts w:ascii="Cambria Math" w:hAnsi="Cambria Math" w:cstheme="minorHAnsi"/>
                  <w:sz w:val="20"/>
                  <w:szCs w:val="18"/>
                </w:rPr>
                <m:t>factuel</m:t>
              </m:r>
            </m:sub>
          </m:sSub>
          <m:r>
            <w:rPr>
              <w:rFonts w:ascii="Cambria Math" w:hAnsi="Cambria Math" w:cstheme="minorHAnsi"/>
              <w:sz w:val="20"/>
              <w:szCs w:val="18"/>
            </w:rPr>
            <m:t>-</m:t>
          </m:r>
          <m:sSub>
            <m:sSubPr>
              <m:ctrlPr>
                <w:rPr>
                  <w:rFonts w:ascii="Cambria Math" w:hAnsi="Cambria Math" w:cstheme="minorHAnsi"/>
                  <w:i/>
                  <w:sz w:val="20"/>
                  <w:szCs w:val="18"/>
                </w:rPr>
              </m:ctrlPr>
            </m:sSubPr>
            <m:e>
              <m:r>
                <w:rPr>
                  <w:rFonts w:ascii="Cambria Math" w:hAnsi="Cambria Math" w:cstheme="minorHAnsi"/>
                  <w:sz w:val="20"/>
                  <w:szCs w:val="18"/>
                </w:rPr>
                <m:t>VAN</m:t>
              </m:r>
            </m:e>
            <m:sub>
              <m:r>
                <w:rPr>
                  <w:rFonts w:ascii="Cambria Math" w:hAnsi="Cambria Math" w:cstheme="minorHAnsi"/>
                  <w:sz w:val="20"/>
                  <w:szCs w:val="18"/>
                </w:rPr>
                <m:t>contrefactuel</m:t>
              </m:r>
            </m:sub>
          </m:sSub>
        </m:oMath>
      </m:oMathPara>
    </w:p>
    <w:p w14:paraId="7C9A3333" w14:textId="77777777" w:rsidR="00652D99" w:rsidRDefault="00652D99">
      <w:pPr>
        <w:ind w:left="0" w:firstLine="0"/>
        <w:rPr>
          <w:rFonts w:cstheme="minorHAnsi"/>
        </w:rPr>
      </w:pPr>
    </w:p>
    <w:p w14:paraId="42AB3073" w14:textId="77777777" w:rsidR="00652D99" w:rsidRDefault="00652D99">
      <w:pPr>
        <w:ind w:left="0" w:firstLine="0"/>
        <w:jc w:val="both"/>
        <w:rPr>
          <w:rFonts w:cstheme="minorHAnsi"/>
          <w:b/>
          <w:sz w:val="20"/>
          <w:u w:val="single"/>
        </w:rPr>
      </w:pPr>
    </w:p>
    <w:p w14:paraId="3C6E8E9C" w14:textId="77777777" w:rsidR="00652D99" w:rsidRDefault="00D011FB">
      <w:pPr>
        <w:ind w:left="0" w:firstLine="0"/>
        <w:jc w:val="both"/>
        <w:rPr>
          <w:rFonts w:cstheme="minorHAnsi"/>
          <w:bCs/>
          <w:sz w:val="20"/>
        </w:rPr>
      </w:pPr>
      <m:oMathPara>
        <m:oMath>
          <m:r>
            <w:rPr>
              <w:rFonts w:ascii="Cambria Math" w:hAnsi="Cambria Math" w:cstheme="minorHAnsi"/>
              <w:sz w:val="20"/>
            </w:rPr>
            <m:t>Coûts admissibles=[</m:t>
          </m:r>
          <m:nary>
            <m:naryPr>
              <m:chr m:val="∑"/>
              <m:limLoc m:val="undOvr"/>
              <m:ctrlPr>
                <w:rPr>
                  <w:rFonts w:ascii="Cambria Math" w:hAnsi="Cambria Math" w:cstheme="minorHAnsi"/>
                  <w:bCs/>
                  <w:i/>
                  <w:sz w:val="20"/>
                </w:rPr>
              </m:ctrlPr>
            </m:naryPr>
            <m:sub>
              <m:r>
                <w:rPr>
                  <w:rFonts w:ascii="Cambria Math" w:hAnsi="Cambria Math" w:cstheme="minorHAnsi"/>
                  <w:sz w:val="20"/>
                </w:rPr>
                <m:t>k=0</m:t>
              </m:r>
            </m:sub>
            <m:sup>
              <m:r>
                <w:rPr>
                  <w:rFonts w:ascii="Cambria Math" w:hAnsi="Cambria Math" w:cstheme="minorHAnsi"/>
                  <w:sz w:val="20"/>
                </w:rPr>
                <m:t>19</m:t>
              </m:r>
            </m:sup>
            <m:e>
              <m:f>
                <m:fPr>
                  <m:ctrlPr>
                    <w:rPr>
                      <w:rFonts w:ascii="Cambria Math" w:hAnsi="Cambria Math" w:cstheme="minorHAnsi"/>
                      <w:bCs/>
                      <w:i/>
                      <w:sz w:val="20"/>
                    </w:rPr>
                  </m:ctrlPr>
                </m:fPr>
                <m:num>
                  <m:sSub>
                    <m:sSubPr>
                      <m:ctrlPr>
                        <w:rPr>
                          <w:rFonts w:ascii="Cambria Math" w:hAnsi="Cambria Math" w:cstheme="minorHAnsi"/>
                          <w:bCs/>
                          <w:i/>
                          <w:sz w:val="20"/>
                        </w:rPr>
                      </m:ctrlPr>
                    </m:sSubPr>
                    <m:e>
                      <m:r>
                        <w:rPr>
                          <w:rFonts w:ascii="Cambria Math" w:hAnsi="Cambria Math" w:cstheme="minorHAnsi"/>
                          <w:sz w:val="20"/>
                        </w:rPr>
                        <m:t>Coût location four électrique</m:t>
                      </m:r>
                    </m:e>
                    <m:sub>
                      <m:r>
                        <w:rPr>
                          <w:rFonts w:ascii="Cambria Math" w:hAnsi="Cambria Math" w:cstheme="minorHAnsi"/>
                          <w:sz w:val="20"/>
                        </w:rPr>
                        <m:t>année k</m:t>
                      </m:r>
                    </m:sub>
                  </m:sSub>
                </m:num>
                <m:den>
                  <m:sSup>
                    <m:sSupPr>
                      <m:ctrlPr>
                        <w:rPr>
                          <w:rFonts w:ascii="Cambria Math" w:hAnsi="Cambria Math" w:cstheme="minorHAnsi"/>
                          <w:bCs/>
                          <w:i/>
                          <w:sz w:val="20"/>
                        </w:rPr>
                      </m:ctrlPr>
                    </m:sSupPr>
                    <m:e>
                      <m:r>
                        <w:rPr>
                          <w:rFonts w:ascii="Cambria Math" w:hAnsi="Cambria Math" w:cstheme="minorHAnsi"/>
                          <w:sz w:val="20"/>
                        </w:rPr>
                        <m:t>(1+i)</m:t>
                      </m:r>
                    </m:e>
                    <m:sup>
                      <m:r>
                        <w:rPr>
                          <w:rFonts w:ascii="Cambria Math" w:hAnsi="Cambria Math" w:cstheme="minorHAnsi"/>
                          <w:sz w:val="20"/>
                        </w:rPr>
                        <m:t>k</m:t>
                      </m:r>
                    </m:sup>
                  </m:sSup>
                </m:den>
              </m:f>
              <m:r>
                <w:rPr>
                  <w:rFonts w:ascii="Cambria Math" w:hAnsi="Cambria Math" w:cstheme="minorHAnsi"/>
                  <w:sz w:val="20"/>
                </w:rPr>
                <m:t>]-[</m:t>
              </m:r>
              <m:nary>
                <m:naryPr>
                  <m:chr m:val="∑"/>
                  <m:limLoc m:val="undOvr"/>
                  <m:ctrlPr>
                    <w:rPr>
                      <w:rFonts w:ascii="Cambria Math" w:hAnsi="Cambria Math" w:cstheme="minorHAnsi"/>
                      <w:bCs/>
                      <w:i/>
                      <w:sz w:val="20"/>
                    </w:rPr>
                  </m:ctrlPr>
                </m:naryPr>
                <m:sub>
                  <m:r>
                    <w:rPr>
                      <w:rFonts w:ascii="Cambria Math" w:hAnsi="Cambria Math" w:cstheme="minorHAnsi"/>
                      <w:sz w:val="20"/>
                    </w:rPr>
                    <m:t>k=0</m:t>
                  </m:r>
                </m:sub>
                <m:sup>
                  <m:r>
                    <w:rPr>
                      <w:rFonts w:ascii="Cambria Math" w:hAnsi="Cambria Math" w:cstheme="minorHAnsi"/>
                      <w:sz w:val="20"/>
                    </w:rPr>
                    <m:t>19</m:t>
                  </m:r>
                </m:sup>
                <m:e>
                  <m:f>
                    <m:fPr>
                      <m:ctrlPr>
                        <w:rPr>
                          <w:rFonts w:ascii="Cambria Math" w:hAnsi="Cambria Math" w:cstheme="minorHAnsi"/>
                          <w:bCs/>
                          <w:i/>
                          <w:sz w:val="20"/>
                        </w:rPr>
                      </m:ctrlPr>
                    </m:fPr>
                    <m:num>
                      <m:sSub>
                        <m:sSubPr>
                          <m:ctrlPr>
                            <w:rPr>
                              <w:rFonts w:ascii="Cambria Math" w:hAnsi="Cambria Math" w:cstheme="minorHAnsi"/>
                              <w:bCs/>
                              <w:i/>
                              <w:sz w:val="20"/>
                            </w:rPr>
                          </m:ctrlPr>
                        </m:sSubPr>
                        <m:e>
                          <m:r>
                            <w:rPr>
                              <w:rFonts w:ascii="Cambria Math" w:hAnsi="Cambria Math" w:cstheme="minorHAnsi"/>
                              <w:sz w:val="20"/>
                            </w:rPr>
                            <m:t>Coût location four gaz</m:t>
                          </m:r>
                        </m:e>
                        <m:sub>
                          <m:r>
                            <w:rPr>
                              <w:rFonts w:ascii="Cambria Math" w:hAnsi="Cambria Math" w:cstheme="minorHAnsi"/>
                              <w:sz w:val="20"/>
                            </w:rPr>
                            <m:t>année k</m:t>
                          </m:r>
                        </m:sub>
                      </m:sSub>
                    </m:num>
                    <m:den>
                      <m:sSup>
                        <m:sSupPr>
                          <m:ctrlPr>
                            <w:rPr>
                              <w:rFonts w:ascii="Cambria Math" w:hAnsi="Cambria Math" w:cstheme="minorHAnsi"/>
                              <w:bCs/>
                              <w:i/>
                              <w:sz w:val="20"/>
                            </w:rPr>
                          </m:ctrlPr>
                        </m:sSupPr>
                        <m:e>
                          <m:r>
                            <w:rPr>
                              <w:rFonts w:ascii="Cambria Math" w:hAnsi="Cambria Math" w:cstheme="minorHAnsi"/>
                              <w:sz w:val="20"/>
                            </w:rPr>
                            <m:t>(1+i)</m:t>
                          </m:r>
                        </m:e>
                        <m:sup>
                          <m:r>
                            <w:rPr>
                              <w:rFonts w:ascii="Cambria Math" w:hAnsi="Cambria Math" w:cstheme="minorHAnsi"/>
                              <w:sz w:val="20"/>
                            </w:rPr>
                            <m:t>k</m:t>
                          </m:r>
                        </m:sup>
                      </m:sSup>
                    </m:den>
                  </m:f>
                  <m:r>
                    <w:rPr>
                      <w:rFonts w:ascii="Cambria Math" w:hAnsi="Cambria Math" w:cstheme="minorHAnsi"/>
                      <w:sz w:val="20"/>
                    </w:rPr>
                    <m:t>]</m:t>
                  </m:r>
                </m:e>
              </m:nary>
            </m:e>
          </m:nary>
        </m:oMath>
      </m:oMathPara>
    </w:p>
    <w:p w14:paraId="564EDB5D" w14:textId="77777777" w:rsidR="00652D99" w:rsidRDefault="00652D99">
      <w:pPr>
        <w:ind w:left="0" w:firstLine="0"/>
        <w:jc w:val="both"/>
        <w:rPr>
          <w:rFonts w:cstheme="minorHAnsi"/>
          <w:bCs/>
          <w:sz w:val="20"/>
        </w:rPr>
      </w:pPr>
    </w:p>
    <w:p w14:paraId="2A42533B" w14:textId="77777777" w:rsidR="00652D99" w:rsidRDefault="00D011FB">
      <w:pPr>
        <w:shd w:val="clear" w:color="auto" w:fill="FFFFFF" w:themeFill="background1"/>
        <w:ind w:left="0" w:firstLine="0"/>
        <w:jc w:val="both"/>
        <w:rPr>
          <w:rFonts w:cstheme="minorHAnsi"/>
          <w:sz w:val="20"/>
        </w:rPr>
      </w:pPr>
      <w:r>
        <w:rPr>
          <w:rFonts w:cstheme="minorHAnsi"/>
          <w:sz w:val="20"/>
        </w:rPr>
        <w:t>Avec</w:t>
      </w:r>
      <w:r>
        <w:rPr>
          <w:rFonts w:ascii="Calibri" w:hAnsi="Calibri" w:cs="Calibri"/>
          <w:sz w:val="20"/>
        </w:rPr>
        <w:t> </w:t>
      </w:r>
      <w:r>
        <w:rPr>
          <w:rFonts w:cstheme="minorHAnsi"/>
          <w:sz w:val="20"/>
        </w:rPr>
        <w:t>:</w:t>
      </w:r>
    </w:p>
    <w:p w14:paraId="4D7FCD1C" w14:textId="77777777" w:rsidR="00652D99" w:rsidRDefault="00D011FB" w:rsidP="00426530">
      <w:pPr>
        <w:pStyle w:val="Paragraphedeliste"/>
        <w:numPr>
          <w:ilvl w:val="0"/>
          <w:numId w:val="16"/>
        </w:numPr>
        <w:shd w:val="clear" w:color="auto" w:fill="FFFFFF" w:themeFill="background1"/>
        <w:jc w:val="both"/>
        <w:rPr>
          <w:rFonts w:cstheme="minorHAnsi"/>
          <w:sz w:val="20"/>
        </w:rPr>
      </w:pPr>
      <w:r>
        <w:rPr>
          <w:rFonts w:cstheme="minorHAnsi"/>
          <w:sz w:val="20"/>
        </w:rPr>
        <w:t>i</w:t>
      </w:r>
      <w:r>
        <w:rPr>
          <w:rFonts w:ascii="Calibri" w:hAnsi="Calibri" w:cs="Calibri"/>
          <w:sz w:val="20"/>
        </w:rPr>
        <w:t> </w:t>
      </w:r>
      <w:r>
        <w:rPr>
          <w:rFonts w:cstheme="minorHAnsi"/>
          <w:sz w:val="20"/>
        </w:rPr>
        <w:t>: le taux d’actualisation, fixé obligatoirement à 6,56%</w:t>
      </w:r>
    </w:p>
    <w:p w14:paraId="3AEC7A5F" w14:textId="77777777" w:rsidR="00652D99" w:rsidRDefault="00652D99">
      <w:pPr>
        <w:ind w:left="0" w:firstLine="0"/>
        <w:jc w:val="both"/>
        <w:rPr>
          <w:rFonts w:cstheme="minorHAnsi"/>
          <w:bCs/>
          <w:sz w:val="20"/>
        </w:rPr>
      </w:pPr>
    </w:p>
    <w:p w14:paraId="31851320" w14:textId="480FC5D1" w:rsidR="00722850" w:rsidRDefault="00722850">
      <w:pPr>
        <w:ind w:left="0" w:firstLine="0"/>
        <w:jc w:val="both"/>
        <w:rPr>
          <w:rFonts w:cstheme="minorHAnsi"/>
          <w:bCs/>
          <w:sz w:val="20"/>
        </w:rPr>
      </w:pPr>
      <w:r>
        <w:rPr>
          <w:rFonts w:cstheme="minorHAnsi"/>
          <w:bCs/>
          <w:sz w:val="20"/>
        </w:rPr>
        <w:t xml:space="preserve">Attention, du fait de l’actualisation, il est attendu que les coûts des maintenances augmentent d’année en année. </w:t>
      </w:r>
    </w:p>
    <w:p w14:paraId="1D1F6821" w14:textId="77777777" w:rsidR="00652D99" w:rsidRDefault="00652D99">
      <w:pPr>
        <w:ind w:left="0" w:firstLine="0"/>
        <w:jc w:val="both"/>
        <w:rPr>
          <w:rFonts w:cstheme="minorHAnsi"/>
          <w:b/>
          <w:sz w:val="20"/>
          <w:u w:val="single"/>
        </w:rPr>
      </w:pPr>
    </w:p>
    <w:p w14:paraId="58EA76C1" w14:textId="719582CF" w:rsidR="00652D99" w:rsidRDefault="00D011FB">
      <w:pPr>
        <w:ind w:left="0" w:firstLine="0"/>
        <w:jc w:val="both"/>
        <w:rPr>
          <w:rFonts w:cstheme="minorHAnsi"/>
          <w:b/>
          <w:sz w:val="20"/>
          <w:u w:val="single"/>
        </w:rPr>
      </w:pPr>
      <w:r>
        <w:rPr>
          <w:rFonts w:cstheme="minorHAnsi"/>
          <w:b/>
          <w:sz w:val="20"/>
          <w:u w:val="single"/>
        </w:rPr>
        <w:t xml:space="preserve">Cas particulier </w:t>
      </w:r>
      <w:r w:rsidR="00074ED4">
        <w:rPr>
          <w:rFonts w:cstheme="minorHAnsi"/>
          <w:b/>
          <w:sz w:val="20"/>
          <w:u w:val="single"/>
        </w:rPr>
        <w:t>d’</w:t>
      </w:r>
      <w:r>
        <w:rPr>
          <w:rFonts w:cstheme="minorHAnsi"/>
          <w:b/>
          <w:sz w:val="20"/>
          <w:u w:val="single"/>
        </w:rPr>
        <w:t>une augmentation de</w:t>
      </w:r>
      <w:r w:rsidR="00074ED4">
        <w:rPr>
          <w:rFonts w:cstheme="minorHAnsi"/>
          <w:b/>
          <w:sz w:val="20"/>
          <w:u w:val="single"/>
        </w:rPr>
        <w:t xml:space="preserve"> la</w:t>
      </w:r>
      <w:r>
        <w:rPr>
          <w:rFonts w:cstheme="minorHAnsi"/>
          <w:b/>
          <w:sz w:val="20"/>
          <w:u w:val="single"/>
        </w:rPr>
        <w:t xml:space="preserve"> capacité de production </w:t>
      </w:r>
    </w:p>
    <w:p w14:paraId="35DAAFDE" w14:textId="77777777" w:rsidR="00652D99" w:rsidRDefault="00652D99">
      <w:pPr>
        <w:ind w:left="0" w:firstLine="0"/>
        <w:jc w:val="both"/>
        <w:rPr>
          <w:rFonts w:cstheme="minorHAnsi"/>
          <w:b/>
          <w:sz w:val="20"/>
          <w:u w:val="single"/>
        </w:rPr>
      </w:pPr>
    </w:p>
    <w:p w14:paraId="2199A4C0" w14:textId="77777777" w:rsidR="00652D99" w:rsidRDefault="00D011FB" w:rsidP="006933EF">
      <w:pPr>
        <w:ind w:left="0" w:firstLine="0"/>
        <w:jc w:val="both"/>
        <w:rPr>
          <w:rFonts w:cstheme="minorHAnsi"/>
          <w:sz w:val="20"/>
        </w:rPr>
      </w:pPr>
      <w:r>
        <w:rPr>
          <w:rFonts w:cstheme="minorHAnsi"/>
          <w:sz w:val="20"/>
        </w:rPr>
        <w:t xml:space="preserve">L’investissement de référence doit être un investissement techniquement comparable, c’est-à-dire un investissement ayant les mêmes capacités de production et les mêmes caractéristiques (hormis celles liées à la performance énergétique ou environnementale). </w:t>
      </w:r>
    </w:p>
    <w:p w14:paraId="1E523012" w14:textId="77777777" w:rsidR="00652D99" w:rsidRDefault="00652D99">
      <w:pPr>
        <w:ind w:left="0" w:firstLine="0"/>
        <w:rPr>
          <w:rFonts w:cstheme="minorHAnsi"/>
          <w:sz w:val="20"/>
        </w:rPr>
      </w:pPr>
    </w:p>
    <w:p w14:paraId="520ADF9B" w14:textId="0FC8275A" w:rsidR="00652D99" w:rsidRDefault="00D011FB" w:rsidP="006933EF">
      <w:pPr>
        <w:ind w:left="0" w:firstLine="0"/>
        <w:jc w:val="both"/>
        <w:rPr>
          <w:rFonts w:cstheme="minorHAnsi"/>
          <w:sz w:val="20"/>
        </w:rPr>
      </w:pPr>
      <w:r>
        <w:rPr>
          <w:rFonts w:cstheme="minorHAnsi"/>
          <w:sz w:val="20"/>
        </w:rPr>
        <w:t>Dans le cas où le projet proposé permet – en plus d’une amélioration de la performance environnementale – une augmentation de la capacité de production du procédé, l’investissement de référence devra présenter les mêmes capacités de production que l’investissement mis en œuvre.</w:t>
      </w:r>
    </w:p>
    <w:p w14:paraId="06311893" w14:textId="77777777" w:rsidR="00652D99" w:rsidRDefault="00652D99">
      <w:pPr>
        <w:ind w:left="0" w:firstLine="0"/>
        <w:rPr>
          <w:rFonts w:cstheme="minorHAnsi"/>
          <w:sz w:val="20"/>
        </w:rPr>
      </w:pPr>
    </w:p>
    <w:p w14:paraId="24887C05" w14:textId="77777777" w:rsidR="00652D99" w:rsidRDefault="00652D99">
      <w:pPr>
        <w:ind w:left="0" w:firstLine="0"/>
        <w:jc w:val="both"/>
        <w:rPr>
          <w:rFonts w:cstheme="minorHAnsi"/>
          <w:sz w:val="20"/>
        </w:rPr>
      </w:pPr>
    </w:p>
    <w:p w14:paraId="230AA3A2" w14:textId="77777777" w:rsidR="00652D99" w:rsidRDefault="00D011FB">
      <w:pPr>
        <w:spacing w:after="100"/>
        <w:ind w:left="0" w:firstLine="0"/>
        <w:rPr>
          <w:rFonts w:cstheme="minorHAnsi"/>
        </w:rPr>
      </w:pPr>
      <w:r>
        <w:rPr>
          <w:rFonts w:cstheme="minorHAnsi"/>
        </w:rPr>
        <w:br w:type="page" w:clear="all"/>
      </w:r>
    </w:p>
    <w:p w14:paraId="6A345331" w14:textId="14F534E6" w:rsidR="00652D99" w:rsidRDefault="00D011FB">
      <w:pPr>
        <w:pStyle w:val="Titre1"/>
        <w:keepLines/>
        <w:shd w:val="clear" w:color="auto" w:fill="auto"/>
        <w:spacing w:before="0" w:after="0" w:line="259" w:lineRule="auto"/>
        <w:jc w:val="center"/>
        <w:rPr>
          <w:rFonts w:ascii="Calibri" w:eastAsia="Arial" w:hAnsi="Calibri"/>
          <w:smallCaps w:val="0"/>
          <w:color w:val="4F81BD"/>
          <w:szCs w:val="32"/>
        </w:rPr>
      </w:pPr>
      <w:bookmarkStart w:id="33" w:name="_Toc153893261"/>
      <w:r>
        <w:rPr>
          <w:rFonts w:eastAsia="Arial" w:cs="Times New Roman"/>
          <w:smallCaps w:val="0"/>
          <w:color w:val="4F81BD" w:themeColor="accent1"/>
          <w:szCs w:val="32"/>
        </w:rPr>
        <w:lastRenderedPageBreak/>
        <w:t xml:space="preserve">Annexe </w:t>
      </w:r>
      <w:r>
        <w:rPr>
          <w:rFonts w:eastAsia="Arial" w:cs="Times New Roman"/>
          <w:smallCaps w:val="0"/>
          <w:color w:val="4F81BD" w:themeColor="accent1"/>
          <w:szCs w:val="32"/>
        </w:rPr>
        <w:fldChar w:fldCharType="begin"/>
      </w:r>
      <w:r>
        <w:rPr>
          <w:rFonts w:eastAsia="Arial" w:cs="Times New Roman"/>
          <w:smallCaps w:val="0"/>
          <w:color w:val="4F81BD" w:themeColor="accent1"/>
          <w:szCs w:val="32"/>
        </w:rPr>
        <w:instrText xml:space="preserve"> SEQ Annexe \* ARABIC </w:instrText>
      </w:r>
      <w:r>
        <w:rPr>
          <w:rFonts w:eastAsia="Arial" w:cs="Times New Roman"/>
          <w:smallCaps w:val="0"/>
          <w:color w:val="4F81BD" w:themeColor="accent1"/>
          <w:szCs w:val="32"/>
        </w:rPr>
        <w:fldChar w:fldCharType="separate"/>
      </w:r>
      <w:r>
        <w:rPr>
          <w:rFonts w:eastAsia="Arial" w:cs="Times New Roman"/>
          <w:smallCaps w:val="0"/>
          <w:noProof/>
          <w:color w:val="4F81BD" w:themeColor="accent1"/>
          <w:szCs w:val="32"/>
        </w:rPr>
        <w:t>4</w:t>
      </w:r>
      <w:r>
        <w:rPr>
          <w:rFonts w:eastAsia="Arial" w:cs="Times New Roman"/>
          <w:smallCaps w:val="0"/>
          <w:color w:val="4F81BD" w:themeColor="accent1"/>
          <w:szCs w:val="32"/>
        </w:rPr>
        <w:fldChar w:fldCharType="end"/>
      </w:r>
      <w:r>
        <w:rPr>
          <w:rFonts w:eastAsia="Arial" w:cs="Times New Roman"/>
          <w:smallCaps w:val="0"/>
          <w:color w:val="4F81BD" w:themeColor="accent1"/>
          <w:szCs w:val="32"/>
        </w:rPr>
        <w:t xml:space="preserve"> – Dépenses éligibles</w:t>
      </w:r>
      <w:bookmarkEnd w:id="33"/>
    </w:p>
    <w:p w14:paraId="74687ABB" w14:textId="77777777" w:rsidR="00652D99" w:rsidRDefault="00652D99">
      <w:pPr>
        <w:ind w:left="0" w:firstLine="0"/>
        <w:rPr>
          <w:rFonts w:cstheme="minorHAnsi"/>
          <w:sz w:val="20"/>
        </w:rPr>
      </w:pPr>
    </w:p>
    <w:p w14:paraId="67394268" w14:textId="1B715896" w:rsidR="00652D99" w:rsidRDefault="00D011FB" w:rsidP="006933EF">
      <w:pPr>
        <w:ind w:left="0" w:firstLine="0"/>
        <w:jc w:val="both"/>
        <w:rPr>
          <w:rFonts w:cstheme="minorHAnsi"/>
          <w:sz w:val="20"/>
        </w:rPr>
      </w:pPr>
      <w:r>
        <w:rPr>
          <w:rFonts w:cstheme="minorHAnsi"/>
          <w:sz w:val="20"/>
        </w:rPr>
        <w:t xml:space="preserve">L’ensemble des dépenses prévisionnelles relatives au projet doit être détaillé dans le </w:t>
      </w:r>
      <w:r w:rsidR="00074ED4">
        <w:rPr>
          <w:rFonts w:cstheme="minorHAnsi"/>
          <w:sz w:val="20"/>
        </w:rPr>
        <w:t>V</w:t>
      </w:r>
      <w:r>
        <w:rPr>
          <w:rFonts w:cstheme="minorHAnsi"/>
          <w:sz w:val="20"/>
        </w:rPr>
        <w:t xml:space="preserve">olet </w:t>
      </w:r>
      <w:r w:rsidR="00074ED4">
        <w:rPr>
          <w:rFonts w:cstheme="minorHAnsi"/>
          <w:sz w:val="20"/>
        </w:rPr>
        <w:t>Technico-F</w:t>
      </w:r>
      <w:r>
        <w:rPr>
          <w:rFonts w:cstheme="minorHAnsi"/>
          <w:sz w:val="20"/>
        </w:rPr>
        <w:t>inancier du dossier de candidature, l’ADEME se réservant le droit de ne retenir comme éligible qu’une partie des dépenses.</w:t>
      </w:r>
    </w:p>
    <w:p w14:paraId="1AB56DF8" w14:textId="77777777" w:rsidR="00652D99" w:rsidRDefault="00652D99">
      <w:pPr>
        <w:ind w:left="0" w:firstLine="0"/>
        <w:rPr>
          <w:rFonts w:cstheme="minorHAnsi"/>
          <w:sz w:val="20"/>
        </w:rPr>
      </w:pPr>
    </w:p>
    <w:p w14:paraId="3D4882EF" w14:textId="77777777" w:rsidR="00652D99" w:rsidRDefault="00D011FB" w:rsidP="006933EF">
      <w:pPr>
        <w:ind w:left="0" w:firstLine="0"/>
        <w:jc w:val="both"/>
        <w:rPr>
          <w:rFonts w:cstheme="minorHAnsi"/>
          <w:sz w:val="20"/>
        </w:rPr>
      </w:pPr>
      <w:r>
        <w:rPr>
          <w:rFonts w:cstheme="minorHAnsi"/>
          <w:sz w:val="20"/>
        </w:rPr>
        <w:t>En principe, les dépenses d’investissement éligibles correspondent notamment aux :</w:t>
      </w:r>
    </w:p>
    <w:p w14:paraId="21D3DB60" w14:textId="77777777" w:rsidR="00652D99" w:rsidRDefault="00D011FB" w:rsidP="00426530">
      <w:pPr>
        <w:pStyle w:val="Paragraphedeliste"/>
        <w:numPr>
          <w:ilvl w:val="0"/>
          <w:numId w:val="13"/>
        </w:numPr>
        <w:rPr>
          <w:rFonts w:cstheme="minorHAnsi"/>
          <w:sz w:val="20"/>
        </w:rPr>
      </w:pPr>
      <w:r>
        <w:rPr>
          <w:rFonts w:cstheme="minorHAnsi"/>
          <w:sz w:val="20"/>
        </w:rPr>
        <w:t>Équipements de production (outil productif)</w:t>
      </w:r>
      <w:r>
        <w:rPr>
          <w:rFonts w:ascii="Calibri" w:hAnsi="Calibri" w:cs="Calibri"/>
          <w:sz w:val="20"/>
        </w:rPr>
        <w:t> </w:t>
      </w:r>
      <w:r>
        <w:rPr>
          <w:rFonts w:cstheme="minorHAnsi"/>
          <w:sz w:val="20"/>
        </w:rPr>
        <w:t>;</w:t>
      </w:r>
    </w:p>
    <w:p w14:paraId="5793AF77" w14:textId="299A8D9C" w:rsidR="00652D99" w:rsidRDefault="00D011FB" w:rsidP="00426530">
      <w:pPr>
        <w:pStyle w:val="Paragraphedeliste"/>
        <w:numPr>
          <w:ilvl w:val="0"/>
          <w:numId w:val="13"/>
        </w:numPr>
        <w:jc w:val="both"/>
        <w:rPr>
          <w:rFonts w:cstheme="minorHAnsi"/>
          <w:sz w:val="20"/>
        </w:rPr>
      </w:pPr>
      <w:r>
        <w:rPr>
          <w:rFonts w:cstheme="minorHAnsi"/>
          <w:sz w:val="20"/>
        </w:rPr>
        <w:t>Équipements nécessaires à l’outil productif tels que les utilités</w:t>
      </w:r>
      <w:r>
        <w:rPr>
          <w:rFonts w:ascii="Calibri" w:hAnsi="Calibri" w:cs="Calibri"/>
          <w:sz w:val="20"/>
        </w:rPr>
        <w:t> </w:t>
      </w:r>
      <w:r>
        <w:rPr>
          <w:rFonts w:cstheme="minorHAnsi"/>
          <w:sz w:val="20"/>
        </w:rPr>
        <w:t xml:space="preserve">(vapeur, air comprimé, </w:t>
      </w:r>
      <w:r w:rsidR="00C54727">
        <w:rPr>
          <w:rFonts w:cstheme="minorHAnsi"/>
          <w:sz w:val="20"/>
        </w:rPr>
        <w:t>etc.</w:t>
      </w:r>
      <w:r>
        <w:rPr>
          <w:rFonts w:cstheme="minorHAnsi"/>
          <w:sz w:val="20"/>
        </w:rPr>
        <w:t>) ;</w:t>
      </w:r>
    </w:p>
    <w:p w14:paraId="57BF4DE8" w14:textId="77777777" w:rsidR="00652D99" w:rsidRDefault="00D011FB" w:rsidP="00426530">
      <w:pPr>
        <w:pStyle w:val="Paragraphedeliste"/>
        <w:numPr>
          <w:ilvl w:val="0"/>
          <w:numId w:val="13"/>
        </w:numPr>
        <w:jc w:val="both"/>
        <w:rPr>
          <w:rFonts w:cstheme="minorHAnsi"/>
          <w:sz w:val="20"/>
        </w:rPr>
      </w:pPr>
      <w:r>
        <w:rPr>
          <w:rFonts w:cstheme="minorHAnsi"/>
          <w:sz w:val="20"/>
        </w:rPr>
        <w:t>Équipements périphériques tels que : raccordement/armoire électrique, tuyauterie, automatisme, etc. ;</w:t>
      </w:r>
    </w:p>
    <w:p w14:paraId="611CA9C7" w14:textId="77777777" w:rsidR="00652D99" w:rsidRDefault="00D011FB" w:rsidP="00426530">
      <w:pPr>
        <w:pStyle w:val="Paragraphedeliste"/>
        <w:numPr>
          <w:ilvl w:val="0"/>
          <w:numId w:val="13"/>
        </w:numPr>
        <w:jc w:val="both"/>
        <w:rPr>
          <w:rFonts w:cstheme="minorHAnsi"/>
          <w:sz w:val="20"/>
        </w:rPr>
      </w:pPr>
      <w:r>
        <w:rPr>
          <w:rFonts w:cstheme="minorHAnsi"/>
          <w:sz w:val="20"/>
        </w:rPr>
        <w:t xml:space="preserve">Équipements de mesure, comptage, suivi et </w:t>
      </w:r>
      <w:proofErr w:type="spellStart"/>
      <w:r>
        <w:rPr>
          <w:rFonts w:cstheme="minorHAnsi"/>
          <w:sz w:val="20"/>
        </w:rPr>
        <w:t>reporting</w:t>
      </w:r>
      <w:proofErr w:type="spellEnd"/>
      <w:r>
        <w:rPr>
          <w:rFonts w:cstheme="minorHAnsi"/>
          <w:sz w:val="20"/>
        </w:rPr>
        <w:t xml:space="preserve"> des consommations d’énergie ou des émissions de GES </w:t>
      </w:r>
    </w:p>
    <w:p w14:paraId="23AA11BC" w14:textId="77777777" w:rsidR="00652D99" w:rsidRDefault="00D011FB" w:rsidP="00426530">
      <w:pPr>
        <w:pStyle w:val="Paragraphedeliste"/>
        <w:numPr>
          <w:ilvl w:val="0"/>
          <w:numId w:val="13"/>
        </w:numPr>
        <w:jc w:val="both"/>
        <w:rPr>
          <w:rFonts w:cstheme="minorHAnsi"/>
          <w:sz w:val="20"/>
        </w:rPr>
      </w:pPr>
      <w:r>
        <w:rPr>
          <w:rFonts w:cstheme="minorHAnsi"/>
          <w:sz w:val="20"/>
        </w:rPr>
        <w:t>Les travaux d’installation des équipements listés ci-dessus, y compris le génie civil, terrassement, VRD</w:t>
      </w:r>
      <w:r>
        <w:rPr>
          <w:rFonts w:ascii="Calibri" w:hAnsi="Calibri" w:cs="Calibri"/>
          <w:sz w:val="20"/>
        </w:rPr>
        <w:t> </w:t>
      </w:r>
      <w:r>
        <w:rPr>
          <w:rFonts w:cstheme="minorHAnsi"/>
          <w:sz w:val="20"/>
        </w:rPr>
        <w:t>;</w:t>
      </w:r>
    </w:p>
    <w:p w14:paraId="4E7715FD" w14:textId="5A852A32" w:rsidR="00652D99" w:rsidRDefault="00D011FB" w:rsidP="00426530">
      <w:pPr>
        <w:pStyle w:val="Paragraphedeliste"/>
        <w:numPr>
          <w:ilvl w:val="0"/>
          <w:numId w:val="13"/>
        </w:numPr>
        <w:jc w:val="both"/>
        <w:rPr>
          <w:rFonts w:cstheme="minorHAnsi"/>
          <w:sz w:val="20"/>
        </w:rPr>
      </w:pPr>
      <w:r>
        <w:rPr>
          <w:rFonts w:cstheme="minorHAnsi"/>
          <w:sz w:val="20"/>
        </w:rPr>
        <w:t>Études d’ingénierie</w:t>
      </w:r>
      <w:r>
        <w:rPr>
          <w:rFonts w:ascii="Calibri" w:hAnsi="Calibri" w:cs="Calibri"/>
          <w:sz w:val="20"/>
        </w:rPr>
        <w:t> </w:t>
      </w:r>
      <w:r>
        <w:rPr>
          <w:rFonts w:cstheme="minorHAnsi"/>
          <w:sz w:val="20"/>
        </w:rPr>
        <w:t xml:space="preserve">ainsi que les études de suivi de réalisation et la coordination des travaux. Pour les études réalisées en interne, les dépenses seront limitées à 10% de l’ensemble des autres dépenses éligibles ; le pourcentage de ces coûts au regard des dépenses éligibles totales devra être validé par un </w:t>
      </w:r>
      <w:r w:rsidR="00CE790F">
        <w:rPr>
          <w:rFonts w:cstheme="minorHAnsi"/>
          <w:sz w:val="20"/>
        </w:rPr>
        <w:t xml:space="preserve">commissaire aux comptes </w:t>
      </w:r>
      <w:r>
        <w:rPr>
          <w:rFonts w:cstheme="minorHAnsi"/>
          <w:sz w:val="20"/>
        </w:rPr>
        <w:t>ou un expert-comptable externe</w:t>
      </w:r>
      <w:r>
        <w:rPr>
          <w:rFonts w:ascii="Calibri" w:hAnsi="Calibri" w:cs="Calibri"/>
          <w:sz w:val="20"/>
        </w:rPr>
        <w:t> </w:t>
      </w:r>
      <w:r>
        <w:rPr>
          <w:rFonts w:cstheme="minorHAnsi"/>
          <w:sz w:val="20"/>
        </w:rPr>
        <w:t>;</w:t>
      </w:r>
    </w:p>
    <w:p w14:paraId="499369B2" w14:textId="77777777" w:rsidR="00652D99" w:rsidRDefault="00D011FB" w:rsidP="00426530">
      <w:pPr>
        <w:pStyle w:val="Paragraphedeliste"/>
        <w:numPr>
          <w:ilvl w:val="0"/>
          <w:numId w:val="13"/>
        </w:numPr>
        <w:jc w:val="both"/>
        <w:rPr>
          <w:rFonts w:cstheme="minorHAnsi"/>
          <w:sz w:val="20"/>
        </w:rPr>
      </w:pPr>
      <w:r>
        <w:rPr>
          <w:rFonts w:cstheme="minorHAnsi"/>
          <w:sz w:val="20"/>
        </w:rPr>
        <w:t xml:space="preserve">Les dépenses externes de formation du personnel, dans la limite de 5% des autres dépenses éligibles. </w:t>
      </w:r>
    </w:p>
    <w:p w14:paraId="374AA2E3" w14:textId="77777777" w:rsidR="00652D99" w:rsidRDefault="00652D99" w:rsidP="006933EF">
      <w:pPr>
        <w:ind w:left="0" w:firstLine="0"/>
        <w:jc w:val="both"/>
        <w:rPr>
          <w:rFonts w:cstheme="minorHAnsi"/>
          <w:sz w:val="20"/>
        </w:rPr>
      </w:pPr>
    </w:p>
    <w:p w14:paraId="4557B468" w14:textId="62372F0F" w:rsidR="00652D99" w:rsidRDefault="00D011FB" w:rsidP="006933EF">
      <w:pPr>
        <w:ind w:left="0" w:firstLine="0"/>
        <w:jc w:val="both"/>
        <w:rPr>
          <w:rFonts w:cstheme="minorHAnsi"/>
          <w:sz w:val="20"/>
        </w:rPr>
      </w:pPr>
      <w:r>
        <w:rPr>
          <w:rFonts w:cstheme="minorHAnsi"/>
          <w:sz w:val="20"/>
        </w:rPr>
        <w:t>Ne sont notamment pas éligibles les pièces de rechange, les dépenses d’achat de terrain</w:t>
      </w:r>
      <w:r w:rsidR="00074ED4">
        <w:rPr>
          <w:rFonts w:cstheme="minorHAnsi"/>
          <w:sz w:val="20"/>
        </w:rPr>
        <w:t xml:space="preserve"> ou les dépenses portant sur des équipements de secours</w:t>
      </w:r>
      <w:r>
        <w:rPr>
          <w:rFonts w:cstheme="minorHAnsi"/>
          <w:sz w:val="20"/>
        </w:rPr>
        <w:t>.</w:t>
      </w:r>
    </w:p>
    <w:p w14:paraId="7A152B29" w14:textId="5876F9D0" w:rsidR="00074ED4" w:rsidRDefault="00074ED4" w:rsidP="006933EF">
      <w:pPr>
        <w:ind w:left="0" w:firstLine="0"/>
        <w:jc w:val="both"/>
        <w:rPr>
          <w:rFonts w:cstheme="minorHAnsi"/>
          <w:sz w:val="20"/>
        </w:rPr>
      </w:pPr>
    </w:p>
    <w:p w14:paraId="50B0E0BB" w14:textId="77777777" w:rsidR="00652D99" w:rsidRDefault="00652D99">
      <w:pPr>
        <w:ind w:left="0" w:firstLine="0"/>
        <w:rPr>
          <w:rFonts w:cstheme="minorHAnsi"/>
          <w:sz w:val="20"/>
        </w:rPr>
      </w:pPr>
    </w:p>
    <w:p w14:paraId="2CAA55CE" w14:textId="77777777" w:rsidR="00652D99" w:rsidRDefault="00652D99">
      <w:pPr>
        <w:rPr>
          <w:rFonts w:eastAsia="Arial"/>
          <w:lang w:eastAsia="en-US"/>
        </w:rPr>
      </w:pPr>
    </w:p>
    <w:p w14:paraId="1DAA7A95" w14:textId="77777777" w:rsidR="00652D99" w:rsidRDefault="00652D99">
      <w:pPr>
        <w:rPr>
          <w:rFonts w:eastAsia="Arial"/>
          <w:lang w:eastAsia="en-US"/>
        </w:rPr>
      </w:pPr>
    </w:p>
    <w:p w14:paraId="302D6931" w14:textId="77777777" w:rsidR="00652D99" w:rsidRDefault="00652D99">
      <w:pPr>
        <w:spacing w:after="100"/>
        <w:rPr>
          <w:rFonts w:eastAsia="Arial"/>
          <w:lang w:eastAsia="en-US"/>
        </w:rPr>
      </w:pPr>
    </w:p>
    <w:sectPr w:rsidR="00652D99">
      <w:headerReference w:type="default" r:id="rId95"/>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JEAN Valentin" w:date="2024-04-15T11:03:00Z" w:initials="VJ">
    <w:p w14:paraId="4A5D19AF" w14:textId="365282E6" w:rsidR="00722850" w:rsidRDefault="006B7B4F" w:rsidP="00722850">
      <w:pPr>
        <w:pStyle w:val="Commentaire"/>
        <w:ind w:left="0" w:firstLine="0"/>
      </w:pPr>
      <w:r>
        <w:rPr>
          <w:rStyle w:val="Marquedecommentaire"/>
        </w:rPr>
        <w:annotationRef/>
      </w:r>
      <w:r w:rsidR="00722850">
        <w:t>A jour le 15/04/24</w:t>
      </w:r>
    </w:p>
    <w:p w14:paraId="6A531011" w14:textId="77777777" w:rsidR="00722850" w:rsidRDefault="00722850" w:rsidP="00722850">
      <w:pPr>
        <w:pStyle w:val="Commentaire"/>
        <w:ind w:left="0" w:firstLine="0"/>
      </w:pPr>
      <w:r>
        <w:t>Garde-t-on le FE biomasse ?</w:t>
      </w:r>
    </w:p>
  </w:comment>
  <w:comment w:id="27" w:author="GERMAIN Paul" w:date="2024-12-06T12:20:00Z" w:initials="PG">
    <w:p w14:paraId="01DE4B5A" w14:textId="77777777" w:rsidR="00AE44D6" w:rsidRDefault="00AE44D6" w:rsidP="00AE44D6">
      <w:pPr>
        <w:pStyle w:val="Commentaire"/>
        <w:ind w:left="0" w:firstLine="0"/>
      </w:pPr>
      <w:r>
        <w:rPr>
          <w:rStyle w:val="Marquedecommentaire"/>
        </w:rPr>
        <w:annotationRef/>
      </w:r>
      <w:r>
        <w:t>Mettre à jour les FE des combustibles si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531011" w15:done="0"/>
  <w15:commentEx w15:paraId="01DE4B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686EE5" w16cex:dateUtc="2024-04-15T09:03:00Z"/>
  <w16cex:commentExtensible w16cex:durableId="7869C459" w16cex:dateUtc="2024-12-06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531011" w16cid:durableId="15686EE5"/>
  <w16cid:commentId w16cid:paraId="01DE4B5A" w16cid:durableId="7869C4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F04AD" w14:textId="77777777" w:rsidR="005F1F1B" w:rsidRDefault="005F1F1B">
      <w:r>
        <w:separator/>
      </w:r>
    </w:p>
  </w:endnote>
  <w:endnote w:type="continuationSeparator" w:id="0">
    <w:p w14:paraId="1F69FBFF" w14:textId="77777777" w:rsidR="005F1F1B" w:rsidRDefault="005F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Zapf Dingba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TimesNew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276783"/>
      <w:docPartObj>
        <w:docPartGallery w:val="Page Numbers (Bottom of Page)"/>
        <w:docPartUnique/>
      </w:docPartObj>
    </w:sdtPr>
    <w:sdtContent>
      <w:p w14:paraId="76801CB8" w14:textId="77777777" w:rsidR="00652D99" w:rsidRDefault="00D011FB">
        <w:pPr>
          <w:pStyle w:val="Pieddepage"/>
          <w:jc w:val="center"/>
          <w:rPr>
            <w:sz w:val="16"/>
            <w:szCs w:val="16"/>
          </w:rPr>
        </w:pPr>
        <w:r>
          <w:rPr>
            <w:sz w:val="16"/>
            <w:szCs w:val="16"/>
          </w:rPr>
          <w:fldChar w:fldCharType="begin"/>
        </w:r>
        <w:r>
          <w:rPr>
            <w:sz w:val="16"/>
            <w:szCs w:val="16"/>
          </w:rPr>
          <w:instrText>PAGE   \* MERGEFORMAT</w:instrText>
        </w:r>
        <w:r>
          <w:rPr>
            <w:sz w:val="16"/>
            <w:szCs w:val="16"/>
          </w:rPr>
          <w:fldChar w:fldCharType="separate"/>
        </w:r>
        <w:r>
          <w:rPr>
            <w:sz w:val="16"/>
            <w:szCs w:val="16"/>
          </w:rPr>
          <w:t>2</w:t>
        </w:r>
        <w:r>
          <w:rPr>
            <w:sz w:val="16"/>
            <w:szCs w:val="16"/>
          </w:rPr>
          <w:fldChar w:fldCharType="end"/>
        </w:r>
      </w:p>
      <w:p w14:paraId="2BDAAF63" w14:textId="77777777" w:rsidR="00652D99" w:rsidRDefault="00D011FB">
        <w:pPr>
          <w:pStyle w:val="Pieddepage"/>
          <w:jc w:val="center"/>
          <w:rPr>
            <w:iCs/>
            <w:sz w:val="16"/>
            <w:szCs w:val="16"/>
            <w:highlight w:val="white"/>
          </w:rPr>
        </w:pPr>
        <w:r>
          <w:rPr>
            <w:iCs/>
            <w:sz w:val="16"/>
            <w:szCs w:val="16"/>
            <w:highlight w:val="white"/>
          </w:rPr>
          <w:t>Volet technique de l’AAP DECARB IND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25026" w14:textId="77777777" w:rsidR="005F1F1B" w:rsidRDefault="005F1F1B">
      <w:r>
        <w:separator/>
      </w:r>
    </w:p>
  </w:footnote>
  <w:footnote w:type="continuationSeparator" w:id="0">
    <w:p w14:paraId="468F551C" w14:textId="77777777" w:rsidR="005F1F1B" w:rsidRDefault="005F1F1B">
      <w:r>
        <w:continuationSeparator/>
      </w:r>
    </w:p>
  </w:footnote>
  <w:footnote w:id="1">
    <w:p w14:paraId="4B71EF83" w14:textId="4AAA1017" w:rsidR="00652D99" w:rsidRDefault="00D011FB">
      <w:pPr>
        <w:pStyle w:val="Notedebasdepage"/>
        <w:ind w:left="0" w:firstLine="0"/>
        <w:jc w:val="both"/>
        <w:rPr>
          <w:sz w:val="16"/>
          <w:szCs w:val="16"/>
        </w:rPr>
      </w:pPr>
      <w:r>
        <w:rPr>
          <w:rStyle w:val="Appelnotedebasdep"/>
          <w:sz w:val="16"/>
          <w:szCs w:val="16"/>
        </w:rPr>
        <w:footnoteRef/>
      </w:r>
      <w:r>
        <w:rPr>
          <w:sz w:val="16"/>
          <w:szCs w:val="16"/>
        </w:rPr>
        <w:t xml:space="preserve"> Pour appuyer l’argumentaire autour de la trajectoire de décarbonation du site/groupe et du plan d’actions associé, tout document argumenté et étayé devra être fourni par le porteur de projet (comme le reste du dossier, tous ces éléments seront soumis à la plus grande confidentialité), tel qu’une évaluation selon la méthodologie « ACT évaluation » ou équivalent. </w:t>
      </w:r>
    </w:p>
    <w:p w14:paraId="5FBAF90F" w14:textId="610235C6" w:rsidR="00921411" w:rsidRDefault="00921411">
      <w:pPr>
        <w:pStyle w:val="Notedebasdepage"/>
        <w:ind w:left="0" w:firstLine="0"/>
        <w:jc w:val="both"/>
        <w:rPr>
          <w:sz w:val="16"/>
          <w:szCs w:val="16"/>
        </w:rPr>
      </w:pPr>
      <w:r>
        <w:rPr>
          <w:sz w:val="16"/>
          <w:szCs w:val="16"/>
        </w:rPr>
        <w:t>Notamment, en cas de projet de nouvelle installation thermique supérieure à 20 MW, une étude coûts-bénéfices pour valorisation de la chaleur fatale sur réseau de chaleur pourrait appuyer l’argumentaire</w:t>
      </w:r>
    </w:p>
  </w:footnote>
  <w:footnote w:id="2">
    <w:p w14:paraId="6CFE546C" w14:textId="77777777" w:rsidR="00652D99" w:rsidRDefault="00D011FB">
      <w:pPr>
        <w:pStyle w:val="Notedebasdepage"/>
        <w:ind w:left="0" w:firstLine="0"/>
        <w:jc w:val="both"/>
      </w:pPr>
      <w:r>
        <w:rPr>
          <w:rStyle w:val="Appelnotedebasdep"/>
          <w:sz w:val="16"/>
          <w:szCs w:val="16"/>
          <w:highlight w:val="white"/>
        </w:rPr>
        <w:footnoteRef/>
      </w:r>
      <w:r>
        <w:rPr>
          <w:sz w:val="16"/>
          <w:szCs w:val="16"/>
          <w:highlight w:val="white"/>
        </w:rPr>
        <w:t xml:space="preserve"> Si aucune évaluation de ce type n’a encore été effectuée au moment du dépôt, un délai de 3 mois suite au dépôt est laissé au candidat pour la conduire et transmettre les résultats à l’ADEME. A titre indicatif, la méthodologie «</w:t>
      </w:r>
      <w:r>
        <w:rPr>
          <w:rFonts w:cs="Calibri"/>
          <w:sz w:val="16"/>
          <w:szCs w:val="16"/>
          <w:highlight w:val="white"/>
        </w:rPr>
        <w:t> </w:t>
      </w:r>
      <w:r>
        <w:rPr>
          <w:sz w:val="16"/>
          <w:szCs w:val="16"/>
          <w:highlight w:val="white"/>
        </w:rPr>
        <w:t>ACT évaluation" se trouve ici</w:t>
      </w:r>
      <w:r>
        <w:rPr>
          <w:rFonts w:cs="Calibri"/>
          <w:sz w:val="16"/>
          <w:szCs w:val="16"/>
          <w:highlight w:val="white"/>
        </w:rPr>
        <w:t> </w:t>
      </w:r>
      <w:r>
        <w:rPr>
          <w:sz w:val="16"/>
          <w:szCs w:val="16"/>
          <w:highlight w:val="white"/>
        </w:rPr>
        <w:t>: https://actinitiative.org/assess-your-strategy/</w:t>
      </w:r>
    </w:p>
  </w:footnote>
  <w:footnote w:id="3">
    <w:p w14:paraId="497A6EA5" w14:textId="1F088D1D" w:rsidR="00652D99" w:rsidRPr="006933EF" w:rsidRDefault="00D011FB" w:rsidP="00735B8C">
      <w:pPr>
        <w:ind w:left="0" w:firstLine="0"/>
        <w:jc w:val="both"/>
        <w:rPr>
          <w:sz w:val="18"/>
        </w:rPr>
      </w:pPr>
      <w:r>
        <w:rPr>
          <w:rStyle w:val="Appelnotedebasdep"/>
          <w:sz w:val="20"/>
        </w:rPr>
        <w:footnoteRef/>
      </w:r>
      <w:r w:rsidR="00735B8C" w:rsidRPr="00BD638F">
        <w:rPr>
          <w:rStyle w:val="Lienhypertexte"/>
          <w:rFonts w:cstheme="minorHAnsi"/>
          <w:sz w:val="18"/>
        </w:rPr>
        <w:t>https://www.ademe.fr/wp-content/uploads/2023/12/2024-regles-generales-attribution-aides-ademe.pdf</w:t>
      </w:r>
    </w:p>
  </w:footnote>
  <w:footnote w:id="4">
    <w:p w14:paraId="5B674692" w14:textId="0D49D3FC" w:rsidR="00AE44D6" w:rsidRDefault="002742C2" w:rsidP="00AE44D6">
      <w:pPr>
        <w:pStyle w:val="Notedebasdepage"/>
      </w:pPr>
      <w:r w:rsidRPr="002742C2">
        <w:rPr>
          <w:rStyle w:val="Appelnotedebasdep"/>
          <w:sz w:val="18"/>
          <w:szCs w:val="18"/>
        </w:rPr>
        <w:footnoteRef/>
      </w:r>
      <w:r w:rsidRPr="002742C2">
        <w:rPr>
          <w:sz w:val="18"/>
          <w:szCs w:val="18"/>
        </w:rPr>
        <w:t xml:space="preserve"> Conditions décrites</w:t>
      </w:r>
      <w:r>
        <w:rPr>
          <w:sz w:val="18"/>
          <w:szCs w:val="18"/>
        </w:rPr>
        <w:t xml:space="preserve"> page 8</w:t>
      </w:r>
      <w:r w:rsidRPr="002742C2">
        <w:rPr>
          <w:sz w:val="18"/>
          <w:szCs w:val="18"/>
        </w:rPr>
        <w:t xml:space="preserve"> </w:t>
      </w:r>
      <w:r>
        <w:rPr>
          <w:sz w:val="18"/>
          <w:szCs w:val="18"/>
        </w:rPr>
        <w:t>du</w:t>
      </w:r>
      <w:r w:rsidRPr="002742C2">
        <w:rPr>
          <w:sz w:val="18"/>
          <w:szCs w:val="18"/>
        </w:rPr>
        <w:t xml:space="preserve"> cahier des charges</w:t>
      </w:r>
      <w:r>
        <w:rPr>
          <w:sz w:val="18"/>
          <w:szCs w:val="18"/>
        </w:rPr>
        <w:t xml:space="preserve"> </w:t>
      </w:r>
      <w:r w:rsidRPr="002742C2">
        <w:rPr>
          <w:sz w:val="18"/>
          <w:szCs w:val="18"/>
        </w:rPr>
        <w:t>sur la page suivante</w:t>
      </w:r>
      <w:r w:rsidRPr="002742C2">
        <w:rPr>
          <w:rFonts w:ascii="Calibri" w:hAnsi="Calibri" w:cs="Calibri"/>
          <w:sz w:val="18"/>
          <w:szCs w:val="18"/>
        </w:rPr>
        <w:t> </w:t>
      </w:r>
      <w:r w:rsidRPr="002742C2">
        <w:rPr>
          <w:sz w:val="18"/>
          <w:szCs w:val="18"/>
        </w:rPr>
        <w:t>:</w:t>
      </w:r>
      <w:r>
        <w:rPr>
          <w:sz w:val="18"/>
          <w:szCs w:val="18"/>
        </w:rPr>
        <w:t xml:space="preserve"> </w:t>
      </w:r>
      <w:hyperlink r:id="rId1" w:history="1">
        <w:r w:rsidR="00AE44D6" w:rsidRPr="000E3E74">
          <w:rPr>
            <w:rStyle w:val="Lienhypertexte"/>
            <w:sz w:val="18"/>
            <w:szCs w:val="18"/>
          </w:rPr>
          <w:t>https://agirpourlatransition.ademe.fr/entreprises/aides-financieres/2024/realisation-dinstallations-recuperation-chaleur-fatale</w:t>
        </w:r>
      </w:hyperlink>
    </w:p>
  </w:footnote>
  <w:footnote w:id="5">
    <w:p w14:paraId="311399AD" w14:textId="53A61A43" w:rsidR="00652D99" w:rsidRDefault="00D011FB">
      <w:pPr>
        <w:pStyle w:val="Notedebasdepage"/>
      </w:pPr>
      <w:r w:rsidRPr="00BB2AD4">
        <w:rPr>
          <w:rStyle w:val="Appelnotedebasdep"/>
        </w:rPr>
        <w:footnoteRef/>
      </w:r>
      <w:r w:rsidRPr="00BB2AD4">
        <w:t xml:space="preserve"> </w:t>
      </w:r>
      <w:r w:rsidR="005D2FF4" w:rsidRPr="00BB2AD4">
        <w:rPr>
          <w:sz w:val="18"/>
        </w:rPr>
        <w:t>Selon directives de la commission européenne et méthodologie ADEME</w:t>
      </w:r>
      <w:r w:rsidRPr="00BB2AD4">
        <w:rPr>
          <w:sz w:val="18"/>
        </w:rPr>
        <w:t xml:space="preserve"> </w:t>
      </w:r>
    </w:p>
  </w:footnote>
  <w:footnote w:id="6">
    <w:p w14:paraId="4D0292DC" w14:textId="22B353FA" w:rsidR="00CE790F" w:rsidRDefault="00CE790F">
      <w:pPr>
        <w:pStyle w:val="Notedebasdepage"/>
      </w:pPr>
      <w:r>
        <w:rPr>
          <w:rStyle w:val="Appelnotedebasdep"/>
        </w:rPr>
        <w:footnoteRef/>
      </w:r>
      <w:r>
        <w:t xml:space="preserve"> Il est attendu que les coûts évoluent dans le temps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D32A0" w14:textId="77777777" w:rsidR="00652D99" w:rsidRDefault="00D011FB">
    <w:pPr>
      <w:pStyle w:val="En-tte"/>
      <w:ind w:left="-709" w:firstLine="709"/>
    </w:pPr>
    <w:r>
      <w:rPr>
        <w:b/>
        <w:bCs/>
        <w:noProof/>
      </w:rPr>
      <w:drawing>
        <wp:anchor distT="0" distB="0" distL="114300" distR="114300" simplePos="0" relativeHeight="251660288" behindDoc="0" locked="0" layoutInCell="1" allowOverlap="1" wp14:anchorId="112B83CA" wp14:editId="4D6B8F7C">
          <wp:simplePos x="0" y="0"/>
          <wp:positionH relativeFrom="margin">
            <wp:posOffset>2451170</wp:posOffset>
          </wp:positionH>
          <wp:positionV relativeFrom="paragraph">
            <wp:posOffset>18912</wp:posOffset>
          </wp:positionV>
          <wp:extent cx="1002125" cy="946205"/>
          <wp:effectExtent l="0" t="0" r="7620" b="6350"/>
          <wp:wrapNone/>
          <wp:docPr id="664718366" name="Image 66471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rance 2030.png"/>
                  <pic:cNvPicPr>
                    <a:picLocks noChangeAspect="1"/>
                  </pic:cNvPicPr>
                </pic:nvPicPr>
                <pic:blipFill>
                  <a:blip r:embed="rId1"/>
                  <a:stretch/>
                </pic:blipFill>
                <pic:spPr bwMode="auto">
                  <a:xfrm>
                    <a:off x="0" y="0"/>
                    <a:ext cx="1006428" cy="9502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6C5D3E" wp14:editId="0241DB29">
          <wp:extent cx="1832400" cy="1080000"/>
          <wp:effectExtent l="0" t="0" r="0" b="6350"/>
          <wp:docPr id="1382027331" name="Image 1382027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a:picLocks noChangeAspect="1"/>
                  </pic:cNvPicPr>
                </pic:nvPicPr>
                <pic:blipFill>
                  <a:blip r:embed="rId2"/>
                  <a:stretch/>
                </pic:blipFill>
                <pic:spPr bwMode="auto">
                  <a:xfrm>
                    <a:off x="0" y="0"/>
                    <a:ext cx="1832400" cy="1080000"/>
                  </a:xfrm>
                  <a:prstGeom prst="rect">
                    <a:avLst/>
                  </a:prstGeom>
                </pic:spPr>
              </pic:pic>
            </a:graphicData>
          </a:graphic>
        </wp:inline>
      </w:drawing>
    </w:r>
    <w:r>
      <w:rPr>
        <w:i/>
        <w:noProof/>
      </w:rPr>
      <w:drawing>
        <wp:anchor distT="0" distB="0" distL="114300" distR="114300" simplePos="0" relativeHeight="251659264" behindDoc="0" locked="0" layoutInCell="1" allowOverlap="1" wp14:anchorId="338159E2" wp14:editId="04621078">
          <wp:simplePos x="0" y="0"/>
          <wp:positionH relativeFrom="margin">
            <wp:align>right</wp:align>
          </wp:positionH>
          <wp:positionV relativeFrom="paragraph">
            <wp:posOffset>22225</wp:posOffset>
          </wp:positionV>
          <wp:extent cx="769620" cy="877570"/>
          <wp:effectExtent l="0" t="0" r="0" b="0"/>
          <wp:wrapSquare wrapText="bothSides"/>
          <wp:docPr id="1749587333" name="Image 174958733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pic:cNvPicPr>
                </pic:nvPicPr>
                <pic:blipFill>
                  <a:blip r:embed="rId3"/>
                  <a:stretch/>
                </pic:blipFill>
                <pic:spPr bwMode="auto">
                  <a:xfrm>
                    <a:off x="0" y="0"/>
                    <a:ext cx="769620" cy="8775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5FD5" w14:textId="77777777" w:rsidR="00652D99" w:rsidRDefault="00D011FB">
    <w:pPr>
      <w:pStyle w:val="En-tte"/>
    </w:pPr>
    <w:r>
      <w:rPr>
        <w:noProof/>
      </w:rPr>
      <w:drawing>
        <wp:anchor distT="0" distB="0" distL="114300" distR="114300" simplePos="0" relativeHeight="251662336" behindDoc="0" locked="0" layoutInCell="1" allowOverlap="1" wp14:anchorId="411E7C26" wp14:editId="498D8C41">
          <wp:simplePos x="0" y="0"/>
          <wp:positionH relativeFrom="margin">
            <wp:posOffset>5085715</wp:posOffset>
          </wp:positionH>
          <wp:positionV relativeFrom="paragraph">
            <wp:posOffset>71120</wp:posOffset>
          </wp:positionV>
          <wp:extent cx="609600" cy="711200"/>
          <wp:effectExtent l="0" t="0" r="0" b="0"/>
          <wp:wrapSquare wrapText="bothSides"/>
          <wp:docPr id="4"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texte&#10;&#10;Description générée automatiquement"/>
                  <pic:cNvPicPr>
                    <a:picLocks noChangeAspect="1"/>
                  </pic:cNvPicPr>
                </pic:nvPicPr>
                <pic:blipFill>
                  <a:blip r:embed="rId1"/>
                  <a:srcRect l="9164" t="7536" r="8334" b="8034"/>
                  <a:stretch/>
                </pic:blipFill>
                <pic:spPr bwMode="auto">
                  <a:xfrm>
                    <a:off x="0" y="0"/>
                    <a:ext cx="60960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64A7A45" wp14:editId="02418F0C">
          <wp:extent cx="1473200" cy="76200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pic:cNvPicPr>
                </pic:nvPicPr>
                <pic:blipFill>
                  <a:blip r:embed="rId2"/>
                  <a:srcRect b="11525"/>
                  <a:stretch/>
                </pic:blipFill>
                <pic:spPr bwMode="auto">
                  <a:xfrm>
                    <a:off x="0" y="0"/>
                    <a:ext cx="1473200" cy="762000"/>
                  </a:xfrm>
                  <a:prstGeom prst="rect">
                    <a:avLst/>
                  </a:prstGeom>
                  <a:noFill/>
                  <a:ln>
                    <a:noFill/>
                  </a:ln>
                </pic:spPr>
              </pic:pic>
            </a:graphicData>
          </a:graphic>
        </wp:inline>
      </w:drawing>
    </w:r>
    <w:r>
      <w:tab/>
    </w:r>
    <w:r>
      <w:rPr>
        <w:b/>
        <w:noProof/>
      </w:rPr>
      <w:drawing>
        <wp:inline distT="0" distB="0" distL="0" distR="0" wp14:anchorId="28197B01" wp14:editId="74909F51">
          <wp:extent cx="787400" cy="742950"/>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pic:cNvPicPr>
                </pic:nvPicPr>
                <pic:blipFill>
                  <a:blip r:embed="rId3"/>
                  <a:stretch/>
                </pic:blipFill>
                <pic:spPr bwMode="auto">
                  <a:xfrm>
                    <a:off x="0" y="0"/>
                    <a:ext cx="787400" cy="742950"/>
                  </a:xfrm>
                  <a:prstGeom prst="rect">
                    <a:avLst/>
                  </a:prstGeom>
                  <a:noFill/>
                  <a:ln>
                    <a:noFill/>
                  </a:ln>
                </pic:spPr>
              </pic:pic>
            </a:graphicData>
          </a:graphic>
        </wp:inline>
      </w:drawing>
    </w:r>
  </w:p>
  <w:p w14:paraId="01D33DCF" w14:textId="77777777" w:rsidR="00652D99" w:rsidRDefault="00652D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0C16"/>
    <w:multiLevelType w:val="hybridMultilevel"/>
    <w:tmpl w:val="9946C1D0"/>
    <w:lvl w:ilvl="0" w:tplc="E6A8643A">
      <w:start w:val="1"/>
      <w:numFmt w:val="bullet"/>
      <w:lvlText w:val=""/>
      <w:lvlJc w:val="left"/>
      <w:pPr>
        <w:ind w:left="720" w:hanging="360"/>
      </w:pPr>
      <w:rPr>
        <w:rFonts w:ascii="Symbol" w:hAnsi="Symbol" w:hint="default"/>
      </w:rPr>
    </w:lvl>
    <w:lvl w:ilvl="1" w:tplc="8BBAD304">
      <w:start w:val="1"/>
      <w:numFmt w:val="bullet"/>
      <w:lvlText w:val="o"/>
      <w:lvlJc w:val="left"/>
      <w:pPr>
        <w:ind w:left="1440" w:hanging="360"/>
      </w:pPr>
      <w:rPr>
        <w:rFonts w:ascii="Courier New" w:hAnsi="Courier New" w:cs="Courier New" w:hint="default"/>
      </w:rPr>
    </w:lvl>
    <w:lvl w:ilvl="2" w:tplc="C12A1A64">
      <w:start w:val="1"/>
      <w:numFmt w:val="bullet"/>
      <w:lvlText w:val=""/>
      <w:lvlJc w:val="left"/>
      <w:pPr>
        <w:ind w:left="2160" w:hanging="360"/>
      </w:pPr>
      <w:rPr>
        <w:rFonts w:ascii="Wingdings" w:hAnsi="Wingdings" w:hint="default"/>
      </w:rPr>
    </w:lvl>
    <w:lvl w:ilvl="3" w:tplc="E3221FA4">
      <w:start w:val="1"/>
      <w:numFmt w:val="bullet"/>
      <w:lvlText w:val=""/>
      <w:lvlJc w:val="left"/>
      <w:pPr>
        <w:ind w:left="2880" w:hanging="360"/>
      </w:pPr>
      <w:rPr>
        <w:rFonts w:ascii="Symbol" w:hAnsi="Symbol" w:hint="default"/>
      </w:rPr>
    </w:lvl>
    <w:lvl w:ilvl="4" w:tplc="45E029F0">
      <w:start w:val="1"/>
      <w:numFmt w:val="bullet"/>
      <w:lvlText w:val="o"/>
      <w:lvlJc w:val="left"/>
      <w:pPr>
        <w:ind w:left="3600" w:hanging="360"/>
      </w:pPr>
      <w:rPr>
        <w:rFonts w:ascii="Courier New" w:hAnsi="Courier New" w:cs="Courier New" w:hint="default"/>
      </w:rPr>
    </w:lvl>
    <w:lvl w:ilvl="5" w:tplc="26E69448">
      <w:start w:val="1"/>
      <w:numFmt w:val="bullet"/>
      <w:lvlText w:val=""/>
      <w:lvlJc w:val="left"/>
      <w:pPr>
        <w:ind w:left="4320" w:hanging="360"/>
      </w:pPr>
      <w:rPr>
        <w:rFonts w:ascii="Wingdings" w:hAnsi="Wingdings" w:hint="default"/>
      </w:rPr>
    </w:lvl>
    <w:lvl w:ilvl="6" w:tplc="1B329236">
      <w:start w:val="1"/>
      <w:numFmt w:val="bullet"/>
      <w:lvlText w:val=""/>
      <w:lvlJc w:val="left"/>
      <w:pPr>
        <w:ind w:left="5040" w:hanging="360"/>
      </w:pPr>
      <w:rPr>
        <w:rFonts w:ascii="Symbol" w:hAnsi="Symbol" w:hint="default"/>
      </w:rPr>
    </w:lvl>
    <w:lvl w:ilvl="7" w:tplc="C32CF126">
      <w:start w:val="1"/>
      <w:numFmt w:val="bullet"/>
      <w:lvlText w:val="o"/>
      <w:lvlJc w:val="left"/>
      <w:pPr>
        <w:ind w:left="5760" w:hanging="360"/>
      </w:pPr>
      <w:rPr>
        <w:rFonts w:ascii="Courier New" w:hAnsi="Courier New" w:cs="Courier New" w:hint="default"/>
      </w:rPr>
    </w:lvl>
    <w:lvl w:ilvl="8" w:tplc="D9900D5A">
      <w:start w:val="1"/>
      <w:numFmt w:val="bullet"/>
      <w:lvlText w:val=""/>
      <w:lvlJc w:val="left"/>
      <w:pPr>
        <w:ind w:left="6480" w:hanging="360"/>
      </w:pPr>
      <w:rPr>
        <w:rFonts w:ascii="Wingdings" w:hAnsi="Wingdings" w:hint="default"/>
      </w:rPr>
    </w:lvl>
  </w:abstractNum>
  <w:abstractNum w:abstractNumId="1" w15:restartNumberingAfterBreak="0">
    <w:nsid w:val="07D947A5"/>
    <w:multiLevelType w:val="hybridMultilevel"/>
    <w:tmpl w:val="A954871E"/>
    <w:lvl w:ilvl="0" w:tplc="02A27F88">
      <w:start w:val="1"/>
      <w:numFmt w:val="bullet"/>
      <w:lvlText w:val=""/>
      <w:lvlJc w:val="left"/>
      <w:pPr>
        <w:ind w:left="720" w:hanging="360"/>
      </w:pPr>
      <w:rPr>
        <w:rFonts w:ascii="Symbol" w:hAnsi="Symbol" w:hint="default"/>
      </w:rPr>
    </w:lvl>
    <w:lvl w:ilvl="1" w:tplc="17CC67B2">
      <w:start w:val="1"/>
      <w:numFmt w:val="bullet"/>
      <w:lvlText w:val="o"/>
      <w:lvlJc w:val="left"/>
      <w:pPr>
        <w:ind w:left="1440" w:hanging="360"/>
      </w:pPr>
      <w:rPr>
        <w:rFonts w:ascii="Courier New" w:hAnsi="Courier New" w:cs="Courier New" w:hint="default"/>
      </w:rPr>
    </w:lvl>
    <w:lvl w:ilvl="2" w:tplc="9B023594">
      <w:start w:val="1"/>
      <w:numFmt w:val="bullet"/>
      <w:lvlText w:val=""/>
      <w:lvlJc w:val="left"/>
      <w:pPr>
        <w:ind w:left="2160" w:hanging="360"/>
      </w:pPr>
      <w:rPr>
        <w:rFonts w:ascii="Wingdings" w:hAnsi="Wingdings" w:hint="default"/>
      </w:rPr>
    </w:lvl>
    <w:lvl w:ilvl="3" w:tplc="D138EF88">
      <w:start w:val="1"/>
      <w:numFmt w:val="bullet"/>
      <w:lvlText w:val=""/>
      <w:lvlJc w:val="left"/>
      <w:pPr>
        <w:ind w:left="2880" w:hanging="360"/>
      </w:pPr>
      <w:rPr>
        <w:rFonts w:ascii="Symbol" w:hAnsi="Symbol" w:hint="default"/>
      </w:rPr>
    </w:lvl>
    <w:lvl w:ilvl="4" w:tplc="EAB0FB48">
      <w:start w:val="1"/>
      <w:numFmt w:val="bullet"/>
      <w:lvlText w:val="o"/>
      <w:lvlJc w:val="left"/>
      <w:pPr>
        <w:ind w:left="3600" w:hanging="360"/>
      </w:pPr>
      <w:rPr>
        <w:rFonts w:ascii="Courier New" w:hAnsi="Courier New" w:cs="Courier New" w:hint="default"/>
      </w:rPr>
    </w:lvl>
    <w:lvl w:ilvl="5" w:tplc="AA0E6060">
      <w:start w:val="1"/>
      <w:numFmt w:val="bullet"/>
      <w:lvlText w:val=""/>
      <w:lvlJc w:val="left"/>
      <w:pPr>
        <w:ind w:left="4320" w:hanging="360"/>
      </w:pPr>
      <w:rPr>
        <w:rFonts w:ascii="Wingdings" w:hAnsi="Wingdings" w:hint="default"/>
      </w:rPr>
    </w:lvl>
    <w:lvl w:ilvl="6" w:tplc="A9DE455A">
      <w:start w:val="1"/>
      <w:numFmt w:val="bullet"/>
      <w:lvlText w:val=""/>
      <w:lvlJc w:val="left"/>
      <w:pPr>
        <w:ind w:left="5040" w:hanging="360"/>
      </w:pPr>
      <w:rPr>
        <w:rFonts w:ascii="Symbol" w:hAnsi="Symbol" w:hint="default"/>
      </w:rPr>
    </w:lvl>
    <w:lvl w:ilvl="7" w:tplc="1DD498B6">
      <w:start w:val="1"/>
      <w:numFmt w:val="bullet"/>
      <w:lvlText w:val="o"/>
      <w:lvlJc w:val="left"/>
      <w:pPr>
        <w:ind w:left="5760" w:hanging="360"/>
      </w:pPr>
      <w:rPr>
        <w:rFonts w:ascii="Courier New" w:hAnsi="Courier New" w:cs="Courier New" w:hint="default"/>
      </w:rPr>
    </w:lvl>
    <w:lvl w:ilvl="8" w:tplc="E66C7A56">
      <w:start w:val="1"/>
      <w:numFmt w:val="bullet"/>
      <w:lvlText w:val=""/>
      <w:lvlJc w:val="left"/>
      <w:pPr>
        <w:ind w:left="6480" w:hanging="360"/>
      </w:pPr>
      <w:rPr>
        <w:rFonts w:ascii="Wingdings" w:hAnsi="Wingdings" w:hint="default"/>
      </w:rPr>
    </w:lvl>
  </w:abstractNum>
  <w:abstractNum w:abstractNumId="2" w15:restartNumberingAfterBreak="0">
    <w:nsid w:val="0EEB1157"/>
    <w:multiLevelType w:val="hybridMultilevel"/>
    <w:tmpl w:val="C89A6CA4"/>
    <w:lvl w:ilvl="0" w:tplc="269EF8B6">
      <w:start w:val="1"/>
      <w:numFmt w:val="bullet"/>
      <w:lvlText w:val=""/>
      <w:lvlJc w:val="left"/>
      <w:pPr>
        <w:ind w:left="720" w:hanging="360"/>
      </w:pPr>
      <w:rPr>
        <w:rFonts w:ascii="Symbol" w:hAnsi="Symbol" w:hint="default"/>
      </w:rPr>
    </w:lvl>
    <w:lvl w:ilvl="1" w:tplc="17C2BD00">
      <w:start w:val="1"/>
      <w:numFmt w:val="bullet"/>
      <w:lvlText w:val="o"/>
      <w:lvlJc w:val="left"/>
      <w:pPr>
        <w:ind w:left="1440" w:hanging="360"/>
      </w:pPr>
      <w:rPr>
        <w:rFonts w:ascii="Courier New" w:hAnsi="Courier New" w:cs="Courier New" w:hint="default"/>
      </w:rPr>
    </w:lvl>
    <w:lvl w:ilvl="2" w:tplc="62223732">
      <w:start w:val="1"/>
      <w:numFmt w:val="bullet"/>
      <w:lvlText w:val=""/>
      <w:lvlJc w:val="left"/>
      <w:pPr>
        <w:ind w:left="2160" w:hanging="360"/>
      </w:pPr>
      <w:rPr>
        <w:rFonts w:ascii="Wingdings" w:hAnsi="Wingdings" w:hint="default"/>
      </w:rPr>
    </w:lvl>
    <w:lvl w:ilvl="3" w:tplc="EE665F78">
      <w:start w:val="1"/>
      <w:numFmt w:val="bullet"/>
      <w:lvlText w:val=""/>
      <w:lvlJc w:val="left"/>
      <w:pPr>
        <w:ind w:left="2880" w:hanging="360"/>
      </w:pPr>
      <w:rPr>
        <w:rFonts w:ascii="Symbol" w:hAnsi="Symbol" w:hint="default"/>
      </w:rPr>
    </w:lvl>
    <w:lvl w:ilvl="4" w:tplc="E10AE770">
      <w:start w:val="1"/>
      <w:numFmt w:val="bullet"/>
      <w:lvlText w:val="o"/>
      <w:lvlJc w:val="left"/>
      <w:pPr>
        <w:ind w:left="3600" w:hanging="360"/>
      </w:pPr>
      <w:rPr>
        <w:rFonts w:ascii="Courier New" w:hAnsi="Courier New" w:cs="Courier New" w:hint="default"/>
      </w:rPr>
    </w:lvl>
    <w:lvl w:ilvl="5" w:tplc="35985A48">
      <w:start w:val="1"/>
      <w:numFmt w:val="bullet"/>
      <w:lvlText w:val=""/>
      <w:lvlJc w:val="left"/>
      <w:pPr>
        <w:ind w:left="4320" w:hanging="360"/>
      </w:pPr>
      <w:rPr>
        <w:rFonts w:ascii="Wingdings" w:hAnsi="Wingdings" w:hint="default"/>
      </w:rPr>
    </w:lvl>
    <w:lvl w:ilvl="6" w:tplc="0A9A022A">
      <w:start w:val="1"/>
      <w:numFmt w:val="bullet"/>
      <w:lvlText w:val=""/>
      <w:lvlJc w:val="left"/>
      <w:pPr>
        <w:ind w:left="5040" w:hanging="360"/>
      </w:pPr>
      <w:rPr>
        <w:rFonts w:ascii="Symbol" w:hAnsi="Symbol" w:hint="default"/>
      </w:rPr>
    </w:lvl>
    <w:lvl w:ilvl="7" w:tplc="4992D5B4">
      <w:start w:val="1"/>
      <w:numFmt w:val="bullet"/>
      <w:lvlText w:val="o"/>
      <w:lvlJc w:val="left"/>
      <w:pPr>
        <w:ind w:left="5760" w:hanging="360"/>
      </w:pPr>
      <w:rPr>
        <w:rFonts w:ascii="Courier New" w:hAnsi="Courier New" w:cs="Courier New" w:hint="default"/>
      </w:rPr>
    </w:lvl>
    <w:lvl w:ilvl="8" w:tplc="E572D1E8">
      <w:start w:val="1"/>
      <w:numFmt w:val="bullet"/>
      <w:lvlText w:val=""/>
      <w:lvlJc w:val="left"/>
      <w:pPr>
        <w:ind w:left="6480" w:hanging="360"/>
      </w:pPr>
      <w:rPr>
        <w:rFonts w:ascii="Wingdings" w:hAnsi="Wingdings" w:hint="default"/>
      </w:rPr>
    </w:lvl>
  </w:abstractNum>
  <w:abstractNum w:abstractNumId="3" w15:restartNumberingAfterBreak="0">
    <w:nsid w:val="19C12D94"/>
    <w:multiLevelType w:val="hybridMultilevel"/>
    <w:tmpl w:val="80165004"/>
    <w:lvl w:ilvl="0" w:tplc="2AFA2F46">
      <w:start w:val="1"/>
      <w:numFmt w:val="bullet"/>
      <w:lvlText w:val=""/>
      <w:lvlJc w:val="left"/>
      <w:pPr>
        <w:ind w:left="720" w:hanging="360"/>
      </w:pPr>
      <w:rPr>
        <w:rFonts w:ascii="Symbol" w:hAnsi="Symbol" w:hint="default"/>
      </w:rPr>
    </w:lvl>
    <w:lvl w:ilvl="1" w:tplc="15A82F0C">
      <w:start w:val="1"/>
      <w:numFmt w:val="bullet"/>
      <w:lvlText w:val="o"/>
      <w:lvlJc w:val="left"/>
      <w:pPr>
        <w:ind w:left="1440" w:hanging="360"/>
      </w:pPr>
      <w:rPr>
        <w:rFonts w:ascii="Courier New" w:hAnsi="Courier New" w:cs="Courier New" w:hint="default"/>
      </w:rPr>
    </w:lvl>
    <w:lvl w:ilvl="2" w:tplc="6D0E4816">
      <w:start w:val="1"/>
      <w:numFmt w:val="bullet"/>
      <w:lvlText w:val=""/>
      <w:lvlJc w:val="left"/>
      <w:pPr>
        <w:ind w:left="2160" w:hanging="360"/>
      </w:pPr>
      <w:rPr>
        <w:rFonts w:ascii="Wingdings" w:hAnsi="Wingdings" w:hint="default"/>
      </w:rPr>
    </w:lvl>
    <w:lvl w:ilvl="3" w:tplc="E168D796">
      <w:start w:val="1"/>
      <w:numFmt w:val="bullet"/>
      <w:lvlText w:val=""/>
      <w:lvlJc w:val="left"/>
      <w:pPr>
        <w:ind w:left="2880" w:hanging="360"/>
      </w:pPr>
      <w:rPr>
        <w:rFonts w:ascii="Symbol" w:hAnsi="Symbol" w:hint="default"/>
      </w:rPr>
    </w:lvl>
    <w:lvl w:ilvl="4" w:tplc="4BBE3EF2">
      <w:start w:val="1"/>
      <w:numFmt w:val="bullet"/>
      <w:lvlText w:val="o"/>
      <w:lvlJc w:val="left"/>
      <w:pPr>
        <w:ind w:left="3600" w:hanging="360"/>
      </w:pPr>
      <w:rPr>
        <w:rFonts w:ascii="Courier New" w:hAnsi="Courier New" w:cs="Courier New" w:hint="default"/>
      </w:rPr>
    </w:lvl>
    <w:lvl w:ilvl="5" w:tplc="3CEA521E">
      <w:start w:val="1"/>
      <w:numFmt w:val="bullet"/>
      <w:lvlText w:val=""/>
      <w:lvlJc w:val="left"/>
      <w:pPr>
        <w:ind w:left="4320" w:hanging="360"/>
      </w:pPr>
      <w:rPr>
        <w:rFonts w:ascii="Wingdings" w:hAnsi="Wingdings" w:hint="default"/>
      </w:rPr>
    </w:lvl>
    <w:lvl w:ilvl="6" w:tplc="B3B2386A">
      <w:start w:val="1"/>
      <w:numFmt w:val="bullet"/>
      <w:lvlText w:val=""/>
      <w:lvlJc w:val="left"/>
      <w:pPr>
        <w:ind w:left="5040" w:hanging="360"/>
      </w:pPr>
      <w:rPr>
        <w:rFonts w:ascii="Symbol" w:hAnsi="Symbol" w:hint="default"/>
      </w:rPr>
    </w:lvl>
    <w:lvl w:ilvl="7" w:tplc="8DC65D26">
      <w:start w:val="1"/>
      <w:numFmt w:val="bullet"/>
      <w:lvlText w:val="o"/>
      <w:lvlJc w:val="left"/>
      <w:pPr>
        <w:ind w:left="5760" w:hanging="360"/>
      </w:pPr>
      <w:rPr>
        <w:rFonts w:ascii="Courier New" w:hAnsi="Courier New" w:cs="Courier New" w:hint="default"/>
      </w:rPr>
    </w:lvl>
    <w:lvl w:ilvl="8" w:tplc="060EBE50">
      <w:start w:val="1"/>
      <w:numFmt w:val="bullet"/>
      <w:lvlText w:val=""/>
      <w:lvlJc w:val="left"/>
      <w:pPr>
        <w:ind w:left="6480" w:hanging="360"/>
      </w:pPr>
      <w:rPr>
        <w:rFonts w:ascii="Wingdings" w:hAnsi="Wingdings" w:hint="default"/>
      </w:rPr>
    </w:lvl>
  </w:abstractNum>
  <w:abstractNum w:abstractNumId="4" w15:restartNumberingAfterBreak="0">
    <w:nsid w:val="23EC40F7"/>
    <w:multiLevelType w:val="hybridMultilevel"/>
    <w:tmpl w:val="935A6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16134"/>
    <w:multiLevelType w:val="hybridMultilevel"/>
    <w:tmpl w:val="D3FE5A76"/>
    <w:lvl w:ilvl="0" w:tplc="17846F8C">
      <w:start w:val="45"/>
      <w:numFmt w:val="bullet"/>
      <w:lvlText w:val="-"/>
      <w:lvlJc w:val="left"/>
      <w:pPr>
        <w:ind w:left="720" w:hanging="360"/>
      </w:pPr>
      <w:rPr>
        <w:rFonts w:ascii="Aptos" w:eastAsia="Aptos" w:hAnsi="Aptos" w:cs="Apto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E4E1680"/>
    <w:multiLevelType w:val="hybridMultilevel"/>
    <w:tmpl w:val="C758FB52"/>
    <w:lvl w:ilvl="0" w:tplc="0EF426F4">
      <w:start w:val="1"/>
      <w:numFmt w:val="bullet"/>
      <w:lvlText w:val=""/>
      <w:lvlJc w:val="left"/>
      <w:pPr>
        <w:ind w:left="720" w:hanging="360"/>
      </w:pPr>
      <w:rPr>
        <w:rFonts w:ascii="Symbol" w:hAnsi="Symbol" w:hint="default"/>
      </w:rPr>
    </w:lvl>
    <w:lvl w:ilvl="1" w:tplc="C32C0BCC">
      <w:start w:val="1"/>
      <w:numFmt w:val="bullet"/>
      <w:lvlText w:val="o"/>
      <w:lvlJc w:val="left"/>
      <w:pPr>
        <w:ind w:left="1440" w:hanging="360"/>
      </w:pPr>
      <w:rPr>
        <w:rFonts w:ascii="Courier New" w:hAnsi="Courier New" w:cs="Courier New" w:hint="default"/>
      </w:rPr>
    </w:lvl>
    <w:lvl w:ilvl="2" w:tplc="E112FB9C">
      <w:start w:val="1"/>
      <w:numFmt w:val="bullet"/>
      <w:lvlText w:val=""/>
      <w:lvlJc w:val="left"/>
      <w:pPr>
        <w:ind w:left="2160" w:hanging="360"/>
      </w:pPr>
      <w:rPr>
        <w:rFonts w:ascii="Wingdings" w:hAnsi="Wingdings" w:hint="default"/>
      </w:rPr>
    </w:lvl>
    <w:lvl w:ilvl="3" w:tplc="13365C82">
      <w:start w:val="1"/>
      <w:numFmt w:val="bullet"/>
      <w:lvlText w:val=""/>
      <w:lvlJc w:val="left"/>
      <w:pPr>
        <w:ind w:left="2880" w:hanging="360"/>
      </w:pPr>
      <w:rPr>
        <w:rFonts w:ascii="Symbol" w:hAnsi="Symbol" w:hint="default"/>
      </w:rPr>
    </w:lvl>
    <w:lvl w:ilvl="4" w:tplc="4F62BE7E">
      <w:start w:val="1"/>
      <w:numFmt w:val="bullet"/>
      <w:lvlText w:val="o"/>
      <w:lvlJc w:val="left"/>
      <w:pPr>
        <w:ind w:left="3600" w:hanging="360"/>
      </w:pPr>
      <w:rPr>
        <w:rFonts w:ascii="Courier New" w:hAnsi="Courier New" w:cs="Courier New" w:hint="default"/>
      </w:rPr>
    </w:lvl>
    <w:lvl w:ilvl="5" w:tplc="8C04E4C4">
      <w:start w:val="1"/>
      <w:numFmt w:val="bullet"/>
      <w:lvlText w:val=""/>
      <w:lvlJc w:val="left"/>
      <w:pPr>
        <w:ind w:left="4320" w:hanging="360"/>
      </w:pPr>
      <w:rPr>
        <w:rFonts w:ascii="Wingdings" w:hAnsi="Wingdings" w:hint="default"/>
      </w:rPr>
    </w:lvl>
    <w:lvl w:ilvl="6" w:tplc="BF220EEC">
      <w:start w:val="1"/>
      <w:numFmt w:val="bullet"/>
      <w:lvlText w:val=""/>
      <w:lvlJc w:val="left"/>
      <w:pPr>
        <w:ind w:left="5040" w:hanging="360"/>
      </w:pPr>
      <w:rPr>
        <w:rFonts w:ascii="Symbol" w:hAnsi="Symbol" w:hint="default"/>
      </w:rPr>
    </w:lvl>
    <w:lvl w:ilvl="7" w:tplc="C4C6985A">
      <w:start w:val="1"/>
      <w:numFmt w:val="bullet"/>
      <w:lvlText w:val="o"/>
      <w:lvlJc w:val="left"/>
      <w:pPr>
        <w:ind w:left="5760" w:hanging="360"/>
      </w:pPr>
      <w:rPr>
        <w:rFonts w:ascii="Courier New" w:hAnsi="Courier New" w:cs="Courier New" w:hint="default"/>
      </w:rPr>
    </w:lvl>
    <w:lvl w:ilvl="8" w:tplc="63924CE6">
      <w:start w:val="1"/>
      <w:numFmt w:val="bullet"/>
      <w:lvlText w:val=""/>
      <w:lvlJc w:val="left"/>
      <w:pPr>
        <w:ind w:left="6480" w:hanging="360"/>
      </w:pPr>
      <w:rPr>
        <w:rFonts w:ascii="Wingdings" w:hAnsi="Wingdings" w:hint="default"/>
      </w:rPr>
    </w:lvl>
  </w:abstractNum>
  <w:abstractNum w:abstractNumId="7" w15:restartNumberingAfterBreak="0">
    <w:nsid w:val="33A91DDD"/>
    <w:multiLevelType w:val="hybridMultilevel"/>
    <w:tmpl w:val="B9A80540"/>
    <w:lvl w:ilvl="0" w:tplc="C17A0C46">
      <w:start w:val="1"/>
      <w:numFmt w:val="bullet"/>
      <w:lvlText w:val=""/>
      <w:lvlJc w:val="left"/>
      <w:pPr>
        <w:ind w:left="720" w:hanging="360"/>
      </w:pPr>
      <w:rPr>
        <w:rFonts w:ascii="Symbol" w:hAnsi="Symbol" w:hint="default"/>
      </w:rPr>
    </w:lvl>
    <w:lvl w:ilvl="1" w:tplc="490243D8">
      <w:start w:val="1"/>
      <w:numFmt w:val="bullet"/>
      <w:lvlText w:val="o"/>
      <w:lvlJc w:val="left"/>
      <w:pPr>
        <w:ind w:left="1440" w:hanging="360"/>
      </w:pPr>
      <w:rPr>
        <w:rFonts w:ascii="Courier New" w:hAnsi="Courier New" w:cs="Courier New" w:hint="default"/>
      </w:rPr>
    </w:lvl>
    <w:lvl w:ilvl="2" w:tplc="4AB68E48">
      <w:start w:val="1"/>
      <w:numFmt w:val="bullet"/>
      <w:lvlText w:val=""/>
      <w:lvlJc w:val="left"/>
      <w:pPr>
        <w:ind w:left="2160" w:hanging="360"/>
      </w:pPr>
      <w:rPr>
        <w:rFonts w:ascii="Wingdings" w:hAnsi="Wingdings" w:hint="default"/>
      </w:rPr>
    </w:lvl>
    <w:lvl w:ilvl="3" w:tplc="F50C5C3E">
      <w:start w:val="1"/>
      <w:numFmt w:val="bullet"/>
      <w:lvlText w:val=""/>
      <w:lvlJc w:val="left"/>
      <w:pPr>
        <w:ind w:left="2880" w:hanging="360"/>
      </w:pPr>
      <w:rPr>
        <w:rFonts w:ascii="Symbol" w:hAnsi="Symbol" w:hint="default"/>
      </w:rPr>
    </w:lvl>
    <w:lvl w:ilvl="4" w:tplc="255A6704">
      <w:start w:val="1"/>
      <w:numFmt w:val="bullet"/>
      <w:lvlText w:val="o"/>
      <w:lvlJc w:val="left"/>
      <w:pPr>
        <w:ind w:left="3600" w:hanging="360"/>
      </w:pPr>
      <w:rPr>
        <w:rFonts w:ascii="Courier New" w:hAnsi="Courier New" w:cs="Courier New" w:hint="default"/>
      </w:rPr>
    </w:lvl>
    <w:lvl w:ilvl="5" w:tplc="7F7EABE6">
      <w:start w:val="1"/>
      <w:numFmt w:val="bullet"/>
      <w:lvlText w:val=""/>
      <w:lvlJc w:val="left"/>
      <w:pPr>
        <w:ind w:left="4320" w:hanging="360"/>
      </w:pPr>
      <w:rPr>
        <w:rFonts w:ascii="Wingdings" w:hAnsi="Wingdings" w:hint="default"/>
      </w:rPr>
    </w:lvl>
    <w:lvl w:ilvl="6" w:tplc="10C003FE">
      <w:start w:val="1"/>
      <w:numFmt w:val="bullet"/>
      <w:lvlText w:val=""/>
      <w:lvlJc w:val="left"/>
      <w:pPr>
        <w:ind w:left="5040" w:hanging="360"/>
      </w:pPr>
      <w:rPr>
        <w:rFonts w:ascii="Symbol" w:hAnsi="Symbol" w:hint="default"/>
      </w:rPr>
    </w:lvl>
    <w:lvl w:ilvl="7" w:tplc="76484B96">
      <w:start w:val="1"/>
      <w:numFmt w:val="bullet"/>
      <w:lvlText w:val="o"/>
      <w:lvlJc w:val="left"/>
      <w:pPr>
        <w:ind w:left="5760" w:hanging="360"/>
      </w:pPr>
      <w:rPr>
        <w:rFonts w:ascii="Courier New" w:hAnsi="Courier New" w:cs="Courier New" w:hint="default"/>
      </w:rPr>
    </w:lvl>
    <w:lvl w:ilvl="8" w:tplc="4A24DA2E">
      <w:start w:val="1"/>
      <w:numFmt w:val="bullet"/>
      <w:lvlText w:val=""/>
      <w:lvlJc w:val="left"/>
      <w:pPr>
        <w:ind w:left="6480" w:hanging="360"/>
      </w:pPr>
      <w:rPr>
        <w:rFonts w:ascii="Wingdings" w:hAnsi="Wingdings" w:hint="default"/>
      </w:rPr>
    </w:lvl>
  </w:abstractNum>
  <w:abstractNum w:abstractNumId="8" w15:restartNumberingAfterBreak="0">
    <w:nsid w:val="34EF64DA"/>
    <w:multiLevelType w:val="hybridMultilevel"/>
    <w:tmpl w:val="B02636BE"/>
    <w:lvl w:ilvl="0" w:tplc="9DB80716">
      <w:start w:val="1"/>
      <w:numFmt w:val="bullet"/>
      <w:lvlText w:val=""/>
      <w:lvlJc w:val="left"/>
      <w:pPr>
        <w:ind w:left="720" w:hanging="360"/>
      </w:pPr>
      <w:rPr>
        <w:rFonts w:ascii="Symbol" w:hAnsi="Symbol" w:hint="default"/>
      </w:rPr>
    </w:lvl>
    <w:lvl w:ilvl="1" w:tplc="2DACAE8E">
      <w:start w:val="1"/>
      <w:numFmt w:val="bullet"/>
      <w:lvlText w:val="o"/>
      <w:lvlJc w:val="left"/>
      <w:pPr>
        <w:ind w:left="1440" w:hanging="360"/>
      </w:pPr>
      <w:rPr>
        <w:rFonts w:ascii="Courier New" w:hAnsi="Courier New" w:cs="Courier New" w:hint="default"/>
      </w:rPr>
    </w:lvl>
    <w:lvl w:ilvl="2" w:tplc="1A2C86DE">
      <w:start w:val="1"/>
      <w:numFmt w:val="bullet"/>
      <w:lvlText w:val=""/>
      <w:lvlJc w:val="left"/>
      <w:pPr>
        <w:ind w:left="2160" w:hanging="360"/>
      </w:pPr>
      <w:rPr>
        <w:rFonts w:ascii="Wingdings" w:hAnsi="Wingdings" w:hint="default"/>
      </w:rPr>
    </w:lvl>
    <w:lvl w:ilvl="3" w:tplc="8BA23EC2">
      <w:start w:val="1"/>
      <w:numFmt w:val="bullet"/>
      <w:lvlText w:val=""/>
      <w:lvlJc w:val="left"/>
      <w:pPr>
        <w:ind w:left="2880" w:hanging="360"/>
      </w:pPr>
      <w:rPr>
        <w:rFonts w:ascii="Symbol" w:hAnsi="Symbol" w:hint="default"/>
      </w:rPr>
    </w:lvl>
    <w:lvl w:ilvl="4" w:tplc="0CE407BC">
      <w:start w:val="1"/>
      <w:numFmt w:val="bullet"/>
      <w:lvlText w:val="o"/>
      <w:lvlJc w:val="left"/>
      <w:pPr>
        <w:ind w:left="3600" w:hanging="360"/>
      </w:pPr>
      <w:rPr>
        <w:rFonts w:ascii="Courier New" w:hAnsi="Courier New" w:cs="Courier New" w:hint="default"/>
      </w:rPr>
    </w:lvl>
    <w:lvl w:ilvl="5" w:tplc="283259CC">
      <w:start w:val="1"/>
      <w:numFmt w:val="bullet"/>
      <w:lvlText w:val=""/>
      <w:lvlJc w:val="left"/>
      <w:pPr>
        <w:ind w:left="4320" w:hanging="360"/>
      </w:pPr>
      <w:rPr>
        <w:rFonts w:ascii="Wingdings" w:hAnsi="Wingdings" w:hint="default"/>
      </w:rPr>
    </w:lvl>
    <w:lvl w:ilvl="6" w:tplc="7BC6020E">
      <w:start w:val="1"/>
      <w:numFmt w:val="bullet"/>
      <w:lvlText w:val=""/>
      <w:lvlJc w:val="left"/>
      <w:pPr>
        <w:ind w:left="5040" w:hanging="360"/>
      </w:pPr>
      <w:rPr>
        <w:rFonts w:ascii="Symbol" w:hAnsi="Symbol" w:hint="default"/>
      </w:rPr>
    </w:lvl>
    <w:lvl w:ilvl="7" w:tplc="2F648134">
      <w:start w:val="1"/>
      <w:numFmt w:val="bullet"/>
      <w:lvlText w:val="o"/>
      <w:lvlJc w:val="left"/>
      <w:pPr>
        <w:ind w:left="5760" w:hanging="360"/>
      </w:pPr>
      <w:rPr>
        <w:rFonts w:ascii="Courier New" w:hAnsi="Courier New" w:cs="Courier New" w:hint="default"/>
      </w:rPr>
    </w:lvl>
    <w:lvl w:ilvl="8" w:tplc="1988D130">
      <w:start w:val="1"/>
      <w:numFmt w:val="bullet"/>
      <w:lvlText w:val=""/>
      <w:lvlJc w:val="left"/>
      <w:pPr>
        <w:ind w:left="6480" w:hanging="360"/>
      </w:pPr>
      <w:rPr>
        <w:rFonts w:ascii="Wingdings" w:hAnsi="Wingdings" w:hint="default"/>
      </w:rPr>
    </w:lvl>
  </w:abstractNum>
  <w:abstractNum w:abstractNumId="9" w15:restartNumberingAfterBreak="0">
    <w:nsid w:val="36645248"/>
    <w:multiLevelType w:val="hybridMultilevel"/>
    <w:tmpl w:val="D194BAF2"/>
    <w:lvl w:ilvl="0" w:tplc="553EB9EE">
      <w:start w:val="1"/>
      <w:numFmt w:val="bullet"/>
      <w:lvlText w:val=""/>
      <w:lvlJc w:val="left"/>
      <w:pPr>
        <w:ind w:left="720" w:hanging="360"/>
      </w:pPr>
      <w:rPr>
        <w:rFonts w:ascii="Symbol" w:hAnsi="Symbol" w:hint="default"/>
      </w:rPr>
    </w:lvl>
    <w:lvl w:ilvl="1" w:tplc="753E510E">
      <w:start w:val="1"/>
      <w:numFmt w:val="bullet"/>
      <w:lvlText w:val="o"/>
      <w:lvlJc w:val="left"/>
      <w:pPr>
        <w:ind w:left="1440" w:hanging="360"/>
      </w:pPr>
      <w:rPr>
        <w:rFonts w:ascii="Courier New" w:hAnsi="Courier New" w:cs="Courier New" w:hint="default"/>
      </w:rPr>
    </w:lvl>
    <w:lvl w:ilvl="2" w:tplc="F0D6E9B0">
      <w:start w:val="1"/>
      <w:numFmt w:val="bullet"/>
      <w:lvlText w:val=""/>
      <w:lvlJc w:val="left"/>
      <w:pPr>
        <w:ind w:left="2160" w:hanging="360"/>
      </w:pPr>
      <w:rPr>
        <w:rFonts w:ascii="Wingdings" w:hAnsi="Wingdings" w:hint="default"/>
      </w:rPr>
    </w:lvl>
    <w:lvl w:ilvl="3" w:tplc="A9D83FE6">
      <w:start w:val="1"/>
      <w:numFmt w:val="bullet"/>
      <w:lvlText w:val=""/>
      <w:lvlJc w:val="left"/>
      <w:pPr>
        <w:ind w:left="2880" w:hanging="360"/>
      </w:pPr>
      <w:rPr>
        <w:rFonts w:ascii="Symbol" w:hAnsi="Symbol" w:hint="default"/>
      </w:rPr>
    </w:lvl>
    <w:lvl w:ilvl="4" w:tplc="C96231CE">
      <w:start w:val="1"/>
      <w:numFmt w:val="bullet"/>
      <w:lvlText w:val="o"/>
      <w:lvlJc w:val="left"/>
      <w:pPr>
        <w:ind w:left="3600" w:hanging="360"/>
      </w:pPr>
      <w:rPr>
        <w:rFonts w:ascii="Courier New" w:hAnsi="Courier New" w:cs="Courier New" w:hint="default"/>
      </w:rPr>
    </w:lvl>
    <w:lvl w:ilvl="5" w:tplc="3CF29532">
      <w:start w:val="1"/>
      <w:numFmt w:val="bullet"/>
      <w:lvlText w:val=""/>
      <w:lvlJc w:val="left"/>
      <w:pPr>
        <w:ind w:left="4320" w:hanging="360"/>
      </w:pPr>
      <w:rPr>
        <w:rFonts w:ascii="Wingdings" w:hAnsi="Wingdings" w:hint="default"/>
      </w:rPr>
    </w:lvl>
    <w:lvl w:ilvl="6" w:tplc="28AC999A">
      <w:start w:val="1"/>
      <w:numFmt w:val="bullet"/>
      <w:lvlText w:val=""/>
      <w:lvlJc w:val="left"/>
      <w:pPr>
        <w:ind w:left="5040" w:hanging="360"/>
      </w:pPr>
      <w:rPr>
        <w:rFonts w:ascii="Symbol" w:hAnsi="Symbol" w:hint="default"/>
      </w:rPr>
    </w:lvl>
    <w:lvl w:ilvl="7" w:tplc="551CAB6E">
      <w:start w:val="1"/>
      <w:numFmt w:val="bullet"/>
      <w:lvlText w:val="o"/>
      <w:lvlJc w:val="left"/>
      <w:pPr>
        <w:ind w:left="5760" w:hanging="360"/>
      </w:pPr>
      <w:rPr>
        <w:rFonts w:ascii="Courier New" w:hAnsi="Courier New" w:cs="Courier New" w:hint="default"/>
      </w:rPr>
    </w:lvl>
    <w:lvl w:ilvl="8" w:tplc="20BC2244">
      <w:start w:val="1"/>
      <w:numFmt w:val="bullet"/>
      <w:lvlText w:val=""/>
      <w:lvlJc w:val="left"/>
      <w:pPr>
        <w:ind w:left="6480" w:hanging="360"/>
      </w:pPr>
      <w:rPr>
        <w:rFonts w:ascii="Wingdings" w:hAnsi="Wingdings" w:hint="default"/>
      </w:rPr>
    </w:lvl>
  </w:abstractNum>
  <w:abstractNum w:abstractNumId="10" w15:restartNumberingAfterBreak="0">
    <w:nsid w:val="37C13461"/>
    <w:multiLevelType w:val="hybridMultilevel"/>
    <w:tmpl w:val="6CB257FA"/>
    <w:lvl w:ilvl="0" w:tplc="9D762F2A">
      <w:start w:val="1"/>
      <w:numFmt w:val="bullet"/>
      <w:lvlText w:val=""/>
      <w:lvlJc w:val="left"/>
      <w:pPr>
        <w:ind w:left="720" w:hanging="360"/>
      </w:pPr>
      <w:rPr>
        <w:rFonts w:ascii="Symbol" w:hAnsi="Symbol" w:hint="default"/>
      </w:rPr>
    </w:lvl>
    <w:lvl w:ilvl="1" w:tplc="DF0AFC00">
      <w:start w:val="1"/>
      <w:numFmt w:val="bullet"/>
      <w:lvlText w:val="o"/>
      <w:lvlJc w:val="left"/>
      <w:pPr>
        <w:ind w:left="1440" w:hanging="360"/>
      </w:pPr>
      <w:rPr>
        <w:rFonts w:ascii="Courier New" w:hAnsi="Courier New" w:cs="Courier New" w:hint="default"/>
      </w:rPr>
    </w:lvl>
    <w:lvl w:ilvl="2" w:tplc="4CFCD298">
      <w:start w:val="1"/>
      <w:numFmt w:val="bullet"/>
      <w:lvlText w:val=""/>
      <w:lvlJc w:val="left"/>
      <w:pPr>
        <w:ind w:left="2160" w:hanging="360"/>
      </w:pPr>
      <w:rPr>
        <w:rFonts w:ascii="Wingdings" w:hAnsi="Wingdings" w:hint="default"/>
      </w:rPr>
    </w:lvl>
    <w:lvl w:ilvl="3" w:tplc="A52AE65E">
      <w:start w:val="1"/>
      <w:numFmt w:val="bullet"/>
      <w:lvlText w:val=""/>
      <w:lvlJc w:val="left"/>
      <w:pPr>
        <w:ind w:left="2880" w:hanging="360"/>
      </w:pPr>
      <w:rPr>
        <w:rFonts w:ascii="Symbol" w:hAnsi="Symbol" w:hint="default"/>
      </w:rPr>
    </w:lvl>
    <w:lvl w:ilvl="4" w:tplc="4B348E0A">
      <w:start w:val="1"/>
      <w:numFmt w:val="bullet"/>
      <w:lvlText w:val="o"/>
      <w:lvlJc w:val="left"/>
      <w:pPr>
        <w:ind w:left="3600" w:hanging="360"/>
      </w:pPr>
      <w:rPr>
        <w:rFonts w:ascii="Courier New" w:hAnsi="Courier New" w:cs="Courier New" w:hint="default"/>
      </w:rPr>
    </w:lvl>
    <w:lvl w:ilvl="5" w:tplc="AED6B2CC">
      <w:start w:val="1"/>
      <w:numFmt w:val="bullet"/>
      <w:lvlText w:val=""/>
      <w:lvlJc w:val="left"/>
      <w:pPr>
        <w:ind w:left="4320" w:hanging="360"/>
      </w:pPr>
      <w:rPr>
        <w:rFonts w:ascii="Wingdings" w:hAnsi="Wingdings" w:hint="default"/>
      </w:rPr>
    </w:lvl>
    <w:lvl w:ilvl="6" w:tplc="AF46A20A">
      <w:start w:val="1"/>
      <w:numFmt w:val="bullet"/>
      <w:lvlText w:val=""/>
      <w:lvlJc w:val="left"/>
      <w:pPr>
        <w:ind w:left="5040" w:hanging="360"/>
      </w:pPr>
      <w:rPr>
        <w:rFonts w:ascii="Symbol" w:hAnsi="Symbol" w:hint="default"/>
      </w:rPr>
    </w:lvl>
    <w:lvl w:ilvl="7" w:tplc="06A2EC8A">
      <w:start w:val="1"/>
      <w:numFmt w:val="bullet"/>
      <w:lvlText w:val="o"/>
      <w:lvlJc w:val="left"/>
      <w:pPr>
        <w:ind w:left="5760" w:hanging="360"/>
      </w:pPr>
      <w:rPr>
        <w:rFonts w:ascii="Courier New" w:hAnsi="Courier New" w:cs="Courier New" w:hint="default"/>
      </w:rPr>
    </w:lvl>
    <w:lvl w:ilvl="8" w:tplc="07024CC0">
      <w:start w:val="1"/>
      <w:numFmt w:val="bullet"/>
      <w:lvlText w:val=""/>
      <w:lvlJc w:val="left"/>
      <w:pPr>
        <w:ind w:left="6480" w:hanging="360"/>
      </w:pPr>
      <w:rPr>
        <w:rFonts w:ascii="Wingdings" w:hAnsi="Wingdings" w:hint="default"/>
      </w:rPr>
    </w:lvl>
  </w:abstractNum>
  <w:abstractNum w:abstractNumId="11" w15:restartNumberingAfterBreak="0">
    <w:nsid w:val="3C152398"/>
    <w:multiLevelType w:val="hybridMultilevel"/>
    <w:tmpl w:val="50AC3C42"/>
    <w:lvl w:ilvl="0" w:tplc="2952745E">
      <w:start w:val="1"/>
      <w:numFmt w:val="bullet"/>
      <w:pStyle w:val="Textecourantavecpuce"/>
      <w:lvlText w:val=""/>
      <w:lvlJc w:val="left"/>
      <w:pPr>
        <w:tabs>
          <w:tab w:val="num" w:pos="0"/>
        </w:tabs>
        <w:ind w:left="113" w:hanging="113"/>
      </w:pPr>
      <w:rPr>
        <w:rFonts w:ascii="Zapf Dingbats" w:hAnsi="Zapf Dingbats" w:hint="default"/>
        <w:color w:val="EA2011"/>
        <w:sz w:val="12"/>
      </w:rPr>
    </w:lvl>
    <w:lvl w:ilvl="1" w:tplc="B338DDA2">
      <w:start w:val="1"/>
      <w:numFmt w:val="bullet"/>
      <w:lvlText w:val="o"/>
      <w:lvlJc w:val="left"/>
      <w:pPr>
        <w:tabs>
          <w:tab w:val="num" w:pos="1440"/>
        </w:tabs>
        <w:ind w:left="1440" w:hanging="360"/>
      </w:pPr>
      <w:rPr>
        <w:rFonts w:ascii="Courier New" w:hAnsi="Courier New" w:cs="Times New Roman" w:hint="default"/>
      </w:rPr>
    </w:lvl>
    <w:lvl w:ilvl="2" w:tplc="14BE119E">
      <w:start w:val="1"/>
      <w:numFmt w:val="bullet"/>
      <w:lvlText w:val=""/>
      <w:lvlJc w:val="left"/>
      <w:pPr>
        <w:tabs>
          <w:tab w:val="num" w:pos="2160"/>
        </w:tabs>
        <w:ind w:left="2160" w:hanging="360"/>
      </w:pPr>
      <w:rPr>
        <w:rFonts w:ascii="Wingdings" w:hAnsi="Wingdings" w:hint="default"/>
      </w:rPr>
    </w:lvl>
    <w:lvl w:ilvl="3" w:tplc="5E52D046">
      <w:start w:val="1"/>
      <w:numFmt w:val="bullet"/>
      <w:lvlText w:val=""/>
      <w:lvlJc w:val="left"/>
      <w:pPr>
        <w:tabs>
          <w:tab w:val="num" w:pos="2880"/>
        </w:tabs>
        <w:ind w:left="2880" w:hanging="360"/>
      </w:pPr>
      <w:rPr>
        <w:rFonts w:ascii="Symbol" w:hAnsi="Symbol" w:hint="default"/>
      </w:rPr>
    </w:lvl>
    <w:lvl w:ilvl="4" w:tplc="883245F8">
      <w:start w:val="1"/>
      <w:numFmt w:val="bullet"/>
      <w:lvlText w:val="o"/>
      <w:lvlJc w:val="left"/>
      <w:pPr>
        <w:tabs>
          <w:tab w:val="num" w:pos="3600"/>
        </w:tabs>
        <w:ind w:left="3600" w:hanging="360"/>
      </w:pPr>
      <w:rPr>
        <w:rFonts w:ascii="Courier New" w:hAnsi="Courier New" w:cs="Times New Roman" w:hint="default"/>
      </w:rPr>
    </w:lvl>
    <w:lvl w:ilvl="5" w:tplc="999C7F72">
      <w:start w:val="1"/>
      <w:numFmt w:val="bullet"/>
      <w:lvlText w:val=""/>
      <w:lvlJc w:val="left"/>
      <w:pPr>
        <w:tabs>
          <w:tab w:val="num" w:pos="4320"/>
        </w:tabs>
        <w:ind w:left="4320" w:hanging="360"/>
      </w:pPr>
      <w:rPr>
        <w:rFonts w:ascii="Wingdings" w:hAnsi="Wingdings" w:hint="default"/>
      </w:rPr>
    </w:lvl>
    <w:lvl w:ilvl="6" w:tplc="97504A66">
      <w:start w:val="1"/>
      <w:numFmt w:val="bullet"/>
      <w:lvlText w:val=""/>
      <w:lvlJc w:val="left"/>
      <w:pPr>
        <w:tabs>
          <w:tab w:val="num" w:pos="5040"/>
        </w:tabs>
        <w:ind w:left="5040" w:hanging="360"/>
      </w:pPr>
      <w:rPr>
        <w:rFonts w:ascii="Symbol" w:hAnsi="Symbol" w:hint="default"/>
      </w:rPr>
    </w:lvl>
    <w:lvl w:ilvl="7" w:tplc="BFEA0E66">
      <w:start w:val="1"/>
      <w:numFmt w:val="bullet"/>
      <w:lvlText w:val="o"/>
      <w:lvlJc w:val="left"/>
      <w:pPr>
        <w:tabs>
          <w:tab w:val="num" w:pos="5760"/>
        </w:tabs>
        <w:ind w:left="5760" w:hanging="360"/>
      </w:pPr>
      <w:rPr>
        <w:rFonts w:ascii="Courier New" w:hAnsi="Courier New" w:cs="Times New Roman" w:hint="default"/>
      </w:rPr>
    </w:lvl>
    <w:lvl w:ilvl="8" w:tplc="C5D61F1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5279A"/>
    <w:multiLevelType w:val="hybridMultilevel"/>
    <w:tmpl w:val="F8384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713195"/>
    <w:multiLevelType w:val="hybridMultilevel"/>
    <w:tmpl w:val="D8F6F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012824"/>
    <w:multiLevelType w:val="hybridMultilevel"/>
    <w:tmpl w:val="3320BE4E"/>
    <w:lvl w:ilvl="0" w:tplc="59069B08">
      <w:start w:val="1"/>
      <w:numFmt w:val="bullet"/>
      <w:lvlText w:val=""/>
      <w:lvlJc w:val="left"/>
      <w:pPr>
        <w:ind w:left="720" w:hanging="360"/>
      </w:pPr>
      <w:rPr>
        <w:rFonts w:ascii="Symbol" w:hAnsi="Symbol" w:hint="default"/>
      </w:rPr>
    </w:lvl>
    <w:lvl w:ilvl="1" w:tplc="001A306C">
      <w:start w:val="1"/>
      <w:numFmt w:val="bullet"/>
      <w:lvlText w:val="o"/>
      <w:lvlJc w:val="left"/>
      <w:pPr>
        <w:ind w:left="1440" w:hanging="360"/>
      </w:pPr>
      <w:rPr>
        <w:rFonts w:ascii="Courier New" w:hAnsi="Courier New" w:cs="Courier New" w:hint="default"/>
      </w:rPr>
    </w:lvl>
    <w:lvl w:ilvl="2" w:tplc="EB14E22A">
      <w:start w:val="1"/>
      <w:numFmt w:val="bullet"/>
      <w:lvlText w:val=""/>
      <w:lvlJc w:val="left"/>
      <w:pPr>
        <w:ind w:left="2160" w:hanging="360"/>
      </w:pPr>
      <w:rPr>
        <w:rFonts w:ascii="Wingdings" w:hAnsi="Wingdings" w:hint="default"/>
      </w:rPr>
    </w:lvl>
    <w:lvl w:ilvl="3" w:tplc="28FCA300">
      <w:start w:val="1"/>
      <w:numFmt w:val="bullet"/>
      <w:lvlText w:val=""/>
      <w:lvlJc w:val="left"/>
      <w:pPr>
        <w:ind w:left="2880" w:hanging="360"/>
      </w:pPr>
      <w:rPr>
        <w:rFonts w:ascii="Symbol" w:hAnsi="Symbol" w:hint="default"/>
      </w:rPr>
    </w:lvl>
    <w:lvl w:ilvl="4" w:tplc="CE82CC2E">
      <w:start w:val="1"/>
      <w:numFmt w:val="bullet"/>
      <w:lvlText w:val="o"/>
      <w:lvlJc w:val="left"/>
      <w:pPr>
        <w:ind w:left="3600" w:hanging="360"/>
      </w:pPr>
      <w:rPr>
        <w:rFonts w:ascii="Courier New" w:hAnsi="Courier New" w:cs="Courier New" w:hint="default"/>
      </w:rPr>
    </w:lvl>
    <w:lvl w:ilvl="5" w:tplc="BB7AB4E6">
      <w:start w:val="1"/>
      <w:numFmt w:val="bullet"/>
      <w:lvlText w:val=""/>
      <w:lvlJc w:val="left"/>
      <w:pPr>
        <w:ind w:left="4320" w:hanging="360"/>
      </w:pPr>
      <w:rPr>
        <w:rFonts w:ascii="Wingdings" w:hAnsi="Wingdings" w:hint="default"/>
      </w:rPr>
    </w:lvl>
    <w:lvl w:ilvl="6" w:tplc="5EA2EFAA">
      <w:start w:val="1"/>
      <w:numFmt w:val="bullet"/>
      <w:lvlText w:val=""/>
      <w:lvlJc w:val="left"/>
      <w:pPr>
        <w:ind w:left="5040" w:hanging="360"/>
      </w:pPr>
      <w:rPr>
        <w:rFonts w:ascii="Symbol" w:hAnsi="Symbol" w:hint="default"/>
      </w:rPr>
    </w:lvl>
    <w:lvl w:ilvl="7" w:tplc="F8405298">
      <w:start w:val="1"/>
      <w:numFmt w:val="bullet"/>
      <w:lvlText w:val="o"/>
      <w:lvlJc w:val="left"/>
      <w:pPr>
        <w:ind w:left="5760" w:hanging="360"/>
      </w:pPr>
      <w:rPr>
        <w:rFonts w:ascii="Courier New" w:hAnsi="Courier New" w:cs="Courier New" w:hint="default"/>
      </w:rPr>
    </w:lvl>
    <w:lvl w:ilvl="8" w:tplc="1224656C">
      <w:start w:val="1"/>
      <w:numFmt w:val="bullet"/>
      <w:lvlText w:val=""/>
      <w:lvlJc w:val="left"/>
      <w:pPr>
        <w:ind w:left="6480" w:hanging="360"/>
      </w:pPr>
      <w:rPr>
        <w:rFonts w:ascii="Wingdings" w:hAnsi="Wingdings" w:hint="default"/>
      </w:rPr>
    </w:lvl>
  </w:abstractNum>
  <w:abstractNum w:abstractNumId="15" w15:restartNumberingAfterBreak="0">
    <w:nsid w:val="53192FD7"/>
    <w:multiLevelType w:val="multilevel"/>
    <w:tmpl w:val="91B45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4A61C5B"/>
    <w:multiLevelType w:val="multilevel"/>
    <w:tmpl w:val="E6D867F6"/>
    <w:lvl w:ilvl="0">
      <w:start w:val="1"/>
      <w:numFmt w:val="decimal"/>
      <w:lvlText w:val="%1"/>
      <w:lvlJc w:val="left"/>
      <w:pPr>
        <w:ind w:left="9363" w:hanging="432"/>
      </w:pPr>
      <w:rPr>
        <w:sz w:val="32"/>
      </w:rPr>
    </w:lvl>
    <w:lvl w:ilvl="1">
      <w:start w:val="1"/>
      <w:numFmt w:val="decimal"/>
      <w:pStyle w:val="Titre2"/>
      <w:lvlText w:val="%1.%2"/>
      <w:lvlJc w:val="left"/>
      <w:pPr>
        <w:ind w:left="860" w:hanging="576"/>
      </w:pPr>
      <w:rPr>
        <w:b/>
        <w:bCs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55E576E8"/>
    <w:multiLevelType w:val="hybridMultilevel"/>
    <w:tmpl w:val="E92602C4"/>
    <w:lvl w:ilvl="0" w:tplc="971C9A26">
      <w:start w:val="1"/>
      <w:numFmt w:val="bullet"/>
      <w:lvlText w:val="·"/>
      <w:lvlJc w:val="left"/>
      <w:pPr>
        <w:ind w:left="709" w:hanging="360"/>
      </w:pPr>
      <w:rPr>
        <w:rFonts w:ascii="Symbol" w:eastAsia="Symbol" w:hAnsi="Symbol" w:cs="Symbol" w:hint="default"/>
      </w:rPr>
    </w:lvl>
    <w:lvl w:ilvl="1" w:tplc="295AB898">
      <w:start w:val="1"/>
      <w:numFmt w:val="bullet"/>
      <w:lvlText w:val="o"/>
      <w:lvlJc w:val="left"/>
      <w:pPr>
        <w:ind w:left="1429" w:hanging="360"/>
      </w:pPr>
      <w:rPr>
        <w:rFonts w:ascii="Courier New" w:eastAsia="Courier New" w:hAnsi="Courier New" w:cs="Courier New" w:hint="default"/>
      </w:rPr>
    </w:lvl>
    <w:lvl w:ilvl="2" w:tplc="16D06C08">
      <w:start w:val="1"/>
      <w:numFmt w:val="bullet"/>
      <w:lvlText w:val="§"/>
      <w:lvlJc w:val="left"/>
      <w:pPr>
        <w:ind w:left="2149" w:hanging="360"/>
      </w:pPr>
      <w:rPr>
        <w:rFonts w:ascii="Wingdings" w:eastAsia="Wingdings" w:hAnsi="Wingdings" w:cs="Wingdings" w:hint="default"/>
      </w:rPr>
    </w:lvl>
    <w:lvl w:ilvl="3" w:tplc="DA00E838">
      <w:start w:val="1"/>
      <w:numFmt w:val="bullet"/>
      <w:lvlText w:val="·"/>
      <w:lvlJc w:val="left"/>
      <w:pPr>
        <w:ind w:left="2869" w:hanging="360"/>
      </w:pPr>
      <w:rPr>
        <w:rFonts w:ascii="Symbol" w:eastAsia="Symbol" w:hAnsi="Symbol" w:cs="Symbol" w:hint="default"/>
      </w:rPr>
    </w:lvl>
    <w:lvl w:ilvl="4" w:tplc="501CB590">
      <w:start w:val="1"/>
      <w:numFmt w:val="bullet"/>
      <w:lvlText w:val="o"/>
      <w:lvlJc w:val="left"/>
      <w:pPr>
        <w:ind w:left="3589" w:hanging="360"/>
      </w:pPr>
      <w:rPr>
        <w:rFonts w:ascii="Courier New" w:eastAsia="Courier New" w:hAnsi="Courier New" w:cs="Courier New" w:hint="default"/>
      </w:rPr>
    </w:lvl>
    <w:lvl w:ilvl="5" w:tplc="E68E7580">
      <w:start w:val="1"/>
      <w:numFmt w:val="bullet"/>
      <w:lvlText w:val="§"/>
      <w:lvlJc w:val="left"/>
      <w:pPr>
        <w:ind w:left="4309" w:hanging="360"/>
      </w:pPr>
      <w:rPr>
        <w:rFonts w:ascii="Wingdings" w:eastAsia="Wingdings" w:hAnsi="Wingdings" w:cs="Wingdings" w:hint="default"/>
      </w:rPr>
    </w:lvl>
    <w:lvl w:ilvl="6" w:tplc="172C5874">
      <w:start w:val="1"/>
      <w:numFmt w:val="bullet"/>
      <w:lvlText w:val="·"/>
      <w:lvlJc w:val="left"/>
      <w:pPr>
        <w:ind w:left="5029" w:hanging="360"/>
      </w:pPr>
      <w:rPr>
        <w:rFonts w:ascii="Symbol" w:eastAsia="Symbol" w:hAnsi="Symbol" w:cs="Symbol" w:hint="default"/>
      </w:rPr>
    </w:lvl>
    <w:lvl w:ilvl="7" w:tplc="BECE662C">
      <w:start w:val="1"/>
      <w:numFmt w:val="bullet"/>
      <w:lvlText w:val="o"/>
      <w:lvlJc w:val="left"/>
      <w:pPr>
        <w:ind w:left="5749" w:hanging="360"/>
      </w:pPr>
      <w:rPr>
        <w:rFonts w:ascii="Courier New" w:eastAsia="Courier New" w:hAnsi="Courier New" w:cs="Courier New" w:hint="default"/>
      </w:rPr>
    </w:lvl>
    <w:lvl w:ilvl="8" w:tplc="3B14F24E">
      <w:start w:val="1"/>
      <w:numFmt w:val="bullet"/>
      <w:lvlText w:val="§"/>
      <w:lvlJc w:val="left"/>
      <w:pPr>
        <w:ind w:left="6469" w:hanging="360"/>
      </w:pPr>
      <w:rPr>
        <w:rFonts w:ascii="Wingdings" w:eastAsia="Wingdings" w:hAnsi="Wingdings" w:cs="Wingdings" w:hint="default"/>
      </w:rPr>
    </w:lvl>
  </w:abstractNum>
  <w:abstractNum w:abstractNumId="18" w15:restartNumberingAfterBreak="0">
    <w:nsid w:val="5A221933"/>
    <w:multiLevelType w:val="hybridMultilevel"/>
    <w:tmpl w:val="FF8411FE"/>
    <w:lvl w:ilvl="0" w:tplc="C38A0D70">
      <w:start w:val="1"/>
      <w:numFmt w:val="bullet"/>
      <w:lvlText w:val=""/>
      <w:lvlJc w:val="left"/>
      <w:pPr>
        <w:ind w:left="720" w:hanging="360"/>
      </w:pPr>
      <w:rPr>
        <w:rFonts w:ascii="Symbol" w:hAnsi="Symbol" w:hint="default"/>
      </w:rPr>
    </w:lvl>
    <w:lvl w:ilvl="1" w:tplc="BD98EE02">
      <w:start w:val="1"/>
      <w:numFmt w:val="bullet"/>
      <w:lvlText w:val="o"/>
      <w:lvlJc w:val="left"/>
      <w:pPr>
        <w:ind w:left="1440" w:hanging="360"/>
      </w:pPr>
      <w:rPr>
        <w:rFonts w:ascii="Courier New" w:hAnsi="Courier New" w:cs="Courier New" w:hint="default"/>
      </w:rPr>
    </w:lvl>
    <w:lvl w:ilvl="2" w:tplc="4C1C5B10">
      <w:start w:val="1"/>
      <w:numFmt w:val="bullet"/>
      <w:lvlText w:val=""/>
      <w:lvlJc w:val="left"/>
      <w:pPr>
        <w:ind w:left="2160" w:hanging="360"/>
      </w:pPr>
      <w:rPr>
        <w:rFonts w:ascii="Wingdings" w:hAnsi="Wingdings" w:hint="default"/>
      </w:rPr>
    </w:lvl>
    <w:lvl w:ilvl="3" w:tplc="E854A652">
      <w:start w:val="1"/>
      <w:numFmt w:val="bullet"/>
      <w:lvlText w:val=""/>
      <w:lvlJc w:val="left"/>
      <w:pPr>
        <w:ind w:left="2880" w:hanging="360"/>
      </w:pPr>
      <w:rPr>
        <w:rFonts w:ascii="Symbol" w:hAnsi="Symbol" w:hint="default"/>
      </w:rPr>
    </w:lvl>
    <w:lvl w:ilvl="4" w:tplc="009A564C">
      <w:start w:val="1"/>
      <w:numFmt w:val="bullet"/>
      <w:lvlText w:val="o"/>
      <w:lvlJc w:val="left"/>
      <w:pPr>
        <w:ind w:left="3600" w:hanging="360"/>
      </w:pPr>
      <w:rPr>
        <w:rFonts w:ascii="Courier New" w:hAnsi="Courier New" w:cs="Courier New" w:hint="default"/>
      </w:rPr>
    </w:lvl>
    <w:lvl w:ilvl="5" w:tplc="1CE258D6">
      <w:start w:val="1"/>
      <w:numFmt w:val="bullet"/>
      <w:lvlText w:val=""/>
      <w:lvlJc w:val="left"/>
      <w:pPr>
        <w:ind w:left="4320" w:hanging="360"/>
      </w:pPr>
      <w:rPr>
        <w:rFonts w:ascii="Wingdings" w:hAnsi="Wingdings" w:hint="default"/>
      </w:rPr>
    </w:lvl>
    <w:lvl w:ilvl="6" w:tplc="851055D2">
      <w:start w:val="1"/>
      <w:numFmt w:val="bullet"/>
      <w:lvlText w:val=""/>
      <w:lvlJc w:val="left"/>
      <w:pPr>
        <w:ind w:left="5040" w:hanging="360"/>
      </w:pPr>
      <w:rPr>
        <w:rFonts w:ascii="Symbol" w:hAnsi="Symbol" w:hint="default"/>
      </w:rPr>
    </w:lvl>
    <w:lvl w:ilvl="7" w:tplc="B0B6D1B8">
      <w:start w:val="1"/>
      <w:numFmt w:val="bullet"/>
      <w:lvlText w:val="o"/>
      <w:lvlJc w:val="left"/>
      <w:pPr>
        <w:ind w:left="5760" w:hanging="360"/>
      </w:pPr>
      <w:rPr>
        <w:rFonts w:ascii="Courier New" w:hAnsi="Courier New" w:cs="Courier New" w:hint="default"/>
      </w:rPr>
    </w:lvl>
    <w:lvl w:ilvl="8" w:tplc="12BC0110">
      <w:start w:val="1"/>
      <w:numFmt w:val="bullet"/>
      <w:lvlText w:val=""/>
      <w:lvlJc w:val="left"/>
      <w:pPr>
        <w:ind w:left="6480" w:hanging="360"/>
      </w:pPr>
      <w:rPr>
        <w:rFonts w:ascii="Wingdings" w:hAnsi="Wingdings" w:hint="default"/>
      </w:rPr>
    </w:lvl>
  </w:abstractNum>
  <w:abstractNum w:abstractNumId="19" w15:restartNumberingAfterBreak="0">
    <w:nsid w:val="5A7D400A"/>
    <w:multiLevelType w:val="multilevel"/>
    <w:tmpl w:val="DC3EC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BA57FEE"/>
    <w:multiLevelType w:val="hybridMultilevel"/>
    <w:tmpl w:val="4022D504"/>
    <w:lvl w:ilvl="0" w:tplc="8A5693D4">
      <w:start w:val="1"/>
      <w:numFmt w:val="bullet"/>
      <w:lvlText w:val="-"/>
      <w:lvlJc w:val="left"/>
      <w:pPr>
        <w:ind w:left="720" w:hanging="360"/>
      </w:pPr>
      <w:rPr>
        <w:rFonts w:ascii="Calibri" w:eastAsiaTheme="minorHAnsi" w:hAnsi="Calibri" w:cs="Calibri" w:hint="default"/>
      </w:rPr>
    </w:lvl>
    <w:lvl w:ilvl="1" w:tplc="A406FD8C">
      <w:start w:val="1"/>
      <w:numFmt w:val="bullet"/>
      <w:lvlText w:val="o"/>
      <w:lvlJc w:val="left"/>
      <w:pPr>
        <w:ind w:left="1440" w:hanging="360"/>
      </w:pPr>
      <w:rPr>
        <w:rFonts w:ascii="Courier New" w:hAnsi="Courier New" w:cs="Courier New" w:hint="default"/>
      </w:rPr>
    </w:lvl>
    <w:lvl w:ilvl="2" w:tplc="8D4646AE">
      <w:start w:val="1"/>
      <w:numFmt w:val="bullet"/>
      <w:lvlText w:val=""/>
      <w:lvlJc w:val="left"/>
      <w:pPr>
        <w:ind w:left="2160" w:hanging="360"/>
      </w:pPr>
      <w:rPr>
        <w:rFonts w:ascii="Wingdings" w:hAnsi="Wingdings" w:hint="default"/>
      </w:rPr>
    </w:lvl>
    <w:lvl w:ilvl="3" w:tplc="F24E1F22">
      <w:start w:val="1"/>
      <w:numFmt w:val="bullet"/>
      <w:lvlText w:val=""/>
      <w:lvlJc w:val="left"/>
      <w:pPr>
        <w:ind w:left="2880" w:hanging="360"/>
      </w:pPr>
      <w:rPr>
        <w:rFonts w:ascii="Symbol" w:hAnsi="Symbol" w:hint="default"/>
      </w:rPr>
    </w:lvl>
    <w:lvl w:ilvl="4" w:tplc="B60800F2">
      <w:start w:val="1"/>
      <w:numFmt w:val="bullet"/>
      <w:lvlText w:val="o"/>
      <w:lvlJc w:val="left"/>
      <w:pPr>
        <w:ind w:left="3600" w:hanging="360"/>
      </w:pPr>
      <w:rPr>
        <w:rFonts w:ascii="Courier New" w:hAnsi="Courier New" w:cs="Courier New" w:hint="default"/>
      </w:rPr>
    </w:lvl>
    <w:lvl w:ilvl="5" w:tplc="7AC2F1BC">
      <w:start w:val="1"/>
      <w:numFmt w:val="bullet"/>
      <w:lvlText w:val=""/>
      <w:lvlJc w:val="left"/>
      <w:pPr>
        <w:ind w:left="4320" w:hanging="360"/>
      </w:pPr>
      <w:rPr>
        <w:rFonts w:ascii="Wingdings" w:hAnsi="Wingdings" w:hint="default"/>
      </w:rPr>
    </w:lvl>
    <w:lvl w:ilvl="6" w:tplc="707A8892">
      <w:start w:val="1"/>
      <w:numFmt w:val="bullet"/>
      <w:lvlText w:val=""/>
      <w:lvlJc w:val="left"/>
      <w:pPr>
        <w:ind w:left="5040" w:hanging="360"/>
      </w:pPr>
      <w:rPr>
        <w:rFonts w:ascii="Symbol" w:hAnsi="Symbol" w:hint="default"/>
      </w:rPr>
    </w:lvl>
    <w:lvl w:ilvl="7" w:tplc="E41482BE">
      <w:start w:val="1"/>
      <w:numFmt w:val="bullet"/>
      <w:lvlText w:val="o"/>
      <w:lvlJc w:val="left"/>
      <w:pPr>
        <w:ind w:left="5760" w:hanging="360"/>
      </w:pPr>
      <w:rPr>
        <w:rFonts w:ascii="Courier New" w:hAnsi="Courier New" w:cs="Courier New" w:hint="default"/>
      </w:rPr>
    </w:lvl>
    <w:lvl w:ilvl="8" w:tplc="4130435C">
      <w:start w:val="1"/>
      <w:numFmt w:val="bullet"/>
      <w:lvlText w:val=""/>
      <w:lvlJc w:val="left"/>
      <w:pPr>
        <w:ind w:left="6480" w:hanging="360"/>
      </w:pPr>
      <w:rPr>
        <w:rFonts w:ascii="Wingdings" w:hAnsi="Wingdings" w:hint="default"/>
      </w:rPr>
    </w:lvl>
  </w:abstractNum>
  <w:abstractNum w:abstractNumId="21" w15:restartNumberingAfterBreak="0">
    <w:nsid w:val="60927CBA"/>
    <w:multiLevelType w:val="hybridMultilevel"/>
    <w:tmpl w:val="67C6ADB8"/>
    <w:lvl w:ilvl="0" w:tplc="F6A84A62">
      <w:start w:val="1"/>
      <w:numFmt w:val="bullet"/>
      <w:lvlText w:val=""/>
      <w:lvlJc w:val="left"/>
      <w:pPr>
        <w:ind w:left="720" w:hanging="360"/>
      </w:pPr>
      <w:rPr>
        <w:rFonts w:ascii="Symbol" w:hAnsi="Symbol" w:hint="default"/>
      </w:rPr>
    </w:lvl>
    <w:lvl w:ilvl="1" w:tplc="22768E6C">
      <w:start w:val="1"/>
      <w:numFmt w:val="bullet"/>
      <w:lvlText w:val="o"/>
      <w:lvlJc w:val="left"/>
      <w:pPr>
        <w:ind w:left="1440" w:hanging="360"/>
      </w:pPr>
      <w:rPr>
        <w:rFonts w:ascii="Courier New" w:hAnsi="Courier New" w:cs="Courier New" w:hint="default"/>
      </w:rPr>
    </w:lvl>
    <w:lvl w:ilvl="2" w:tplc="567674B6">
      <w:start w:val="1"/>
      <w:numFmt w:val="bullet"/>
      <w:lvlText w:val=""/>
      <w:lvlJc w:val="left"/>
      <w:pPr>
        <w:ind w:left="2160" w:hanging="360"/>
      </w:pPr>
      <w:rPr>
        <w:rFonts w:ascii="Wingdings" w:hAnsi="Wingdings" w:hint="default"/>
      </w:rPr>
    </w:lvl>
    <w:lvl w:ilvl="3" w:tplc="DADE3918">
      <w:start w:val="1"/>
      <w:numFmt w:val="bullet"/>
      <w:lvlText w:val=""/>
      <w:lvlJc w:val="left"/>
      <w:pPr>
        <w:ind w:left="2880" w:hanging="360"/>
      </w:pPr>
      <w:rPr>
        <w:rFonts w:ascii="Symbol" w:hAnsi="Symbol" w:hint="default"/>
      </w:rPr>
    </w:lvl>
    <w:lvl w:ilvl="4" w:tplc="DCB811A0">
      <w:start w:val="1"/>
      <w:numFmt w:val="bullet"/>
      <w:lvlText w:val="o"/>
      <w:lvlJc w:val="left"/>
      <w:pPr>
        <w:ind w:left="3600" w:hanging="360"/>
      </w:pPr>
      <w:rPr>
        <w:rFonts w:ascii="Courier New" w:hAnsi="Courier New" w:cs="Courier New" w:hint="default"/>
      </w:rPr>
    </w:lvl>
    <w:lvl w:ilvl="5" w:tplc="A45CC5D4">
      <w:start w:val="1"/>
      <w:numFmt w:val="bullet"/>
      <w:lvlText w:val=""/>
      <w:lvlJc w:val="left"/>
      <w:pPr>
        <w:ind w:left="4320" w:hanging="360"/>
      </w:pPr>
      <w:rPr>
        <w:rFonts w:ascii="Wingdings" w:hAnsi="Wingdings" w:hint="default"/>
      </w:rPr>
    </w:lvl>
    <w:lvl w:ilvl="6" w:tplc="EF5E849C">
      <w:start w:val="1"/>
      <w:numFmt w:val="bullet"/>
      <w:lvlText w:val=""/>
      <w:lvlJc w:val="left"/>
      <w:pPr>
        <w:ind w:left="5040" w:hanging="360"/>
      </w:pPr>
      <w:rPr>
        <w:rFonts w:ascii="Symbol" w:hAnsi="Symbol" w:hint="default"/>
      </w:rPr>
    </w:lvl>
    <w:lvl w:ilvl="7" w:tplc="DA6AA186">
      <w:start w:val="1"/>
      <w:numFmt w:val="bullet"/>
      <w:lvlText w:val="o"/>
      <w:lvlJc w:val="left"/>
      <w:pPr>
        <w:ind w:left="5760" w:hanging="360"/>
      </w:pPr>
      <w:rPr>
        <w:rFonts w:ascii="Courier New" w:hAnsi="Courier New" w:cs="Courier New" w:hint="default"/>
      </w:rPr>
    </w:lvl>
    <w:lvl w:ilvl="8" w:tplc="30383F78">
      <w:start w:val="1"/>
      <w:numFmt w:val="bullet"/>
      <w:lvlText w:val=""/>
      <w:lvlJc w:val="left"/>
      <w:pPr>
        <w:ind w:left="6480" w:hanging="360"/>
      </w:pPr>
      <w:rPr>
        <w:rFonts w:ascii="Wingdings" w:hAnsi="Wingdings" w:hint="default"/>
      </w:rPr>
    </w:lvl>
  </w:abstractNum>
  <w:abstractNum w:abstractNumId="22" w15:restartNumberingAfterBreak="0">
    <w:nsid w:val="7E514FBE"/>
    <w:multiLevelType w:val="hybridMultilevel"/>
    <w:tmpl w:val="DC4ABF66"/>
    <w:lvl w:ilvl="0" w:tplc="6356636E">
      <w:start w:val="1"/>
      <w:numFmt w:val="bullet"/>
      <w:lvlText w:val=""/>
      <w:lvlJc w:val="left"/>
      <w:pPr>
        <w:ind w:left="720" w:hanging="360"/>
      </w:pPr>
      <w:rPr>
        <w:rFonts w:ascii="Symbol" w:hAnsi="Symbol" w:hint="default"/>
      </w:rPr>
    </w:lvl>
    <w:lvl w:ilvl="1" w:tplc="C89A6A58">
      <w:start w:val="1"/>
      <w:numFmt w:val="bullet"/>
      <w:lvlText w:val="o"/>
      <w:lvlJc w:val="left"/>
      <w:pPr>
        <w:ind w:left="1440" w:hanging="360"/>
      </w:pPr>
      <w:rPr>
        <w:rFonts w:ascii="Courier New" w:hAnsi="Courier New" w:cs="Courier New" w:hint="default"/>
      </w:rPr>
    </w:lvl>
    <w:lvl w:ilvl="2" w:tplc="267CCF74">
      <w:start w:val="1"/>
      <w:numFmt w:val="bullet"/>
      <w:lvlText w:val=""/>
      <w:lvlJc w:val="left"/>
      <w:pPr>
        <w:ind w:left="2160" w:hanging="360"/>
      </w:pPr>
      <w:rPr>
        <w:rFonts w:ascii="Wingdings" w:hAnsi="Wingdings" w:hint="default"/>
      </w:rPr>
    </w:lvl>
    <w:lvl w:ilvl="3" w:tplc="116833A6">
      <w:start w:val="1"/>
      <w:numFmt w:val="bullet"/>
      <w:lvlText w:val=""/>
      <w:lvlJc w:val="left"/>
      <w:pPr>
        <w:ind w:left="2880" w:hanging="360"/>
      </w:pPr>
      <w:rPr>
        <w:rFonts w:ascii="Symbol" w:hAnsi="Symbol" w:hint="default"/>
      </w:rPr>
    </w:lvl>
    <w:lvl w:ilvl="4" w:tplc="BA5256FA">
      <w:start w:val="1"/>
      <w:numFmt w:val="bullet"/>
      <w:lvlText w:val="o"/>
      <w:lvlJc w:val="left"/>
      <w:pPr>
        <w:ind w:left="3600" w:hanging="360"/>
      </w:pPr>
      <w:rPr>
        <w:rFonts w:ascii="Courier New" w:hAnsi="Courier New" w:cs="Courier New" w:hint="default"/>
      </w:rPr>
    </w:lvl>
    <w:lvl w:ilvl="5" w:tplc="4326541E">
      <w:start w:val="1"/>
      <w:numFmt w:val="bullet"/>
      <w:lvlText w:val=""/>
      <w:lvlJc w:val="left"/>
      <w:pPr>
        <w:ind w:left="4320" w:hanging="360"/>
      </w:pPr>
      <w:rPr>
        <w:rFonts w:ascii="Wingdings" w:hAnsi="Wingdings" w:hint="default"/>
      </w:rPr>
    </w:lvl>
    <w:lvl w:ilvl="6" w:tplc="96A238A6">
      <w:start w:val="1"/>
      <w:numFmt w:val="bullet"/>
      <w:lvlText w:val=""/>
      <w:lvlJc w:val="left"/>
      <w:pPr>
        <w:ind w:left="5040" w:hanging="360"/>
      </w:pPr>
      <w:rPr>
        <w:rFonts w:ascii="Symbol" w:hAnsi="Symbol" w:hint="default"/>
      </w:rPr>
    </w:lvl>
    <w:lvl w:ilvl="7" w:tplc="A1E2FC32">
      <w:start w:val="1"/>
      <w:numFmt w:val="bullet"/>
      <w:lvlText w:val="o"/>
      <w:lvlJc w:val="left"/>
      <w:pPr>
        <w:ind w:left="5760" w:hanging="360"/>
      </w:pPr>
      <w:rPr>
        <w:rFonts w:ascii="Courier New" w:hAnsi="Courier New" w:cs="Courier New" w:hint="default"/>
      </w:rPr>
    </w:lvl>
    <w:lvl w:ilvl="8" w:tplc="CFEE99D2">
      <w:start w:val="1"/>
      <w:numFmt w:val="bullet"/>
      <w:lvlText w:val=""/>
      <w:lvlJc w:val="left"/>
      <w:pPr>
        <w:ind w:left="6480" w:hanging="360"/>
      </w:pPr>
      <w:rPr>
        <w:rFonts w:ascii="Wingdings" w:hAnsi="Wingdings" w:hint="default"/>
      </w:rPr>
    </w:lvl>
  </w:abstractNum>
  <w:num w:numId="1" w16cid:durableId="557783108">
    <w:abstractNumId w:val="16"/>
  </w:num>
  <w:num w:numId="2" w16cid:durableId="1578511298">
    <w:abstractNumId w:val="11"/>
  </w:num>
  <w:num w:numId="3" w16cid:durableId="818961525">
    <w:abstractNumId w:val="8"/>
  </w:num>
  <w:num w:numId="4" w16cid:durableId="1017122232">
    <w:abstractNumId w:val="10"/>
  </w:num>
  <w:num w:numId="5" w16cid:durableId="1118599036">
    <w:abstractNumId w:val="22"/>
  </w:num>
  <w:num w:numId="6" w16cid:durableId="468991">
    <w:abstractNumId w:val="7"/>
  </w:num>
  <w:num w:numId="7" w16cid:durableId="363286739">
    <w:abstractNumId w:val="1"/>
  </w:num>
  <w:num w:numId="8" w16cid:durableId="1224679030">
    <w:abstractNumId w:val="20"/>
  </w:num>
  <w:num w:numId="9" w16cid:durableId="952174084">
    <w:abstractNumId w:val="6"/>
  </w:num>
  <w:num w:numId="10" w16cid:durableId="1967419978">
    <w:abstractNumId w:val="2"/>
  </w:num>
  <w:num w:numId="11" w16cid:durableId="1342778622">
    <w:abstractNumId w:val="14"/>
  </w:num>
  <w:num w:numId="12" w16cid:durableId="1600527877">
    <w:abstractNumId w:val="9"/>
  </w:num>
  <w:num w:numId="13" w16cid:durableId="1031764733">
    <w:abstractNumId w:val="18"/>
  </w:num>
  <w:num w:numId="14" w16cid:durableId="823858647">
    <w:abstractNumId w:val="3"/>
  </w:num>
  <w:num w:numId="15" w16cid:durableId="2100517194">
    <w:abstractNumId w:val="0"/>
  </w:num>
  <w:num w:numId="16" w16cid:durableId="1868519331">
    <w:abstractNumId w:val="21"/>
  </w:num>
  <w:num w:numId="17" w16cid:durableId="1783916537">
    <w:abstractNumId w:val="17"/>
  </w:num>
  <w:num w:numId="18" w16cid:durableId="915096007">
    <w:abstractNumId w:val="4"/>
  </w:num>
  <w:num w:numId="19" w16cid:durableId="1809132387">
    <w:abstractNumId w:val="12"/>
  </w:num>
  <w:num w:numId="20" w16cid:durableId="2032955672">
    <w:abstractNumId w:val="19"/>
  </w:num>
  <w:num w:numId="21" w16cid:durableId="2051998034">
    <w:abstractNumId w:val="15"/>
  </w:num>
  <w:num w:numId="22" w16cid:durableId="192769132">
    <w:abstractNumId w:val="5"/>
  </w:num>
  <w:num w:numId="23" w16cid:durableId="712726915">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AN Valentin">
    <w15:presenceInfo w15:providerId="AD" w15:userId="S::Valentin.JEAN@ademe.fr::73d607f3-ccb3-43b8-bd23-0099292f6465"/>
  </w15:person>
  <w15:person w15:author="GERMAIN Paul">
    <w15:presenceInfo w15:providerId="AD" w15:userId="S::paul.germain@ademe.fr::23fefbee-dc5b-46cf-8598-3d0309623a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2D99"/>
    <w:rsid w:val="000279EC"/>
    <w:rsid w:val="000316FB"/>
    <w:rsid w:val="00074ED4"/>
    <w:rsid w:val="0008397E"/>
    <w:rsid w:val="000E4CC6"/>
    <w:rsid w:val="00146D0C"/>
    <w:rsid w:val="001A1263"/>
    <w:rsid w:val="001B29FA"/>
    <w:rsid w:val="0021634B"/>
    <w:rsid w:val="00255452"/>
    <w:rsid w:val="002742C2"/>
    <w:rsid w:val="002854AE"/>
    <w:rsid w:val="002A384C"/>
    <w:rsid w:val="002A62A1"/>
    <w:rsid w:val="002B53DC"/>
    <w:rsid w:val="002B7A63"/>
    <w:rsid w:val="002F3CAF"/>
    <w:rsid w:val="003107B3"/>
    <w:rsid w:val="003214CC"/>
    <w:rsid w:val="00334B84"/>
    <w:rsid w:val="00340642"/>
    <w:rsid w:val="0035340B"/>
    <w:rsid w:val="00392833"/>
    <w:rsid w:val="003C67FE"/>
    <w:rsid w:val="003D4B7F"/>
    <w:rsid w:val="003F50BB"/>
    <w:rsid w:val="0042426C"/>
    <w:rsid w:val="00426530"/>
    <w:rsid w:val="00445CEB"/>
    <w:rsid w:val="00472F0D"/>
    <w:rsid w:val="00480D1C"/>
    <w:rsid w:val="0049009C"/>
    <w:rsid w:val="004B22A4"/>
    <w:rsid w:val="004D76BA"/>
    <w:rsid w:val="00513F45"/>
    <w:rsid w:val="005247C2"/>
    <w:rsid w:val="00527506"/>
    <w:rsid w:val="00531BF7"/>
    <w:rsid w:val="005415FC"/>
    <w:rsid w:val="00555906"/>
    <w:rsid w:val="005B1FCA"/>
    <w:rsid w:val="005B5148"/>
    <w:rsid w:val="005D2FF4"/>
    <w:rsid w:val="005E6975"/>
    <w:rsid w:val="005F1F1B"/>
    <w:rsid w:val="00626281"/>
    <w:rsid w:val="006314BF"/>
    <w:rsid w:val="00652D99"/>
    <w:rsid w:val="00666E15"/>
    <w:rsid w:val="006933EF"/>
    <w:rsid w:val="006A7DF4"/>
    <w:rsid w:val="006B434A"/>
    <w:rsid w:val="006B7B4F"/>
    <w:rsid w:val="006E3BB2"/>
    <w:rsid w:val="00722850"/>
    <w:rsid w:val="007246F5"/>
    <w:rsid w:val="00733228"/>
    <w:rsid w:val="00735B8C"/>
    <w:rsid w:val="00742716"/>
    <w:rsid w:val="00756D92"/>
    <w:rsid w:val="00765A02"/>
    <w:rsid w:val="00775567"/>
    <w:rsid w:val="00793C50"/>
    <w:rsid w:val="007961B4"/>
    <w:rsid w:val="007B328D"/>
    <w:rsid w:val="007E4D16"/>
    <w:rsid w:val="00807F15"/>
    <w:rsid w:val="00831938"/>
    <w:rsid w:val="00846F63"/>
    <w:rsid w:val="00873FFA"/>
    <w:rsid w:val="00874E4C"/>
    <w:rsid w:val="008774CB"/>
    <w:rsid w:val="0087799D"/>
    <w:rsid w:val="008922B6"/>
    <w:rsid w:val="008B104D"/>
    <w:rsid w:val="00902196"/>
    <w:rsid w:val="00914BCB"/>
    <w:rsid w:val="00921411"/>
    <w:rsid w:val="00962F88"/>
    <w:rsid w:val="00983557"/>
    <w:rsid w:val="009D06F9"/>
    <w:rsid w:val="009D0900"/>
    <w:rsid w:val="009D637D"/>
    <w:rsid w:val="00A12887"/>
    <w:rsid w:val="00A17090"/>
    <w:rsid w:val="00A17B00"/>
    <w:rsid w:val="00AB15BD"/>
    <w:rsid w:val="00AE44D6"/>
    <w:rsid w:val="00AF2BC3"/>
    <w:rsid w:val="00AF4ABB"/>
    <w:rsid w:val="00B10F5E"/>
    <w:rsid w:val="00B133ED"/>
    <w:rsid w:val="00B25438"/>
    <w:rsid w:val="00B3629C"/>
    <w:rsid w:val="00B42388"/>
    <w:rsid w:val="00B51C59"/>
    <w:rsid w:val="00B56A96"/>
    <w:rsid w:val="00B770BA"/>
    <w:rsid w:val="00B77442"/>
    <w:rsid w:val="00B85DBE"/>
    <w:rsid w:val="00BB2AD4"/>
    <w:rsid w:val="00BB4E65"/>
    <w:rsid w:val="00BD638F"/>
    <w:rsid w:val="00BD6FB5"/>
    <w:rsid w:val="00BE16C1"/>
    <w:rsid w:val="00BE49E9"/>
    <w:rsid w:val="00C03A5B"/>
    <w:rsid w:val="00C07A13"/>
    <w:rsid w:val="00C16937"/>
    <w:rsid w:val="00C54727"/>
    <w:rsid w:val="00C7249E"/>
    <w:rsid w:val="00C74941"/>
    <w:rsid w:val="00CB2A9F"/>
    <w:rsid w:val="00CB632B"/>
    <w:rsid w:val="00CB6609"/>
    <w:rsid w:val="00CC3C62"/>
    <w:rsid w:val="00CE23AF"/>
    <w:rsid w:val="00CE790F"/>
    <w:rsid w:val="00CF1D58"/>
    <w:rsid w:val="00D011FB"/>
    <w:rsid w:val="00D30443"/>
    <w:rsid w:val="00D47735"/>
    <w:rsid w:val="00D670B8"/>
    <w:rsid w:val="00D87313"/>
    <w:rsid w:val="00DB084B"/>
    <w:rsid w:val="00DD195C"/>
    <w:rsid w:val="00DD5299"/>
    <w:rsid w:val="00E00564"/>
    <w:rsid w:val="00E20B66"/>
    <w:rsid w:val="00E4016B"/>
    <w:rsid w:val="00E82B18"/>
    <w:rsid w:val="00EA597D"/>
    <w:rsid w:val="00EB27A9"/>
    <w:rsid w:val="00EC12E3"/>
    <w:rsid w:val="00F2432D"/>
    <w:rsid w:val="00F43F04"/>
    <w:rsid w:val="00F717AA"/>
    <w:rsid w:val="00F74798"/>
    <w:rsid w:val="00FB3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E6DC"/>
  <w15:docId w15:val="{169BAB89-8050-468B-B023-861EC6F9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00"/>
        <w:ind w:left="578" w:hanging="57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Marianne" w:eastAsia="Times New Roman" w:hAnsi="Marianne" w:cs="Arial"/>
      <w:szCs w:val="20"/>
      <w:lang w:eastAsia="fr-FR"/>
    </w:rPr>
  </w:style>
  <w:style w:type="paragraph" w:styleId="Titre1">
    <w:name w:val="heading 1"/>
    <w:basedOn w:val="Normal"/>
    <w:next w:val="Normal"/>
    <w:link w:val="Titre1Car"/>
    <w:uiPriority w:val="9"/>
    <w:qFormat/>
    <w:pPr>
      <w:keepNext/>
      <w:shd w:val="clear" w:color="auto" w:fill="CCCCFF"/>
      <w:spacing w:before="240" w:after="60"/>
      <w:ind w:left="0" w:firstLine="0"/>
      <w:outlineLvl w:val="0"/>
    </w:pPr>
    <w:rPr>
      <w:rFonts w:eastAsia="Calibri" w:cs="Calibri"/>
      <w:b/>
      <w:bCs/>
      <w:smallCaps/>
      <w:color w:val="000000" w:themeColor="text1"/>
      <w:sz w:val="32"/>
      <w:szCs w:val="22"/>
      <w:lang w:eastAsia="en-US"/>
    </w:rPr>
  </w:style>
  <w:style w:type="paragraph" w:styleId="Titre2">
    <w:name w:val="heading 2"/>
    <w:basedOn w:val="Paragraphedeliste"/>
    <w:next w:val="Normal"/>
    <w:link w:val="Titre2Car"/>
    <w:uiPriority w:val="9"/>
    <w:unhideWhenUsed/>
    <w:qFormat/>
    <w:pPr>
      <w:numPr>
        <w:ilvl w:val="1"/>
        <w:numId w:val="1"/>
      </w:numPr>
      <w:outlineLvl w:val="1"/>
    </w:pPr>
  </w:style>
  <w:style w:type="paragraph" w:styleId="Titre3">
    <w:name w:val="heading 3"/>
    <w:basedOn w:val="Normal"/>
    <w:next w:val="Normal"/>
    <w:link w:val="Titre3Car"/>
    <w:uiPriority w:val="9"/>
    <w:unhideWhenUsed/>
    <w:qFormat/>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firstLine="0"/>
    </w:pPr>
  </w:style>
  <w:style w:type="paragraph" w:styleId="TM5">
    <w:name w:val="toc 5"/>
    <w:basedOn w:val="Normal"/>
    <w:next w:val="Normal"/>
    <w:uiPriority w:val="39"/>
    <w:unhideWhenUsed/>
    <w:pPr>
      <w:spacing w:after="57"/>
      <w:ind w:left="1134" w:firstLine="0"/>
    </w:pPr>
  </w:style>
  <w:style w:type="paragraph" w:styleId="TM6">
    <w:name w:val="toc 6"/>
    <w:basedOn w:val="Normal"/>
    <w:next w:val="Normal"/>
    <w:uiPriority w:val="39"/>
    <w:unhideWhenUsed/>
    <w:pPr>
      <w:spacing w:after="57"/>
      <w:ind w:left="1417" w:firstLine="0"/>
    </w:pPr>
  </w:style>
  <w:style w:type="paragraph" w:styleId="TM7">
    <w:name w:val="toc 7"/>
    <w:basedOn w:val="Normal"/>
    <w:next w:val="Normal"/>
    <w:uiPriority w:val="39"/>
    <w:unhideWhenUsed/>
    <w:pPr>
      <w:spacing w:after="57"/>
      <w:ind w:left="1701" w:firstLine="0"/>
    </w:pPr>
  </w:style>
  <w:style w:type="paragraph" w:styleId="TM8">
    <w:name w:val="toc 8"/>
    <w:basedOn w:val="Normal"/>
    <w:next w:val="Normal"/>
    <w:uiPriority w:val="39"/>
    <w:unhideWhenUsed/>
    <w:pPr>
      <w:spacing w:after="57"/>
      <w:ind w:left="1984" w:firstLine="0"/>
    </w:pPr>
  </w:style>
  <w:style w:type="paragraph" w:styleId="TM9">
    <w:name w:val="toc 9"/>
    <w:basedOn w:val="Normal"/>
    <w:next w:val="Normal"/>
    <w:uiPriority w:val="39"/>
    <w:unhideWhenUsed/>
    <w:pPr>
      <w:spacing w:after="57"/>
      <w:ind w:left="2268" w:firstLine="0"/>
    </w:pPr>
  </w:style>
  <w:style w:type="paragraph" w:styleId="Tabledesillustrations">
    <w:name w:val="table of figures"/>
    <w:basedOn w:val="Normal"/>
    <w:next w:val="Normal"/>
    <w:uiPriority w:val="99"/>
    <w:unhideWhenUsed/>
  </w:style>
  <w:style w:type="paragraph" w:styleId="Notedebasdepage">
    <w:name w:val="footnote text"/>
    <w:basedOn w:val="Normal"/>
    <w:link w:val="NotedebasdepageCar"/>
    <w:uiPriority w:val="99"/>
    <w:unhideWhenUsed/>
    <w:qFormat/>
    <w:rPr>
      <w:sz w:val="20"/>
    </w:rPr>
  </w:style>
  <w:style w:type="character" w:customStyle="1" w:styleId="NotedebasdepageCar">
    <w:name w:val="Note de bas de page Car"/>
    <w:basedOn w:val="Policepardfaut"/>
    <w:link w:val="Notedebasdepage"/>
    <w:uiPriority w:val="99"/>
    <w:qFormat/>
    <w:rPr>
      <w:rFonts w:ascii="Arial" w:eastAsia="Times New Roman" w:hAnsi="Arial" w:cs="Arial"/>
      <w:smallCaps/>
      <w:sz w:val="20"/>
      <w:szCs w:val="20"/>
      <w:lang w:eastAsia="fr-FR"/>
    </w:rPr>
  </w:style>
  <w:style w:type="paragraph" w:styleId="Commentaire">
    <w:name w:val="annotation text"/>
    <w:basedOn w:val="Normal"/>
    <w:link w:val="CommentaireCar"/>
    <w:uiPriority w:val="99"/>
    <w:unhideWhenUsed/>
    <w:rPr>
      <w:sz w:val="20"/>
    </w:rPr>
  </w:style>
  <w:style w:type="character" w:customStyle="1" w:styleId="CommentaireCar">
    <w:name w:val="Commentaire Car"/>
    <w:basedOn w:val="Policepardfaut"/>
    <w:link w:val="Commentaire"/>
    <w:uiPriority w:val="99"/>
    <w:rPr>
      <w:rFonts w:ascii="Arial" w:eastAsia="Times New Roman" w:hAnsi="Arial" w:cs="Arial"/>
      <w:smallCaps/>
      <w:sz w:val="20"/>
      <w:szCs w:val="20"/>
      <w:lang w:eastAsia="fr-FR"/>
    </w:rPr>
  </w:style>
  <w:style w:type="character" w:styleId="Appelnotedebasdep">
    <w:name w:val="footnote reference"/>
    <w:basedOn w:val="Policepardfaut"/>
    <w:uiPriority w:val="99"/>
    <w:unhideWhenUsed/>
    <w:qFormat/>
    <w:rPr>
      <w:vertAlign w:val="superscript"/>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Pr>
      <w:color w:val="0000FF" w:themeColor="hyperlink"/>
      <w:u w:val="single"/>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mallCaps/>
      <w:sz w:val="18"/>
      <w:szCs w:val="18"/>
      <w:lang w:eastAsia="fr-FR"/>
    </w:rPr>
  </w:style>
  <w:style w:type="character" w:customStyle="1" w:styleId="Titre1Car">
    <w:name w:val="Titre 1 Car"/>
    <w:basedOn w:val="Policepardfaut"/>
    <w:link w:val="Titre1"/>
    <w:uiPriority w:val="9"/>
    <w:rPr>
      <w:rFonts w:ascii="Marianne" w:eastAsia="Calibri" w:hAnsi="Marianne" w:cs="Calibri"/>
      <w:b/>
      <w:bCs/>
      <w:smallCaps/>
      <w:color w:val="000000" w:themeColor="text1"/>
      <w:sz w:val="32"/>
      <w:shd w:val="clear" w:color="auto" w:fill="CCCCFF"/>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
    <w:basedOn w:val="Normal"/>
    <w:link w:val="ParagraphedelisteCar"/>
    <w:uiPriority w:val="34"/>
    <w:qFormat/>
    <w:pPr>
      <w:ind w:left="720"/>
      <w:contextualSpacing/>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Arial" w:eastAsia="Times New Roman" w:hAnsi="Arial" w:cs="Arial"/>
      <w:smallCaps/>
      <w:szCs w:val="20"/>
      <w:lang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Arial" w:eastAsia="Times New Roman" w:hAnsi="Arial" w:cs="Arial"/>
      <w:smallCaps/>
      <w:szCs w:val="20"/>
      <w:lang w:eastAsia="fr-FR"/>
    </w:rPr>
  </w:style>
  <w:style w:type="character" w:styleId="Numrodepage">
    <w:name w:val="page number"/>
  </w:style>
  <w:style w:type="table" w:styleId="Grilledutableau">
    <w:name w:val="Table Grid"/>
    <w:basedOn w:val="TableauNormal"/>
    <w:uiPriority w:val="5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pPr>
      <w:spacing w:after="0"/>
      <w:jc w:val="both"/>
    </w:pPr>
    <w:rPr>
      <w:rFonts w:ascii="Arial" w:eastAsia="Times New Roman" w:hAnsi="Arial" w:cs="Arial"/>
      <w:smallCaps/>
      <w:szCs w:val="20"/>
      <w:lang w:eastAsia="fr-FR"/>
    </w:rPr>
  </w:style>
  <w:style w:type="paragraph" w:customStyle="1" w:styleId="Style1">
    <w:name w:val="Style1"/>
    <w:basedOn w:val="Normal"/>
    <w:link w:val="Style1Car"/>
    <w:qFormat/>
    <w:rPr>
      <w:rFonts w:eastAsia="Calibri"/>
      <w:smallCaps/>
      <w:sz w:val="18"/>
      <w:lang w:eastAsia="en-US"/>
    </w:rPr>
  </w:style>
  <w:style w:type="paragraph" w:styleId="TM1">
    <w:name w:val="toc 1"/>
    <w:basedOn w:val="Normal"/>
    <w:next w:val="Normal"/>
    <w:uiPriority w:val="39"/>
    <w:unhideWhenUsed/>
    <w:pPr>
      <w:tabs>
        <w:tab w:val="left" w:pos="440"/>
        <w:tab w:val="right" w:leader="dot" w:pos="9060"/>
      </w:tabs>
      <w:spacing w:before="240" w:after="340"/>
    </w:pPr>
    <w:rPr>
      <w:b/>
      <w:sz w:val="24"/>
    </w:rPr>
  </w:style>
  <w:style w:type="character" w:customStyle="1" w:styleId="Style1Car">
    <w:name w:val="Style1 Car"/>
    <w:basedOn w:val="Policepardfaut"/>
    <w:link w:val="Style1"/>
    <w:rPr>
      <w:rFonts w:ascii="Arial" w:eastAsia="Calibri" w:hAnsi="Arial" w:cs="Arial"/>
      <w:sz w:val="18"/>
      <w:szCs w:val="20"/>
    </w:rPr>
  </w:style>
  <w:style w:type="paragraph" w:styleId="NormalWeb">
    <w:name w:val="Normal (Web)"/>
    <w:basedOn w:val="Normal"/>
    <w:uiPriority w:val="99"/>
    <w:unhideWhenUsed/>
    <w:pPr>
      <w:spacing w:before="100" w:beforeAutospacing="1" w:afterAutospacing="1"/>
    </w:pPr>
    <w:rPr>
      <w:rFonts w:ascii="Times New Roman" w:hAnsi="Times New Roman" w:cs="Times New Roman"/>
      <w:sz w:val="24"/>
      <w:szCs w:val="24"/>
    </w:rPr>
  </w:style>
  <w:style w:type="character" w:styleId="Textedelespacerserv">
    <w:name w:val="Placeholder Text"/>
    <w:basedOn w:val="Policepardfaut"/>
    <w:uiPriority w:val="99"/>
    <w:semiHidden/>
    <w:rPr>
      <w:color w:val="808080"/>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Pr>
      <w:rFonts w:ascii="Arial" w:eastAsia="Times New Roman" w:hAnsi="Arial" w:cs="Arial"/>
      <w:szCs w:val="20"/>
      <w:lang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Times New Roman" w:hAnsi="Arial" w:cs="Arial"/>
      <w:b/>
      <w:bCs/>
      <w:smallCaps w:val="0"/>
      <w:sz w:val="20"/>
      <w:szCs w:val="20"/>
      <w:lang w:eastAsia="fr-FR"/>
    </w:rPr>
  </w:style>
  <w:style w:type="character" w:customStyle="1" w:styleId="Titre2Car">
    <w:name w:val="Titre 2 Car"/>
    <w:basedOn w:val="Policepardfaut"/>
    <w:link w:val="Titre2"/>
    <w:uiPriority w:val="9"/>
    <w:rPr>
      <w:rFonts w:ascii="Marianne" w:eastAsia="Times New Roman" w:hAnsi="Marianne" w:cs="Arial"/>
      <w:szCs w:val="20"/>
      <w:lang w:eastAsia="fr-FR"/>
    </w:rPr>
  </w:style>
  <w:style w:type="paragraph" w:styleId="TM2">
    <w:name w:val="toc 2"/>
    <w:basedOn w:val="Normal"/>
    <w:next w:val="Normal"/>
    <w:uiPriority w:val="39"/>
    <w:unhideWhenUsed/>
    <w:pPr>
      <w:tabs>
        <w:tab w:val="left" w:pos="880"/>
        <w:tab w:val="right" w:leader="dot" w:pos="9061"/>
      </w:tabs>
    </w:pPr>
  </w:style>
  <w:style w:type="character" w:customStyle="1" w:styleId="Titre3Car">
    <w:name w:val="Titre 3 Car"/>
    <w:basedOn w:val="Policepardfaut"/>
    <w:link w:val="Titre3"/>
    <w:uiPriority w:val="9"/>
    <w:rPr>
      <w:rFonts w:asciiTheme="majorHAnsi" w:eastAsiaTheme="majorEastAsia" w:hAnsiTheme="majorHAnsi" w:cstheme="majorBidi"/>
      <w:color w:val="243F60" w:themeColor="accent1" w:themeShade="7F"/>
      <w:sz w:val="24"/>
      <w:szCs w:val="24"/>
      <w:lang w:eastAsia="fr-FR"/>
    </w:rPr>
  </w:style>
  <w:style w:type="character" w:customStyle="1" w:styleId="Titre4Car">
    <w:name w:val="Titre 4 Car"/>
    <w:basedOn w:val="Policepardfaut"/>
    <w:link w:val="Titre4"/>
    <w:uiPriority w:val="9"/>
    <w:rPr>
      <w:rFonts w:asciiTheme="majorHAnsi" w:eastAsiaTheme="majorEastAsia" w:hAnsiTheme="majorHAnsi" w:cstheme="majorBidi"/>
      <w:i/>
      <w:iCs/>
      <w:color w:val="365F91" w:themeColor="accent1" w:themeShade="BF"/>
      <w:szCs w:val="20"/>
      <w:lang w:eastAsia="fr-FR"/>
    </w:rPr>
  </w:style>
  <w:style w:type="character" w:customStyle="1" w:styleId="Titre5Car">
    <w:name w:val="Titre 5 Car"/>
    <w:basedOn w:val="Policepardfaut"/>
    <w:link w:val="Titre5"/>
    <w:uiPriority w:val="9"/>
    <w:semiHidden/>
    <w:rPr>
      <w:rFonts w:asciiTheme="majorHAnsi" w:eastAsiaTheme="majorEastAsia" w:hAnsiTheme="majorHAnsi" w:cstheme="majorBidi"/>
      <w:color w:val="365F91" w:themeColor="accent1" w:themeShade="BF"/>
      <w:szCs w:val="20"/>
      <w:lang w:eastAsia="fr-FR"/>
    </w:rPr>
  </w:style>
  <w:style w:type="character" w:customStyle="1" w:styleId="Titre6Car">
    <w:name w:val="Titre 6 Car"/>
    <w:basedOn w:val="Policepardfaut"/>
    <w:link w:val="Titre6"/>
    <w:uiPriority w:val="9"/>
    <w:semiHidden/>
    <w:rPr>
      <w:rFonts w:asciiTheme="majorHAnsi" w:eastAsiaTheme="majorEastAsia" w:hAnsiTheme="majorHAnsi" w:cstheme="majorBidi"/>
      <w:color w:val="243F60" w:themeColor="accent1" w:themeShade="7F"/>
      <w:szCs w:val="20"/>
      <w:lang w:eastAsia="fr-FR"/>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243F60" w:themeColor="accent1" w:themeShade="7F"/>
      <w:szCs w:val="20"/>
      <w:lang w:eastAsia="fr-FR"/>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lang w:eastAsia="fr-FR"/>
    </w:rPr>
  </w:style>
  <w:style w:type="paragraph" w:styleId="TM3">
    <w:name w:val="toc 3"/>
    <w:basedOn w:val="Normal"/>
    <w:next w:val="Normal"/>
    <w:uiPriority w:val="39"/>
    <w:unhideWhenUsed/>
    <w:pPr>
      <w:tabs>
        <w:tab w:val="right" w:leader="dot" w:pos="9060"/>
      </w:tabs>
      <w:ind w:left="440"/>
    </w:pPr>
  </w:style>
  <w:style w:type="character" w:styleId="Lienhypertextesuivivisit">
    <w:name w:val="FollowedHyperlink"/>
    <w:basedOn w:val="Policepardfaut"/>
    <w:uiPriority w:val="99"/>
    <w:semiHidden/>
    <w:unhideWhenUsed/>
    <w:rPr>
      <w:color w:val="800080" w:themeColor="followedHyperlink"/>
      <w:u w:val="single"/>
    </w:rPr>
  </w:style>
  <w:style w:type="paragraph" w:customStyle="1" w:styleId="Textecourantavecpuce">
    <w:name w:val="Texte courant avec puce"/>
    <w:basedOn w:val="Normal"/>
    <w:pPr>
      <w:numPr>
        <w:numId w:val="2"/>
      </w:numPr>
    </w:pPr>
    <w:rPr>
      <w:rFonts w:cs="Times New Roman"/>
      <w:sz w:val="18"/>
      <w:szCs w:val="24"/>
      <w:lang w:val="en-US" w:eastAsia="en-US"/>
    </w:rPr>
  </w:style>
  <w:style w:type="paragraph" w:customStyle="1" w:styleId="textecourant">
    <w:name w:val="texte courant"/>
    <w:basedOn w:val="Normal"/>
    <w:pPr>
      <w:spacing w:before="60" w:after="60"/>
      <w:ind w:left="0" w:firstLine="0"/>
    </w:pPr>
    <w:rPr>
      <w:color w:val="000000"/>
      <w:sz w:val="18"/>
      <w:szCs w:val="18"/>
    </w:rPr>
  </w:style>
  <w:style w:type="paragraph" w:customStyle="1" w:styleId="Titrerouge">
    <w:name w:val="Titre rouge"/>
    <w:basedOn w:val="Normal"/>
    <w:pPr>
      <w:spacing w:before="400" w:after="60"/>
      <w:ind w:left="0" w:firstLine="0"/>
    </w:pPr>
    <w:rPr>
      <w:color w:val="E32219"/>
      <w:sz w:val="36"/>
      <w:szCs w:val="36"/>
      <w:lang w:eastAsia="en-US"/>
    </w:rPr>
  </w:style>
  <w:style w:type="paragraph" w:customStyle="1" w:styleId="TITREGRISENCADRE">
    <w:name w:val="TITRE GRIS ENCADRE"/>
    <w:basedOn w:val="Normal"/>
    <w:pPr>
      <w:ind w:left="0" w:firstLine="0"/>
    </w:pPr>
    <w:rPr>
      <w:b/>
      <w:color w:val="58726E"/>
      <w:sz w:val="24"/>
      <w:szCs w:val="24"/>
      <w:lang w:eastAsia="en-US"/>
    </w:rPr>
  </w:style>
  <w:style w:type="paragraph" w:customStyle="1" w:styleId="Titredocument">
    <w:name w:val="Titre document"/>
    <w:basedOn w:val="Normal"/>
    <w:pPr>
      <w:ind w:left="0" w:firstLine="0"/>
    </w:pPr>
    <w:rPr>
      <w:color w:val="FFFFFF"/>
      <w:sz w:val="36"/>
      <w:szCs w:val="36"/>
      <w:lang w:eastAsia="en-US"/>
    </w:rPr>
  </w:style>
  <w:style w:type="paragraph" w:customStyle="1" w:styleId="Paragraphestandard">
    <w:name w:val="[Paragraphe standard]"/>
    <w:basedOn w:val="Normal"/>
    <w:uiPriority w:val="99"/>
    <w:pPr>
      <w:widowControl w:val="0"/>
      <w:spacing w:line="288" w:lineRule="auto"/>
      <w:ind w:left="0" w:firstLine="0"/>
    </w:pPr>
    <w:rPr>
      <w:rFonts w:ascii="MinionPro-Regular" w:eastAsia="MS Mincho" w:hAnsi="MinionPro-Regular" w:cs="MinionPro-Regular"/>
      <w:color w:val="000000"/>
      <w:sz w:val="24"/>
      <w:szCs w:val="24"/>
    </w:rPr>
  </w:style>
  <w:style w:type="paragraph" w:styleId="Lgende">
    <w:name w:val="caption"/>
    <w:basedOn w:val="Normal"/>
    <w:next w:val="Normal"/>
    <w:uiPriority w:val="35"/>
    <w:unhideWhenUsed/>
    <w:qFormat/>
    <w:pPr>
      <w:spacing w:after="200"/>
      <w:ind w:left="0" w:firstLine="0"/>
    </w:pPr>
    <w:rPr>
      <w:rFonts w:ascii="Calibri" w:hAnsi="Calibri" w:cs="Calibri"/>
      <w:i/>
      <w:iCs/>
      <w:color w:val="1F497D" w:themeColor="text2"/>
      <w:sz w:val="18"/>
      <w:szCs w:val="18"/>
    </w:rPr>
  </w:style>
  <w:style w:type="paragraph" w:styleId="En-ttedetabledesmatires">
    <w:name w:val="TOC Heading"/>
    <w:basedOn w:val="Titre1"/>
    <w:next w:val="Normal"/>
    <w:uiPriority w:val="39"/>
    <w:unhideWhenUsed/>
    <w:qFormat/>
    <w:pPr>
      <w:keepLines/>
      <w:shd w:val="clear" w:color="auto" w:fill="auto"/>
      <w:spacing w:after="0" w:line="259" w:lineRule="auto"/>
      <w:outlineLvl w:val="9"/>
    </w:pPr>
    <w:rPr>
      <w:rFonts w:asciiTheme="majorHAnsi" w:eastAsiaTheme="majorEastAsia" w:hAnsiTheme="majorHAnsi" w:cstheme="majorBidi"/>
      <w:b w:val="0"/>
      <w:bCs w:val="0"/>
      <w:smallCaps w:val="0"/>
      <w:color w:val="365F91" w:themeColor="accent1" w:themeShade="BF"/>
      <w:szCs w:val="32"/>
      <w:lang w:eastAsia="fr-FR"/>
    </w:rPr>
  </w:style>
  <w:style w:type="paragraph" w:styleId="Rvision">
    <w:name w:val="Revision"/>
    <w:hidden/>
    <w:uiPriority w:val="99"/>
    <w:semiHidden/>
    <w:pPr>
      <w:spacing w:after="0"/>
      <w:ind w:left="0" w:firstLine="0"/>
    </w:pPr>
    <w:rPr>
      <w:rFonts w:ascii="Arial" w:eastAsia="Times New Roman" w:hAnsi="Arial" w:cs="Arial"/>
      <w:szCs w:val="20"/>
      <w:lang w:eastAsia="fr-FR"/>
    </w:rPr>
  </w:style>
  <w:style w:type="paragraph" w:styleId="Titre">
    <w:name w:val="Title"/>
    <w:basedOn w:val="Normal"/>
    <w:next w:val="Normal"/>
    <w:link w:val="TitreCar"/>
    <w:uiPriority w:val="10"/>
    <w:qFormat/>
    <w:pPr>
      <w:ind w:left="0" w:firstLine="0"/>
      <w:contextualSpacing/>
    </w:pPr>
    <w:rPr>
      <w:rFonts w:asciiTheme="majorHAnsi" w:eastAsiaTheme="majorEastAsia" w:hAnsiTheme="majorHAnsi" w:cstheme="majorBidi"/>
      <w:spacing w:val="-10"/>
      <w:sz w:val="56"/>
      <w:szCs w:val="56"/>
      <w:lang w:eastAsia="en-US"/>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cf01">
    <w:name w:val="cf01"/>
    <w:basedOn w:val="Policepardfaut"/>
    <w:rPr>
      <w:rFonts w:ascii="Segoe UI" w:hAnsi="Segoe UI" w:cs="Segoe UI" w:hint="default"/>
      <w:sz w:val="18"/>
      <w:szCs w:val="18"/>
    </w:rPr>
  </w:style>
  <w:style w:type="table" w:styleId="TableauGrille4-Accentuation3">
    <w:name w:val="Grid Table 4 Accent 3"/>
    <w:basedOn w:val="TableauNormal"/>
    <w:uiPriority w:val="49"/>
    <w:pPr>
      <w:spacing w:after="0"/>
      <w:ind w:left="0" w:firstLine="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insideV w:val="none" w:sz="4" w:space="0" w:color="000000"/>
        </w:tcBorders>
        <w:shd w:val="clear" w:color="auto" w:fill="9BBB59" w:themeFill="accent3"/>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pPr>
      <w:spacing w:after="0"/>
      <w:ind w:left="0" w:firstLine="0"/>
    </w:pPr>
    <w:rPr>
      <w:rFonts w:ascii="Times New Roman" w:hAnsi="Times New Roman" w:cs="Times New Roman"/>
      <w:color w:val="000000"/>
      <w:sz w:val="24"/>
      <w:szCs w:val="24"/>
    </w:rPr>
  </w:style>
  <w:style w:type="character" w:customStyle="1" w:styleId="ui-provider">
    <w:name w:val="ui-provider"/>
    <w:basedOn w:val="Policepardfaut"/>
    <w:rsid w:val="00EA5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12552">
      <w:bodyDiv w:val="1"/>
      <w:marLeft w:val="0"/>
      <w:marRight w:val="0"/>
      <w:marTop w:val="0"/>
      <w:marBottom w:val="0"/>
      <w:divBdr>
        <w:top w:val="none" w:sz="0" w:space="0" w:color="auto"/>
        <w:left w:val="none" w:sz="0" w:space="0" w:color="auto"/>
        <w:bottom w:val="none" w:sz="0" w:space="0" w:color="auto"/>
        <w:right w:val="none" w:sz="0" w:space="0" w:color="auto"/>
      </w:divBdr>
    </w:div>
    <w:div w:id="506869586">
      <w:bodyDiv w:val="1"/>
      <w:marLeft w:val="0"/>
      <w:marRight w:val="0"/>
      <w:marTop w:val="0"/>
      <w:marBottom w:val="0"/>
      <w:divBdr>
        <w:top w:val="none" w:sz="0" w:space="0" w:color="auto"/>
        <w:left w:val="none" w:sz="0" w:space="0" w:color="auto"/>
        <w:bottom w:val="none" w:sz="0" w:space="0" w:color="auto"/>
        <w:right w:val="none" w:sz="0" w:space="0" w:color="auto"/>
      </w:divBdr>
    </w:div>
    <w:div w:id="526260061">
      <w:bodyDiv w:val="1"/>
      <w:marLeft w:val="0"/>
      <w:marRight w:val="0"/>
      <w:marTop w:val="0"/>
      <w:marBottom w:val="0"/>
      <w:divBdr>
        <w:top w:val="none" w:sz="0" w:space="0" w:color="auto"/>
        <w:left w:val="none" w:sz="0" w:space="0" w:color="auto"/>
        <w:bottom w:val="none" w:sz="0" w:space="0" w:color="auto"/>
        <w:right w:val="none" w:sz="0" w:space="0" w:color="auto"/>
      </w:divBdr>
    </w:div>
    <w:div w:id="704788421">
      <w:bodyDiv w:val="1"/>
      <w:marLeft w:val="0"/>
      <w:marRight w:val="0"/>
      <w:marTop w:val="0"/>
      <w:marBottom w:val="0"/>
      <w:divBdr>
        <w:top w:val="none" w:sz="0" w:space="0" w:color="auto"/>
        <w:left w:val="none" w:sz="0" w:space="0" w:color="auto"/>
        <w:bottom w:val="none" w:sz="0" w:space="0" w:color="auto"/>
        <w:right w:val="none" w:sz="0" w:space="0" w:color="auto"/>
      </w:divBdr>
    </w:div>
    <w:div w:id="1044990187">
      <w:bodyDiv w:val="1"/>
      <w:marLeft w:val="0"/>
      <w:marRight w:val="0"/>
      <w:marTop w:val="0"/>
      <w:marBottom w:val="0"/>
      <w:divBdr>
        <w:top w:val="none" w:sz="0" w:space="0" w:color="auto"/>
        <w:left w:val="none" w:sz="0" w:space="0" w:color="auto"/>
        <w:bottom w:val="none" w:sz="0" w:space="0" w:color="auto"/>
        <w:right w:val="none" w:sz="0" w:space="0" w:color="auto"/>
      </w:divBdr>
    </w:div>
    <w:div w:id="1419331967">
      <w:bodyDiv w:val="1"/>
      <w:marLeft w:val="0"/>
      <w:marRight w:val="0"/>
      <w:marTop w:val="0"/>
      <w:marBottom w:val="0"/>
      <w:divBdr>
        <w:top w:val="none" w:sz="0" w:space="0" w:color="auto"/>
        <w:left w:val="none" w:sz="0" w:space="0" w:color="auto"/>
        <w:bottom w:val="none" w:sz="0" w:space="0" w:color="auto"/>
        <w:right w:val="none" w:sz="0" w:space="0" w:color="auto"/>
      </w:divBdr>
    </w:div>
    <w:div w:id="1532036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ibrairie.ademe.fr/changement-climatique-et-energie/763-capacite-d-adaptation-au-changement-climatique-des-entreprises-9791029713675.html" TargetMode="External"/><Relationship Id="rId21" Type="http://schemas.openxmlformats.org/officeDocument/2006/relationships/hyperlink" Target="https://librairie.ademe.fr/changement-climatique-et-energie/763-capacite-d-adaptation-au-changement-climatique-des-entreprises-9791029713675.html" TargetMode="External"/><Relationship Id="rId42" Type="http://schemas.openxmlformats.org/officeDocument/2006/relationships/hyperlink" Target="https://librairie.ademe.fr/changement-climatique-et-energie/4049-diagnostic-des-impacts-du-changement-climatique-sur-une-entreprise-9791029716867.html" TargetMode="External"/><Relationship Id="rId47" Type="http://schemas.openxmlformats.org/officeDocument/2006/relationships/hyperlink" Target="https://librairie.ademe.fr/changement-climatique-et-energie/4737-entreprises-comment-prendre-des-decisions-pour-s-adapter-au-changement-climatique--9791029717987.html" TargetMode="External"/><Relationship Id="rId63" Type="http://schemas.openxmlformats.org/officeDocument/2006/relationships/hyperlink" Target="https://librairie.ademe.fr/changement-climatique-et-energie/5348-risques-physiques-et-adaptation-au-changement-climatique-de-l-industrie-focus-transports.html" TargetMode="External"/><Relationship Id="rId68" Type="http://schemas.openxmlformats.org/officeDocument/2006/relationships/hyperlink" Target="https://librairie.ademe.fr/changement-climatique-et-energie/5907-risques-physiques-et-adaptation-au-changement-climatique-de-l-industrie-focus-batiment.html" TargetMode="External"/><Relationship Id="rId84" Type="http://schemas.openxmlformats.org/officeDocument/2006/relationships/hyperlink" Target="https://actinitiative.org/" TargetMode="External"/><Relationship Id="rId89" Type="http://schemas.openxmlformats.org/officeDocument/2006/relationships/header" Target="header1.xml"/><Relationship Id="rId16" Type="http://schemas.openxmlformats.org/officeDocument/2006/relationships/hyperlink" Target="https://actinitiative.org/methodologie-act-nouvelle-methodologie-adaptation/" TargetMode="External"/><Relationship Id="rId11" Type="http://schemas.openxmlformats.org/officeDocument/2006/relationships/hyperlink" Target="https://www.ademe.fr/wp-content/uploads/2022/09/2022-regles-generales-attribution-aides-ademe.pdf" TargetMode="External"/><Relationship Id="rId32" Type="http://schemas.openxmlformats.org/officeDocument/2006/relationships/hyperlink" Target="https://librairie.ademe.fr/changement-climatique-et-energie/4049-diagnostic-des-impacts-du-changement-climatique-sur-une-entreprise-9791029716867.html" TargetMode="External"/><Relationship Id="rId37" Type="http://schemas.openxmlformats.org/officeDocument/2006/relationships/hyperlink" Target="https://librairie.ademe.fr/changement-climatique-et-energie/4049-diagnostic-des-impacts-du-changement-climatique-sur-une-entreprise-9791029716867.html" TargetMode="External"/><Relationship Id="rId53" Type="http://schemas.openxmlformats.org/officeDocument/2006/relationships/hyperlink" Target="https://librairie.ademe.fr/changement-climatique-et-energie/4737-entreprises-comment-prendre-des-decisions-pour-s-adapter-au-changement-climatique--9791029717987.html" TargetMode="External"/><Relationship Id="rId58" Type="http://schemas.openxmlformats.org/officeDocument/2006/relationships/hyperlink" Target="https://librairie.ademe.fr/changement-climatique-et-energie/4737-entreprises-comment-prendre-des-decisions-pour-s-adapter-au-changement-climatique--9791029717987.html" TargetMode="External"/><Relationship Id="rId74" Type="http://schemas.openxmlformats.org/officeDocument/2006/relationships/hyperlink" Target="https://www.adaptation-changement-climatique.gouv.fr/" TargetMode="External"/><Relationship Id="rId79" Type="http://schemas.openxmlformats.org/officeDocument/2006/relationships/hyperlink" Target="http://www.drias-climat.fr/decouverte" TargetMode="External"/><Relationship Id="rId5" Type="http://schemas.openxmlformats.org/officeDocument/2006/relationships/settings" Target="settings.xml"/><Relationship Id="rId90" Type="http://schemas.openxmlformats.org/officeDocument/2006/relationships/footer" Target="footer1.xml"/><Relationship Id="rId95" Type="http://schemas.openxmlformats.org/officeDocument/2006/relationships/header" Target="header2.xml"/><Relationship Id="rId22" Type="http://schemas.openxmlformats.org/officeDocument/2006/relationships/hyperlink" Target="https://librairie.ademe.fr/changement-climatique-et-energie/763-capacite-d-adaptation-au-changement-climatique-des-entreprises-9791029713675.html" TargetMode="External"/><Relationship Id="rId27" Type="http://schemas.openxmlformats.org/officeDocument/2006/relationships/hyperlink" Target="https://librairie.ademe.fr/changement-climatique-et-energie/763-capacite-d-adaptation-au-changement-climatique-des-entreprises-9791029713675.html" TargetMode="External"/><Relationship Id="rId43" Type="http://schemas.openxmlformats.org/officeDocument/2006/relationships/hyperlink" Target="https://librairie.ademe.fr/changement-climatique-et-energie/4049-diagnostic-des-impacts-du-changement-climatique-sur-une-entreprise-9791029716867.html" TargetMode="External"/><Relationship Id="rId48" Type="http://schemas.openxmlformats.org/officeDocument/2006/relationships/hyperlink" Target="https://librairie.ademe.fr/changement-climatique-et-energie/4737-entreprises-comment-prendre-des-decisions-pour-s-adapter-au-changement-climatique--9791029717987.html" TargetMode="External"/><Relationship Id="rId64" Type="http://schemas.openxmlformats.org/officeDocument/2006/relationships/hyperlink" Target="https://librairie.ademe.fr/changement-climatique-et-energie/5558-risques-physiques-et-adaptation-au-changement-climatique-de-l-industrie-focus-travailleurs.html" TargetMode="External"/><Relationship Id="rId69" Type="http://schemas.openxmlformats.org/officeDocument/2006/relationships/hyperlink" Target="https://librairie.ademe.fr/changement-climatique-et-energie/6388-risques-physiques-et-adaptation-au-changement-climatique-de-l-industrie-focus-reseaux.html" TargetMode="External"/><Relationship Id="rId80" Type="http://schemas.openxmlformats.org/officeDocument/2006/relationships/hyperlink" Target="https://climate-adapt.eea.europa.eu/" TargetMode="External"/><Relationship Id="rId85" Type="http://schemas.openxmlformats.org/officeDocument/2006/relationships/hyperlink" Target="https://actinitiative.org/methodologie-act-nouvelle-methodologie-adaptation/" TargetMode="External"/><Relationship Id="rId3" Type="http://schemas.openxmlformats.org/officeDocument/2006/relationships/numbering" Target="numbering.xml"/><Relationship Id="rId12" Type="http://schemas.openxmlformats.org/officeDocument/2006/relationships/hyperlink" Target="https://www.ecologie.gouv.fr/politiques-publiques/trajectoire-rechauffement-reference-ladaptation-changement-climatique-tracc" TargetMode="External"/><Relationship Id="rId17" Type="http://schemas.openxmlformats.org/officeDocument/2006/relationships/hyperlink" Target="https://librairie.ademe.fr/changement-climatique/6728-en-entreprise-comment-s-engager-dans-un-parcours-d-adaptation-au-changement-climatique-.html" TargetMode="External"/><Relationship Id="rId25" Type="http://schemas.openxmlformats.org/officeDocument/2006/relationships/hyperlink" Target="https://librairie.ademe.fr/changement-climatique-et-energie/763-capacite-d-adaptation-au-changement-climatique-des-entreprises-9791029713675.html" TargetMode="External"/><Relationship Id="rId33" Type="http://schemas.openxmlformats.org/officeDocument/2006/relationships/hyperlink" Target="https://librairie.ademe.fr/changement-climatique-et-energie/4049-diagnostic-des-impacts-du-changement-climatique-sur-une-entreprise-9791029716867.html" TargetMode="External"/><Relationship Id="rId38" Type="http://schemas.openxmlformats.org/officeDocument/2006/relationships/hyperlink" Target="https://librairie.ademe.fr/changement-climatique-et-energie/4049-diagnostic-des-impacts-du-changement-climatique-sur-une-entreprise-9791029716867.html" TargetMode="External"/><Relationship Id="rId46" Type="http://schemas.openxmlformats.org/officeDocument/2006/relationships/hyperlink" Target="https://librairie.ademe.fr/changement-climatique-et-energie/4737-entreprises-comment-prendre-des-decisions-pour-s-adapter-au-changement-climatique--9791029717987.html" TargetMode="External"/><Relationship Id="rId59" Type="http://schemas.openxmlformats.org/officeDocument/2006/relationships/hyperlink" Target="https://librairie.ademe.fr/changement-climatique-et-energie/4737-entreprises-comment-prendre-des-decisions-pour-s-adapter-au-changement-climatique--9791029717987.html" TargetMode="External"/><Relationship Id="rId67" Type="http://schemas.openxmlformats.org/officeDocument/2006/relationships/hyperlink" Target="https://librairie.ademe.fr/changement-climatique-et-energie/5907-risques-physiques-et-adaptation-au-changement-climatique-de-l-industrie-focus-batiment.html" TargetMode="External"/><Relationship Id="rId20" Type="http://schemas.openxmlformats.org/officeDocument/2006/relationships/hyperlink" Target="https://librairie.ademe.fr/changement-climatique-et-energie/763-capacite-d-adaptation-au-changement-climatique-des-entreprises-9791029713675.html" TargetMode="External"/><Relationship Id="rId41" Type="http://schemas.openxmlformats.org/officeDocument/2006/relationships/hyperlink" Target="https://librairie.ademe.fr/changement-climatique-et-energie/4049-diagnostic-des-impacts-du-changement-climatique-sur-une-entreprise-9791029716867.html" TargetMode="External"/><Relationship Id="rId54" Type="http://schemas.openxmlformats.org/officeDocument/2006/relationships/hyperlink" Target="https://librairie.ademe.fr/changement-climatique-et-energie/4737-entreprises-comment-prendre-des-decisions-pour-s-adapter-au-changement-climatique--9791029717987.html" TargetMode="External"/><Relationship Id="rId62" Type="http://schemas.openxmlformats.org/officeDocument/2006/relationships/hyperlink" Target="https://librairie.ademe.fr/changement-climatique-et-energie/4737-entreprises-comment-prendre-des-decisions-pour-s-adapter-au-changement-climatique--9791029717987.html" TargetMode="External"/><Relationship Id="rId70" Type="http://schemas.openxmlformats.org/officeDocument/2006/relationships/hyperlink" Target="https://www.adaptation-changement-climatique.gouv.fr/" TargetMode="External"/><Relationship Id="rId75" Type="http://schemas.openxmlformats.org/officeDocument/2006/relationships/hyperlink" Target="https://www.adaptation-changement-climatique.gouv.fr/" TargetMode="External"/><Relationship Id="rId83" Type="http://schemas.openxmlformats.org/officeDocument/2006/relationships/hyperlink" Target="https://eco-act.com/fr/service/plateforme-analyse-risques-climat/" TargetMode="External"/><Relationship Id="rId88" Type="http://schemas.openxmlformats.org/officeDocument/2006/relationships/hyperlink" Target="https://adopta.fr/fiches-techniques/" TargetMode="External"/><Relationship Id="rId91" Type="http://schemas.openxmlformats.org/officeDocument/2006/relationships/comments" Target="comments.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daptation-changement-climatique.gouv.fr/centre-ressources/cadre-danalyse-la-resilience-climatique-des-entreprises" TargetMode="External"/><Relationship Id="rId23" Type="http://schemas.openxmlformats.org/officeDocument/2006/relationships/hyperlink" Target="https://librairie.ademe.fr/changement-climatique-et-energie/763-capacite-d-adaptation-au-changement-climatique-des-entreprises-9791029713675.html" TargetMode="External"/><Relationship Id="rId28" Type="http://schemas.openxmlformats.org/officeDocument/2006/relationships/hyperlink" Target="https://librairie.ademe.fr/changement-climatique-et-energie/763-capacite-d-adaptation-au-changement-climatique-des-entreprises-9791029713675.html" TargetMode="External"/><Relationship Id="rId36" Type="http://schemas.openxmlformats.org/officeDocument/2006/relationships/hyperlink" Target="https://librairie.ademe.fr/changement-climatique-et-energie/4049-diagnostic-des-impacts-du-changement-climatique-sur-une-entreprise-9791029716867.html" TargetMode="External"/><Relationship Id="rId49" Type="http://schemas.openxmlformats.org/officeDocument/2006/relationships/hyperlink" Target="https://librairie.ademe.fr/changement-climatique-et-energie/4737-entreprises-comment-prendre-des-decisions-pour-s-adapter-au-changement-climatique--9791029717987.html" TargetMode="External"/><Relationship Id="rId57" Type="http://schemas.openxmlformats.org/officeDocument/2006/relationships/hyperlink" Target="https://librairie.ademe.fr/changement-climatique-et-energie/4737-entreprises-comment-prendre-des-decisions-pour-s-adapter-au-changement-climatique--9791029717987.html" TargetMode="External"/><Relationship Id="rId10" Type="http://schemas.openxmlformats.org/officeDocument/2006/relationships/hyperlink" Target="mailto:decarbonation.industrie@ademe.fr" TargetMode="External"/><Relationship Id="rId31" Type="http://schemas.openxmlformats.org/officeDocument/2006/relationships/hyperlink" Target="https://librairie.ademe.fr/changement-climatique-et-energie/763-capacite-d-adaptation-au-changement-climatique-des-entreprises-9791029713675.html" TargetMode="External"/><Relationship Id="rId44" Type="http://schemas.openxmlformats.org/officeDocument/2006/relationships/hyperlink" Target="https://librairie.ademe.fr/changement-climatique-et-energie/4737-entreprises-comment-prendre-des-decisions-pour-s-adapter-au-changement-climatique--9791029717987.html" TargetMode="External"/><Relationship Id="rId52" Type="http://schemas.openxmlformats.org/officeDocument/2006/relationships/hyperlink" Target="https://librairie.ademe.fr/changement-climatique-et-energie/4737-entreprises-comment-prendre-des-decisions-pour-s-adapter-au-changement-climatique--9791029717987.html" TargetMode="External"/><Relationship Id="rId60" Type="http://schemas.openxmlformats.org/officeDocument/2006/relationships/hyperlink" Target="https://librairie.ademe.fr/changement-climatique-et-energie/4737-entreprises-comment-prendre-des-decisions-pour-s-adapter-au-changement-climatique--9791029717987.html" TargetMode="External"/><Relationship Id="rId65" Type="http://schemas.openxmlformats.org/officeDocument/2006/relationships/hyperlink" Target="https://librairie.ademe.fr/changement-climatique-et-energie/5558-risques-physiques-et-adaptation-au-changement-climatique-de-l-industrie-focus-travailleurs.html" TargetMode="External"/><Relationship Id="rId73" Type="http://schemas.openxmlformats.org/officeDocument/2006/relationships/hyperlink" Target="https://www.adaptation-changement-climatique.gouv.fr/" TargetMode="External"/><Relationship Id="rId78" Type="http://schemas.openxmlformats.org/officeDocument/2006/relationships/hyperlink" Target="https://r4re.resilience-for-real-estate.com/resilience/analysis" TargetMode="External"/><Relationship Id="rId81" Type="http://schemas.openxmlformats.org/officeDocument/2006/relationships/hyperlink" Target="https://www.adaptation-changement-climatique.gouv.fr/actualites/les-ateliers-ladaptaction" TargetMode="External"/><Relationship Id="rId86" Type="http://schemas.openxmlformats.org/officeDocument/2006/relationships/hyperlink" Target="https://librairie.ademe.fr/changement-climatique-et-energie/5340-offre-des-solutions-d-adaptation-fondees-sur-la-nature-safn.html" TargetMode="External"/><Relationship Id="rId94"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s://agirpourlatransition.ademe.fr/entreprises" TargetMode="External"/><Relationship Id="rId13" Type="http://schemas.openxmlformats.org/officeDocument/2006/relationships/hyperlink" Target="https://librairie.ademe.fr/changement-climatique/6728-en-entreprise-comment-s-engager-dans-un-parcours-d-adaptation-au-changement-climatique-.html" TargetMode="External"/><Relationship Id="rId18" Type="http://schemas.openxmlformats.org/officeDocument/2006/relationships/hyperlink" Target="https://librairie.ademe.fr/changement-climatique-et-energie/763-capacite-d-adaptation-au-changement-climatique-des-entreprises-9791029713675.html" TargetMode="External"/><Relationship Id="rId39" Type="http://schemas.openxmlformats.org/officeDocument/2006/relationships/hyperlink" Target="https://librairie.ademe.fr/changement-climatique-et-energie/4049-diagnostic-des-impacts-du-changement-climatique-sur-une-entreprise-9791029716867.html" TargetMode="External"/><Relationship Id="rId34" Type="http://schemas.openxmlformats.org/officeDocument/2006/relationships/hyperlink" Target="https://librairie.ademe.fr/changement-climatique-et-energie/4049-diagnostic-des-impacts-du-changement-climatique-sur-une-entreprise-9791029716867.html" TargetMode="External"/><Relationship Id="rId50" Type="http://schemas.openxmlformats.org/officeDocument/2006/relationships/hyperlink" Target="https://librairie.ademe.fr/changement-climatique-et-energie/4737-entreprises-comment-prendre-des-decisions-pour-s-adapter-au-changement-climatique--9791029717987.html" TargetMode="External"/><Relationship Id="rId55" Type="http://schemas.openxmlformats.org/officeDocument/2006/relationships/hyperlink" Target="https://librairie.ademe.fr/changement-climatique-et-energie/4737-entreprises-comment-prendre-des-decisions-pour-s-adapter-au-changement-climatique--9791029717987.html" TargetMode="External"/><Relationship Id="rId76" Type="http://schemas.openxmlformats.org/officeDocument/2006/relationships/hyperlink" Target="https://www.adaptation-changement-climatique.gouv.fr/" TargetMode="External"/><Relationship Id="rId97" Type="http://schemas.microsoft.com/office/2011/relationships/people" Target="people.xml"/><Relationship Id="rId7" Type="http://schemas.openxmlformats.org/officeDocument/2006/relationships/footnotes" Target="footnotes.xml"/><Relationship Id="rId71" Type="http://schemas.openxmlformats.org/officeDocument/2006/relationships/hyperlink" Target="https://www.adaptation-changement-climatique.gouv.fr/" TargetMode="External"/><Relationship Id="rId92" Type="http://schemas.microsoft.com/office/2011/relationships/commentsExtended" Target="commentsExtended.xml"/><Relationship Id="rId2" Type="http://schemas.openxmlformats.org/officeDocument/2006/relationships/customXml" Target="../customXml/item2.xml"/><Relationship Id="rId29" Type="http://schemas.openxmlformats.org/officeDocument/2006/relationships/hyperlink" Target="https://librairie.ademe.fr/changement-climatique-et-energie/763-capacite-d-adaptation-au-changement-climatique-des-entreprises-9791029713675.html" TargetMode="External"/><Relationship Id="rId24" Type="http://schemas.openxmlformats.org/officeDocument/2006/relationships/hyperlink" Target="https://librairie.ademe.fr/changement-climatique-et-energie/763-capacite-d-adaptation-au-changement-climatique-des-entreprises-9791029713675.html" TargetMode="External"/><Relationship Id="rId40" Type="http://schemas.openxmlformats.org/officeDocument/2006/relationships/hyperlink" Target="https://librairie.ademe.fr/changement-climatique-et-energie/4049-diagnostic-des-impacts-du-changement-climatique-sur-une-entreprise-9791029716867.html" TargetMode="External"/><Relationship Id="rId45" Type="http://schemas.openxmlformats.org/officeDocument/2006/relationships/hyperlink" Target="https://librairie.ademe.fr/changement-climatique-et-energie/4737-entreprises-comment-prendre-des-decisions-pour-s-adapter-au-changement-climatique--9791029717987.html" TargetMode="External"/><Relationship Id="rId66" Type="http://schemas.openxmlformats.org/officeDocument/2006/relationships/hyperlink" Target="https://librairie.ademe.fr/changement-climatique-et-energie/5558-risques-physiques-et-adaptation-au-changement-climatique-de-l-industrie-focus-travailleurs.html" TargetMode="External"/><Relationship Id="rId87" Type="http://schemas.openxmlformats.org/officeDocument/2006/relationships/hyperlink" Target="https://www.lesagencesdeleau.fr/" TargetMode="External"/><Relationship Id="rId61" Type="http://schemas.openxmlformats.org/officeDocument/2006/relationships/hyperlink" Target="https://librairie.ademe.fr/changement-climatique-et-energie/4737-entreprises-comment-prendre-des-decisions-pour-s-adapter-au-changement-climatique--9791029717987.html" TargetMode="External"/><Relationship Id="rId82" Type="http://schemas.openxmlformats.org/officeDocument/2006/relationships/hyperlink" Target="https://www.carbone4.com/guide-methodologique-ocara" TargetMode="External"/><Relationship Id="rId19" Type="http://schemas.openxmlformats.org/officeDocument/2006/relationships/hyperlink" Target="https://librairie.ademe.fr/changement-climatique-et-energie/763-capacite-d-adaptation-au-changement-climatique-des-entreprises-9791029713675.html" TargetMode="External"/><Relationship Id="rId14" Type="http://schemas.openxmlformats.org/officeDocument/2006/relationships/hyperlink" Target="https://ateliers-adaptationclimat.fr/" TargetMode="External"/><Relationship Id="rId30" Type="http://schemas.openxmlformats.org/officeDocument/2006/relationships/hyperlink" Target="https://librairie.ademe.fr/changement-climatique-et-energie/763-capacite-d-adaptation-au-changement-climatique-des-entreprises-9791029713675.html" TargetMode="External"/><Relationship Id="rId35" Type="http://schemas.openxmlformats.org/officeDocument/2006/relationships/hyperlink" Target="https://librairie.ademe.fr/changement-climatique-et-energie/4049-diagnostic-des-impacts-du-changement-climatique-sur-une-entreprise-9791029716867.html" TargetMode="External"/><Relationship Id="rId56" Type="http://schemas.openxmlformats.org/officeDocument/2006/relationships/hyperlink" Target="https://librairie.ademe.fr/changement-climatique-et-energie/4737-entreprises-comment-prendre-des-decisions-pour-s-adapter-au-changement-climatique--9791029717987.html" TargetMode="External"/><Relationship Id="rId77" Type="http://schemas.openxmlformats.org/officeDocument/2006/relationships/hyperlink" Target="https://www.adaptation-changement-climatique.gouv.fr/" TargetMode="External"/><Relationship Id="rId8" Type="http://schemas.openxmlformats.org/officeDocument/2006/relationships/endnotes" Target="endnotes.xml"/><Relationship Id="rId51" Type="http://schemas.openxmlformats.org/officeDocument/2006/relationships/hyperlink" Target="https://librairie.ademe.fr/changement-climatique-et-energie/4737-entreprises-comment-prendre-des-decisions-pour-s-adapter-au-changement-climatique--9791029717987.html" TargetMode="External"/><Relationship Id="rId72" Type="http://schemas.openxmlformats.org/officeDocument/2006/relationships/hyperlink" Target="https://www.adaptation-changement-climatique.gouv.fr/" TargetMode="External"/><Relationship Id="rId93" Type="http://schemas.microsoft.com/office/2016/09/relationships/commentsIds" Target="commentsIds.xml"/><Relationship Id="rId9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irpourlatransition.ademe.fr/entreprises/aides-financieres/2024/realisation-dinstallations-recuperation-chaleur-fatal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4B589-8CD7-4622-8C3E-F7C31911E504}"/>
</file>

<file path=customXml/itemProps2.xml><?xml version="1.0" encoding="utf-8"?>
<ds:datastoreItem xmlns:ds="http://schemas.openxmlformats.org/officeDocument/2006/customXml" ds:itemID="{15503FD2-DF9B-43C2-A36E-DC7ABF80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8888</Words>
  <Characters>48890</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57663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ADEME Agence de l Environnement et de la Maîtrise de l Energie</dc:creator>
  <cp:keywords/>
  <dc:description/>
  <cp:lastModifiedBy>REBEC Gaelle</cp:lastModifiedBy>
  <cp:revision>3</cp:revision>
  <dcterms:created xsi:type="dcterms:W3CDTF">2024-12-12T08:03:00Z</dcterms:created>
  <dcterms:modified xsi:type="dcterms:W3CDTF">2024-12-12T08:04:00Z</dcterms:modified>
</cp:coreProperties>
</file>