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63F63120" w14:textId="77777777" w:rsidR="00CF15C3"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EMANDE D’AIDE</w:t>
      </w:r>
    </w:p>
    <w:p w14:paraId="581B51A5" w14:textId="46CD2530" w:rsidR="00B60F1D" w:rsidRPr="00037BB8" w:rsidRDefault="0090075C" w:rsidP="00037BB8">
      <w:pPr>
        <w:jc w:val="center"/>
        <w:rPr>
          <w:rFonts w:ascii="Marianne" w:hAnsi="Marianne"/>
          <w:b/>
          <w:smallCaps/>
          <w:sz w:val="52"/>
          <w:szCs w:val="24"/>
        </w:rPr>
      </w:pPr>
      <w:r>
        <w:rPr>
          <w:rFonts w:ascii="Marianne" w:hAnsi="Marianne"/>
          <w:b/>
          <w:smallCaps/>
          <w:sz w:val="52"/>
          <w:szCs w:val="24"/>
        </w:rPr>
        <w:t>Nouveaux produits sous labels dans la base de données Agribalyse</w:t>
      </w:r>
      <w:r w:rsidR="00B60F1D" w:rsidRPr="00037BB8">
        <w:rPr>
          <w:rFonts w:ascii="Marianne" w:hAnsi="Marianne"/>
          <w:b/>
          <w:smallCaps/>
          <w:sz w:val="52"/>
          <w:szCs w:val="24"/>
        </w:rPr>
        <w:t xml:space="preserv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000000">
              <w:rPr>
                <w:rFonts w:cs="Calibri"/>
                <w:b/>
                <w:bCs/>
                <w:i/>
                <w:sz w:val="24"/>
                <w:szCs w:val="24"/>
              </w:rPr>
            </w:r>
            <w:r w:rsidR="00000000">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3E439EAC" w14:textId="77777777" w:rsidR="00CF15C3" w:rsidRPr="00CF15C3" w:rsidRDefault="00CF15C3" w:rsidP="00CF15C3">
      <w:pPr>
        <w:numPr>
          <w:ilvl w:val="0"/>
          <w:numId w:val="2"/>
        </w:numPr>
        <w:ind w:left="1094" w:hanging="357"/>
        <w:rPr>
          <w:sz w:val="18"/>
          <w:szCs w:val="18"/>
        </w:rPr>
      </w:pPr>
      <w:r w:rsidRPr="00CF15C3">
        <w:rPr>
          <w:sz w:val="18"/>
          <w:szCs w:val="18"/>
        </w:rPr>
        <w:t>Projets qui concernent des labels privés dits « auto-déclaratifs ».</w:t>
      </w:r>
    </w:p>
    <w:p w14:paraId="432AFDA2" w14:textId="77777777" w:rsidR="00CF15C3" w:rsidRPr="00CF15C3" w:rsidRDefault="00CF15C3" w:rsidP="00CF15C3">
      <w:pPr>
        <w:numPr>
          <w:ilvl w:val="0"/>
          <w:numId w:val="2"/>
        </w:numPr>
        <w:ind w:left="1094" w:hanging="357"/>
        <w:rPr>
          <w:sz w:val="18"/>
          <w:szCs w:val="18"/>
        </w:rPr>
      </w:pPr>
      <w:r w:rsidRPr="00CF15C3">
        <w:rPr>
          <w:sz w:val="18"/>
          <w:szCs w:val="18"/>
        </w:rPr>
        <w:t>Projets qui concernent des démarches à une échelle autre que l’échelle produit (par exemple exploitation agricole ou territoire)</w:t>
      </w:r>
    </w:p>
    <w:p w14:paraId="6350FED3" w14:textId="77777777" w:rsidR="00CF15C3" w:rsidRPr="00CF15C3" w:rsidRDefault="00CF15C3" w:rsidP="00CF15C3">
      <w:pPr>
        <w:numPr>
          <w:ilvl w:val="0"/>
          <w:numId w:val="2"/>
        </w:numPr>
        <w:ind w:left="1094" w:hanging="357"/>
        <w:rPr>
          <w:sz w:val="18"/>
          <w:szCs w:val="18"/>
        </w:rPr>
      </w:pPr>
      <w:r w:rsidRPr="00CF15C3">
        <w:rPr>
          <w:sz w:val="18"/>
          <w:szCs w:val="18"/>
        </w:rPr>
        <w:t>Structures déjà financées par l’ADEME dans le cadre de projets équivalents visant également la production de données pour AGRIBALYSE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6CE2F757" w14:textId="77777777" w:rsidR="00B463C1" w:rsidRPr="00B463C1" w:rsidRDefault="00B463C1" w:rsidP="00B463C1">
      <w:pPr>
        <w:numPr>
          <w:ilvl w:val="1"/>
          <w:numId w:val="2"/>
        </w:numPr>
        <w:rPr>
          <w:sz w:val="18"/>
          <w:szCs w:val="18"/>
        </w:rPr>
      </w:pPr>
      <w:r w:rsidRPr="00B463C1">
        <w:rPr>
          <w:sz w:val="18"/>
          <w:szCs w:val="18"/>
        </w:rPr>
        <w:t>Volet financier</w:t>
      </w:r>
    </w:p>
    <w:p w14:paraId="5A37A4D0" w14:textId="77777777" w:rsidR="00B463C1" w:rsidRPr="00B463C1" w:rsidRDefault="00B463C1" w:rsidP="00B463C1">
      <w:pPr>
        <w:numPr>
          <w:ilvl w:val="1"/>
          <w:numId w:val="2"/>
        </w:numPr>
        <w:rPr>
          <w:sz w:val="18"/>
          <w:szCs w:val="18"/>
        </w:rPr>
      </w:pPr>
      <w:r w:rsidRPr="00B463C1">
        <w:rPr>
          <w:sz w:val="18"/>
          <w:szCs w:val="18"/>
        </w:rPr>
        <w:t>RIB</w:t>
      </w:r>
    </w:p>
    <w:p w14:paraId="23BAA218" w14:textId="77777777" w:rsidR="00B463C1" w:rsidRPr="00B463C1" w:rsidRDefault="00B463C1" w:rsidP="00B463C1">
      <w:pPr>
        <w:numPr>
          <w:ilvl w:val="1"/>
          <w:numId w:val="2"/>
        </w:numPr>
        <w:rPr>
          <w:sz w:val="18"/>
          <w:szCs w:val="18"/>
        </w:rPr>
      </w:pPr>
      <w:r w:rsidRPr="00B463C1">
        <w:rPr>
          <w:sz w:val="18"/>
          <w:szCs w:val="18"/>
        </w:rPr>
        <w:t>CERFA (si vous êtes une association)</w:t>
      </w:r>
    </w:p>
    <w:p w14:paraId="49E94716" w14:textId="77777777" w:rsidR="00B463C1" w:rsidRPr="00B463C1" w:rsidRDefault="00B463C1" w:rsidP="00B463C1">
      <w:pPr>
        <w:numPr>
          <w:ilvl w:val="1"/>
          <w:numId w:val="2"/>
        </w:numPr>
        <w:rPr>
          <w:sz w:val="18"/>
          <w:szCs w:val="18"/>
        </w:rPr>
      </w:pPr>
      <w:r w:rsidRPr="00B463C1">
        <w:rPr>
          <w:sz w:val="18"/>
          <w:szCs w:val="18"/>
        </w:rPr>
        <w:t xml:space="preserve">Attestation de minimis </w:t>
      </w:r>
    </w:p>
    <w:p w14:paraId="15590511" w14:textId="77777777" w:rsidR="00B463C1" w:rsidRPr="00B463C1" w:rsidRDefault="00B463C1" w:rsidP="00B463C1">
      <w:pPr>
        <w:numPr>
          <w:ilvl w:val="1"/>
          <w:numId w:val="2"/>
        </w:numPr>
        <w:rPr>
          <w:sz w:val="18"/>
          <w:szCs w:val="18"/>
        </w:rPr>
      </w:pPr>
      <w:r w:rsidRPr="00B463C1">
        <w:rPr>
          <w:sz w:val="18"/>
          <w:szCs w:val="18"/>
        </w:rPr>
        <w:t xml:space="preserve">Attestation de santé financière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6328A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r>
        <w:t>Synthèse du projet (15 lignes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00E452EB" w:rsidR="00CF387A" w:rsidRDefault="00CF387A" w:rsidP="00CF387A">
      <w:pPr>
        <w:pStyle w:val="Sous-Titre111"/>
      </w:pPr>
      <w:r>
        <w:t>Cadre de l’opération</w:t>
      </w:r>
      <w:r w:rsidR="00EA7E5E">
        <w:t xml:space="preserve"> – organization du projet</w:t>
      </w:r>
    </w:p>
    <w:p w14:paraId="76E464E1" w14:textId="035F01B7" w:rsidR="00CF387A" w:rsidRPr="009A78CE" w:rsidRDefault="00CF387A" w:rsidP="0032141D">
      <w:pPr>
        <w:rPr>
          <w:i/>
          <w:highlight w:val="yellow"/>
        </w:rPr>
      </w:pPr>
      <w:r w:rsidRPr="009A78CE">
        <w:rPr>
          <w:i/>
          <w:highlight w:val="yellow"/>
        </w:rPr>
        <w:t xml:space="preserve">Présentation du maître d’Ouvrage et schéma d’organisation des acteurs </w:t>
      </w:r>
    </w:p>
    <w:p w14:paraId="32FF0BDE" w14:textId="77777777" w:rsidR="00CF387A" w:rsidRPr="009A78CE" w:rsidRDefault="00CF387A" w:rsidP="0032141D">
      <w:pPr>
        <w:rPr>
          <w:i/>
          <w:highlight w:val="yellow"/>
        </w:rPr>
      </w:pPr>
      <w:r w:rsidRPr="009A78CE">
        <w:rPr>
          <w:i/>
          <w:highlight w:val="yellow"/>
        </w:rPr>
        <w:t xml:space="preserve">(identification des rôles et relations des intervenants) </w:t>
      </w:r>
    </w:p>
    <w:p w14:paraId="1D5719B0" w14:textId="31812CD6" w:rsidR="0032141D" w:rsidRDefault="0032141D" w:rsidP="00CF387A"/>
    <w:p w14:paraId="43A1EB8D" w14:textId="77777777" w:rsidR="0032141D" w:rsidRDefault="0032141D" w:rsidP="00CF387A"/>
    <w:p w14:paraId="72DAFAC2" w14:textId="2EA45CB1" w:rsidR="0032141D" w:rsidRDefault="003C3B52" w:rsidP="00CF387A">
      <w:pPr>
        <w:pStyle w:val="Sous-Titre111"/>
      </w:pPr>
      <w:r>
        <w:t>Contexte et enjeux</w:t>
      </w:r>
    </w:p>
    <w:p w14:paraId="128E27F6" w14:textId="761E90CF" w:rsidR="0025156E" w:rsidRPr="0025156E" w:rsidRDefault="0025156E" w:rsidP="0025156E">
      <w:pPr>
        <w:rPr>
          <w:i/>
          <w:highlight w:val="yellow"/>
        </w:rPr>
      </w:pPr>
      <w:r>
        <w:rPr>
          <w:i/>
          <w:highlight w:val="yellow"/>
        </w:rPr>
        <w:t>Présenter le</w:t>
      </w:r>
      <w:r w:rsidRPr="0025156E">
        <w:rPr>
          <w:i/>
          <w:highlight w:val="yellow"/>
        </w:rPr>
        <w:t xml:space="preserve"> contexte général du label, les types de productions concernées, des éléments justifiants l’intérêt d’intégrer ces produits dans Agribalyse (leurs parts de marché respectives et les éléments du cahier des charges visant des aspects environnementaux). </w:t>
      </w:r>
    </w:p>
    <w:p w14:paraId="1500AB61" w14:textId="400D09AD" w:rsidR="0032141D" w:rsidRDefault="0032141D" w:rsidP="0032141D"/>
    <w:p w14:paraId="4F3908C4" w14:textId="77777777" w:rsidR="0032141D" w:rsidRDefault="0032141D" w:rsidP="0032141D"/>
    <w:p w14:paraId="50753EBB" w14:textId="428B3E1F" w:rsidR="00CF387A" w:rsidRPr="000D7DFC" w:rsidRDefault="00CF387A" w:rsidP="0032141D">
      <w:pPr>
        <w:pStyle w:val="Sous-Titre111"/>
        <w:rPr>
          <w:rStyle w:val="Sous-Titre111Car"/>
          <w:b/>
        </w:rPr>
      </w:pPr>
      <w:r w:rsidRPr="0032141D">
        <w:rPr>
          <w:rStyle w:val="Sous-Titre111Car"/>
          <w:b/>
        </w:rPr>
        <w:t xml:space="preserve">Description des actions et études de faisabilité réalisées pour le montage du projet et sur les process </w:t>
      </w:r>
      <w:r w:rsidRPr="0032141D">
        <w:rPr>
          <w:rStyle w:val="Sous-Titre111Car"/>
          <w:bCs/>
          <w:i/>
          <w:iCs/>
        </w:rPr>
        <w:t>(si nécessaire)</w:t>
      </w:r>
    </w:p>
    <w:p w14:paraId="013BFB5D" w14:textId="77777777" w:rsidR="000D7DFC" w:rsidRPr="000D7DFC" w:rsidRDefault="000D7DFC" w:rsidP="000D7DFC">
      <w:pPr>
        <w:rPr>
          <w:i/>
          <w:highlight w:val="yellow"/>
        </w:rPr>
      </w:pPr>
      <w:r w:rsidRPr="000D7DFC">
        <w:rPr>
          <w:i/>
          <w:highlight w:val="yellow"/>
        </w:rPr>
        <w:t>Démontrer le caractère innovant et/ou différentiant du projet, en le positionnant par rapport</w:t>
      </w:r>
      <w:r w:rsidRPr="000D7DFC">
        <w:rPr>
          <w:rFonts w:ascii="Calibri" w:hAnsi="Calibri" w:cs="Calibri"/>
          <w:i/>
          <w:highlight w:val="yellow"/>
        </w:rPr>
        <w:t> </w:t>
      </w:r>
      <w:r w:rsidRPr="000D7DFC">
        <w:rPr>
          <w:i/>
          <w:highlight w:val="yellow"/>
        </w:rPr>
        <w:t>:</w:t>
      </w:r>
    </w:p>
    <w:p w14:paraId="7526C84B" w14:textId="77777777" w:rsidR="000D7DFC" w:rsidRPr="00BF74BA" w:rsidRDefault="000D7DFC" w:rsidP="00BF74BA">
      <w:pPr>
        <w:pStyle w:val="Paragraphedeliste"/>
        <w:numPr>
          <w:ilvl w:val="0"/>
          <w:numId w:val="3"/>
        </w:numPr>
        <w:rPr>
          <w:i/>
          <w:highlight w:val="yellow"/>
        </w:rPr>
      </w:pPr>
      <w:r w:rsidRPr="00BF74BA">
        <w:rPr>
          <w:i/>
          <w:highlight w:val="yellow"/>
        </w:rPr>
        <w:t>D’éventuels projets antérieurs portant sur le même sujet et bénéficiant ou ayant bénéficié de financements publics. Dans ce cas remplir le tableau proposé à la fin du volet technique. Préciser l’articulation de cette proposition avec ces projets</w:t>
      </w:r>
    </w:p>
    <w:p w14:paraId="6BDED736" w14:textId="77777777" w:rsidR="000D7DFC" w:rsidRPr="00BF74BA" w:rsidRDefault="000D7DFC" w:rsidP="00BF74BA">
      <w:pPr>
        <w:pStyle w:val="Paragraphedeliste"/>
        <w:numPr>
          <w:ilvl w:val="0"/>
          <w:numId w:val="3"/>
        </w:numPr>
        <w:rPr>
          <w:i/>
          <w:highlight w:val="yellow"/>
        </w:rPr>
      </w:pPr>
      <w:r w:rsidRPr="00BF74BA">
        <w:rPr>
          <w:i/>
          <w:highlight w:val="yellow"/>
        </w:rPr>
        <w:t>A la littérature existante sur le sujet.</w:t>
      </w:r>
    </w:p>
    <w:p w14:paraId="0A063D1D" w14:textId="5EF322A2" w:rsidR="000D7DFC" w:rsidRPr="00BF74BA" w:rsidRDefault="000D7DFC" w:rsidP="00BF74BA">
      <w:pPr>
        <w:pStyle w:val="Paragraphedeliste"/>
        <w:numPr>
          <w:ilvl w:val="0"/>
          <w:numId w:val="3"/>
        </w:numPr>
        <w:rPr>
          <w:i/>
          <w:highlight w:val="yellow"/>
        </w:rPr>
      </w:pPr>
      <w:r w:rsidRPr="00BF74BA">
        <w:rPr>
          <w:i/>
          <w:highlight w:val="yellow"/>
        </w:rPr>
        <w:t>Faire apparaître d’éventuels résultats préliminaires. Préciser les références bibliographiques à la fin du volet technique</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10CC9BB" w14:textId="04102E39" w:rsidR="0032141D" w:rsidRDefault="008E43CC" w:rsidP="0032141D">
      <w:pPr>
        <w:rPr>
          <w:i/>
          <w:highlight w:val="yellow"/>
        </w:rPr>
      </w:pPr>
      <w:r w:rsidRPr="00537A44">
        <w:rPr>
          <w:i/>
          <w:highlight w:val="yellow"/>
        </w:rPr>
        <w:t>Description de l’opération</w:t>
      </w:r>
      <w:r w:rsidR="00537A44" w:rsidRPr="00537A44">
        <w:rPr>
          <w:i/>
          <w:highlight w:val="yellow"/>
        </w:rPr>
        <w:t xml:space="preserve"> et justification technique des moyens (</w:t>
      </w:r>
      <w:r w:rsidR="005854EE">
        <w:rPr>
          <w:i/>
          <w:highlight w:val="yellow"/>
        </w:rPr>
        <w:t>qualification des partenaires pour mener à bien le projet, capacité de po</w:t>
      </w:r>
      <w:r w:rsidR="004F1A3F">
        <w:rPr>
          <w:i/>
          <w:highlight w:val="yellow"/>
        </w:rPr>
        <w:t>r</w:t>
      </w:r>
      <w:r w:rsidR="005854EE">
        <w:rPr>
          <w:i/>
          <w:highlight w:val="yellow"/>
        </w:rPr>
        <w:t xml:space="preserve">teur de projet à </w:t>
      </w:r>
      <w:r w:rsidR="004F1A3F">
        <w:rPr>
          <w:i/>
          <w:highlight w:val="yellow"/>
        </w:rPr>
        <w:t xml:space="preserve">piloter le projet et à collecter les données nécessaires à sa bonne réalisation, </w:t>
      </w:r>
      <w:r w:rsidR="00537A44" w:rsidRPr="00537A44">
        <w:rPr>
          <w:i/>
          <w:highlight w:val="yellow"/>
        </w:rPr>
        <w:t>complémentarité des partenaires, le cas échant).</w:t>
      </w:r>
    </w:p>
    <w:p w14:paraId="26ABE27B" w14:textId="77777777" w:rsidR="00EF186B" w:rsidRDefault="00EF186B" w:rsidP="0032141D">
      <w:pPr>
        <w:rPr>
          <w:i/>
          <w:highlight w:val="yellow"/>
        </w:rPr>
      </w:pPr>
    </w:p>
    <w:p w14:paraId="2AF5DFF1" w14:textId="77777777" w:rsidR="00EF186B" w:rsidRDefault="00EF186B" w:rsidP="0032141D">
      <w:pPr>
        <w:rPr>
          <w:i/>
          <w:highlight w:val="yellow"/>
        </w:rPr>
      </w:pP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18DA51F7" w14:textId="77777777" w:rsidR="00EF186B" w:rsidRDefault="00EF186B" w:rsidP="00CF387A"/>
    <w:p w14:paraId="7C777688" w14:textId="77777777" w:rsidR="00EF186B" w:rsidRDefault="00EF186B" w:rsidP="00CF387A"/>
    <w:p w14:paraId="28AA3884" w14:textId="77777777" w:rsidR="00EF186B" w:rsidRDefault="00EF186B" w:rsidP="00CF387A"/>
    <w:p w14:paraId="3F78954E" w14:textId="4690B269" w:rsidR="00CF387A" w:rsidRDefault="00EF186B" w:rsidP="0032141D">
      <w:pPr>
        <w:pStyle w:val="TitrePartie"/>
      </w:pPr>
      <w:r>
        <w:lastRenderedPageBreak/>
        <w:t>INFORMATIONS COMPLEMENTAIRES</w:t>
      </w:r>
    </w:p>
    <w:p w14:paraId="1004B24C" w14:textId="7BDE77B0" w:rsidR="00CF387A" w:rsidRDefault="00EF186B" w:rsidP="00CF387A">
      <w:r w:rsidRPr="00EF186B">
        <w:rPr>
          <w:b/>
          <w:bCs/>
          <w:i/>
          <w:color w:val="404040"/>
          <w:szCs w:val="28"/>
          <w:highlight w:val="yellow"/>
        </w:rPr>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p w14:paraId="1F38C2BC" w14:textId="77777777" w:rsidR="00CF387A" w:rsidRDefault="00CF387A" w:rsidP="00CF387A"/>
    <w:p w14:paraId="5F9377D1" w14:textId="77777777" w:rsidR="00CF387A" w:rsidRDefault="00CF387A" w:rsidP="00CF387A"/>
    <w:p w14:paraId="37687EBE" w14:textId="0D740F70" w:rsidR="00CF387A" w:rsidRDefault="00CF387A" w:rsidP="0032141D">
      <w:pPr>
        <w:pStyle w:val="TitrePartie"/>
      </w:pPr>
      <w:r>
        <w:t>ENGAGEMENTS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0A243343" w14:textId="77777777" w:rsidR="00D37C93" w:rsidRDefault="00D37C93" w:rsidP="00CF387A"/>
    <w:p w14:paraId="45BB1D40" w14:textId="77777777" w:rsidR="00D37C93" w:rsidRPr="00D37C93" w:rsidRDefault="00D37C93" w:rsidP="00D37C93">
      <w:r w:rsidRPr="00D37C93">
        <w:t xml:space="preserve">Dans le cas où les données produites seront intégrées dans la base de données AGRIBALYSE, le porteur de projet reconnaît et accepte que les données seront retraitées par l’ADEME. Elles deviendront propriété de l’ADEME et seront exploitées en open data, conformément à la Licence Etalab (les données individuelles seront anonymisées, le cas échéant). Dans ce cas, le porteur de projet s’engage également à donner accès à l’ADEME aux données nécessaires pour mettre à jour les inventaires de cycle de vie (y compris les données de Means-InOut pour les inventaires agricoles et aquacoles) à chaque fois qu’une mise à jour sera décidée par le GIS REVALIM.  </w:t>
      </w:r>
    </w:p>
    <w:p w14:paraId="4E5FA148" w14:textId="77777777" w:rsidR="00D37C93" w:rsidRDefault="00D37C93" w:rsidP="00CF387A"/>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107625AA" w14:textId="25D7F6EE" w:rsidR="00CF387A" w:rsidRDefault="00CF387A" w:rsidP="00CF387A">
      <w:r>
        <w:t xml:space="preserve">Le bénéficiaire remettra à l’ADEME les documents suivants : </w:t>
      </w:r>
    </w:p>
    <w:p w14:paraId="459D8855" w14:textId="77777777" w:rsidR="00672448" w:rsidRDefault="0009367E" w:rsidP="00672448">
      <w:pPr>
        <w:pStyle w:val="Paragraphedeliste"/>
        <w:numPr>
          <w:ilvl w:val="0"/>
          <w:numId w:val="6"/>
        </w:numPr>
        <w:ind w:left="360"/>
      </w:pPr>
      <w:r>
        <w:t>Un rapport d’avancement de l’opération à mi-parcours</w:t>
      </w:r>
      <w:r w:rsidR="009F2B82">
        <w:rPr>
          <w:rFonts w:ascii="Calibri" w:hAnsi="Calibri" w:cs="Calibri"/>
        </w:rPr>
        <w:t> </w:t>
      </w:r>
      <w:r w:rsidR="009F2B82">
        <w:t>;</w:t>
      </w:r>
    </w:p>
    <w:p w14:paraId="5F6B3DA2" w14:textId="77777777" w:rsidR="00672448" w:rsidRDefault="00672448" w:rsidP="00672448">
      <w:pPr>
        <w:pStyle w:val="Paragraphedeliste"/>
        <w:numPr>
          <w:ilvl w:val="0"/>
          <w:numId w:val="6"/>
        </w:numPr>
        <w:ind w:left="360"/>
      </w:pPr>
      <w:r>
        <w:t>Un</w:t>
      </w:r>
      <w:r w:rsidRPr="00672448">
        <w:t xml:space="preserve"> rapport</w:t>
      </w:r>
      <w:r>
        <w:t xml:space="preserve"> méthodologique final </w:t>
      </w:r>
      <w:r w:rsidRPr="00672448">
        <w:t>décrivant de manière transparente la collecte de données et les hypothèses retenues</w:t>
      </w:r>
      <w:r>
        <w:t>, selon le modèle de rapport d’ICV fourni par l’ADEME</w:t>
      </w:r>
      <w:r>
        <w:rPr>
          <w:rFonts w:ascii="Calibri" w:hAnsi="Calibri" w:cs="Calibri"/>
        </w:rPr>
        <w:t> </w:t>
      </w:r>
      <w:r>
        <w:t>;</w:t>
      </w:r>
    </w:p>
    <w:p w14:paraId="33132CA0" w14:textId="1D81613D" w:rsidR="00B1551E" w:rsidRDefault="00672448" w:rsidP="00672448">
      <w:pPr>
        <w:pStyle w:val="Paragraphedeliste"/>
        <w:numPr>
          <w:ilvl w:val="0"/>
          <w:numId w:val="6"/>
        </w:numPr>
        <w:ind w:left="360"/>
      </w:pPr>
      <w:r>
        <w:t>Les f</w:t>
      </w:r>
      <w:r w:rsidR="00B1551E">
        <w:t>ichier</w:t>
      </w:r>
      <w:r>
        <w:t>s</w:t>
      </w:r>
      <w:r w:rsidR="00B1551E">
        <w:t xml:space="preserve"> csv du/des ICV construits.</w:t>
      </w:r>
    </w:p>
    <w:p w14:paraId="645A0E18" w14:textId="77777777" w:rsidR="00CF387A" w:rsidRDefault="00CF387A" w:rsidP="00B04D5A"/>
    <w:p w14:paraId="19740498" w14:textId="3AB5E228" w:rsidR="00A5728E" w:rsidRDefault="00A5728E" w:rsidP="00A5728E"/>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328AB">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16CC7" w14:textId="77777777" w:rsidR="006328AB" w:rsidRDefault="006328AB" w:rsidP="008E1C1C">
      <w:r>
        <w:separator/>
      </w:r>
    </w:p>
  </w:endnote>
  <w:endnote w:type="continuationSeparator" w:id="0">
    <w:p w14:paraId="02721B27" w14:textId="77777777" w:rsidR="006328AB" w:rsidRDefault="006328AB"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3794" w14:textId="77777777" w:rsidR="006328AB" w:rsidRDefault="006328AB" w:rsidP="008E1C1C">
      <w:r>
        <w:separator/>
      </w:r>
    </w:p>
  </w:footnote>
  <w:footnote w:type="continuationSeparator" w:id="0">
    <w:p w14:paraId="145E2871" w14:textId="77777777" w:rsidR="006328AB" w:rsidRDefault="006328AB"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C0BDC"/>
    <w:multiLevelType w:val="hybridMultilevel"/>
    <w:tmpl w:val="45BA764E"/>
    <w:lvl w:ilvl="0" w:tplc="774E6F74">
      <w:numFmt w:val="bullet"/>
      <w:lvlText w:val="-"/>
      <w:lvlJc w:val="left"/>
      <w:pPr>
        <w:ind w:left="720" w:hanging="360"/>
      </w:pPr>
      <w:rPr>
        <w:rFonts w:ascii="Marianne" w:eastAsiaTheme="minorHAns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B5295F"/>
    <w:multiLevelType w:val="hybridMultilevel"/>
    <w:tmpl w:val="FC94701C"/>
    <w:lvl w:ilvl="0" w:tplc="52307702">
      <w:start w:val="1"/>
      <w:numFmt w:val="bullet"/>
      <w:lvlText w:val="-"/>
      <w:lvlJc w:val="left"/>
      <w:pPr>
        <w:ind w:left="1418" w:hanging="360"/>
      </w:pPr>
      <w:rPr>
        <w:rFonts w:ascii="Arial" w:eastAsia="Times New Roman" w:hAnsi="Arial" w:cs="Arial" w:hint="default"/>
      </w:rPr>
    </w:lvl>
    <w:lvl w:ilvl="1" w:tplc="04090003">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4" w15:restartNumberingAfterBreak="0">
    <w:nsid w:val="486048E3"/>
    <w:multiLevelType w:val="hybridMultilevel"/>
    <w:tmpl w:val="BD6A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599052">
    <w:abstractNumId w:val="5"/>
  </w:num>
  <w:num w:numId="2" w16cid:durableId="691027427">
    <w:abstractNumId w:val="0"/>
  </w:num>
  <w:num w:numId="3" w16cid:durableId="86466588">
    <w:abstractNumId w:val="4"/>
  </w:num>
  <w:num w:numId="4" w16cid:durableId="2053572993">
    <w:abstractNumId w:val="6"/>
  </w:num>
  <w:num w:numId="5" w16cid:durableId="573275231">
    <w:abstractNumId w:val="7"/>
  </w:num>
  <w:num w:numId="6" w16cid:durableId="1642151935">
    <w:abstractNumId w:val="1"/>
  </w:num>
  <w:num w:numId="7" w16cid:durableId="234047842">
    <w:abstractNumId w:val="3"/>
  </w:num>
  <w:num w:numId="8" w16cid:durableId="8557288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367E"/>
    <w:rsid w:val="000964D6"/>
    <w:rsid w:val="000A3D4D"/>
    <w:rsid w:val="000B0F76"/>
    <w:rsid w:val="000B2BE4"/>
    <w:rsid w:val="000B3DA1"/>
    <w:rsid w:val="000B7F0B"/>
    <w:rsid w:val="000C0FAC"/>
    <w:rsid w:val="000C135E"/>
    <w:rsid w:val="000C1D17"/>
    <w:rsid w:val="000D0397"/>
    <w:rsid w:val="000D1A15"/>
    <w:rsid w:val="000D1B0C"/>
    <w:rsid w:val="000D7DF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156E"/>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0C66"/>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3B52"/>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1A3F"/>
    <w:rsid w:val="004F5824"/>
    <w:rsid w:val="005013F6"/>
    <w:rsid w:val="00505CAD"/>
    <w:rsid w:val="005102E8"/>
    <w:rsid w:val="00510B0D"/>
    <w:rsid w:val="00510D84"/>
    <w:rsid w:val="005238F0"/>
    <w:rsid w:val="00532DD2"/>
    <w:rsid w:val="00535FA7"/>
    <w:rsid w:val="00537A44"/>
    <w:rsid w:val="00542AF3"/>
    <w:rsid w:val="00553F2C"/>
    <w:rsid w:val="005545E7"/>
    <w:rsid w:val="00557509"/>
    <w:rsid w:val="00557F33"/>
    <w:rsid w:val="00560E88"/>
    <w:rsid w:val="00561269"/>
    <w:rsid w:val="005624C8"/>
    <w:rsid w:val="00562776"/>
    <w:rsid w:val="005657DF"/>
    <w:rsid w:val="00567674"/>
    <w:rsid w:val="005767E8"/>
    <w:rsid w:val="00583C75"/>
    <w:rsid w:val="005854EE"/>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28AB"/>
    <w:rsid w:val="00633847"/>
    <w:rsid w:val="00634742"/>
    <w:rsid w:val="006422F2"/>
    <w:rsid w:val="006430EF"/>
    <w:rsid w:val="00660489"/>
    <w:rsid w:val="00661DAB"/>
    <w:rsid w:val="00662717"/>
    <w:rsid w:val="00663D07"/>
    <w:rsid w:val="006647BB"/>
    <w:rsid w:val="00666B2C"/>
    <w:rsid w:val="006700E3"/>
    <w:rsid w:val="00670C52"/>
    <w:rsid w:val="00672448"/>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2AFB"/>
    <w:rsid w:val="008C30CE"/>
    <w:rsid w:val="008C3B0A"/>
    <w:rsid w:val="008D0A64"/>
    <w:rsid w:val="008D1364"/>
    <w:rsid w:val="008D33EE"/>
    <w:rsid w:val="008D5933"/>
    <w:rsid w:val="008E1C1C"/>
    <w:rsid w:val="008E43CC"/>
    <w:rsid w:val="008E6A5C"/>
    <w:rsid w:val="008E73CB"/>
    <w:rsid w:val="008F0C37"/>
    <w:rsid w:val="008F4917"/>
    <w:rsid w:val="008F4FC7"/>
    <w:rsid w:val="0090075C"/>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59A8"/>
    <w:rsid w:val="009A64CA"/>
    <w:rsid w:val="009A78CE"/>
    <w:rsid w:val="009B2050"/>
    <w:rsid w:val="009B3952"/>
    <w:rsid w:val="009B3B86"/>
    <w:rsid w:val="009C03C6"/>
    <w:rsid w:val="009C1790"/>
    <w:rsid w:val="009C3D57"/>
    <w:rsid w:val="009D191E"/>
    <w:rsid w:val="009D4DAF"/>
    <w:rsid w:val="009E1330"/>
    <w:rsid w:val="009F2B82"/>
    <w:rsid w:val="009F59DB"/>
    <w:rsid w:val="00A0474F"/>
    <w:rsid w:val="00A22B93"/>
    <w:rsid w:val="00A22F9E"/>
    <w:rsid w:val="00A23C51"/>
    <w:rsid w:val="00A36AD6"/>
    <w:rsid w:val="00A36FD2"/>
    <w:rsid w:val="00A40A7B"/>
    <w:rsid w:val="00A41DF3"/>
    <w:rsid w:val="00A51816"/>
    <w:rsid w:val="00A51ECC"/>
    <w:rsid w:val="00A53ED0"/>
    <w:rsid w:val="00A56FAF"/>
    <w:rsid w:val="00A5728E"/>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4D5A"/>
    <w:rsid w:val="00B0687D"/>
    <w:rsid w:val="00B07EEC"/>
    <w:rsid w:val="00B14E82"/>
    <w:rsid w:val="00B1551E"/>
    <w:rsid w:val="00B1565F"/>
    <w:rsid w:val="00B15A94"/>
    <w:rsid w:val="00B1603C"/>
    <w:rsid w:val="00B200C4"/>
    <w:rsid w:val="00B21373"/>
    <w:rsid w:val="00B26160"/>
    <w:rsid w:val="00B31A08"/>
    <w:rsid w:val="00B34BCB"/>
    <w:rsid w:val="00B362B3"/>
    <w:rsid w:val="00B362F4"/>
    <w:rsid w:val="00B42CCA"/>
    <w:rsid w:val="00B433F7"/>
    <w:rsid w:val="00B463C1"/>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BF74BA"/>
    <w:rsid w:val="00C058CD"/>
    <w:rsid w:val="00C0609F"/>
    <w:rsid w:val="00C12D0A"/>
    <w:rsid w:val="00C14DF8"/>
    <w:rsid w:val="00C155F7"/>
    <w:rsid w:val="00C15C66"/>
    <w:rsid w:val="00C21317"/>
    <w:rsid w:val="00C22CAC"/>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5C3"/>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37C93"/>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A7E5E"/>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186B"/>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link w:val="ParagraphedelisteCar"/>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CarCarCarCarCar">
    <w:name w:val=" Car Car Car Car Car"/>
    <w:basedOn w:val="Normal"/>
    <w:rsid w:val="0025156E"/>
    <w:pPr>
      <w:spacing w:before="120" w:after="160" w:line="240" w:lineRule="exact"/>
      <w:ind w:firstLine="709"/>
      <w:jc w:val="left"/>
    </w:pPr>
    <w:rPr>
      <w:rFonts w:ascii="Tahoma" w:hAnsi="Tahoma" w:cs="Times New Roman"/>
      <w:kern w:val="0"/>
      <w:lang w:val="en-US" w:eastAsia="en-US"/>
    </w:rPr>
  </w:style>
  <w:style w:type="character" w:customStyle="1" w:styleId="InstructionsCar">
    <w:name w:val="Instructions Car"/>
    <w:link w:val="Instructions"/>
    <w:qFormat/>
    <w:rsid w:val="0025156E"/>
    <w:rPr>
      <w:rFonts w:ascii="Verdana" w:hAnsi="Verdana"/>
      <w:i/>
      <w:color w:val="FF0000"/>
      <w:spacing w:val="-4"/>
      <w:sz w:val="18"/>
      <w:szCs w:val="18"/>
    </w:rPr>
  </w:style>
  <w:style w:type="paragraph" w:customStyle="1" w:styleId="Instructions">
    <w:name w:val="Instructions"/>
    <w:basedOn w:val="Normal"/>
    <w:next w:val="Normal"/>
    <w:link w:val="InstructionsCar"/>
    <w:qFormat/>
    <w:rsid w:val="0025156E"/>
    <w:pPr>
      <w:spacing w:before="120" w:after="0"/>
    </w:pPr>
    <w:rPr>
      <w:rFonts w:ascii="Verdana" w:hAnsi="Verdana" w:cs="Times New Roman"/>
      <w:i/>
      <w:color w:val="FF0000"/>
      <w:spacing w:val="-4"/>
      <w:kern w:val="0"/>
      <w:sz w:val="18"/>
      <w:szCs w:val="18"/>
    </w:rPr>
  </w:style>
  <w:style w:type="character" w:customStyle="1" w:styleId="ParagraphedelisteCar">
    <w:name w:val="Paragraphe de liste Car"/>
    <w:basedOn w:val="Policepardfaut"/>
    <w:link w:val="Paragraphedeliste"/>
    <w:uiPriority w:val="34"/>
    <w:rsid w:val="00D37C93"/>
    <w:rPr>
      <w:rFonts w:ascii="Marianne Light" w:hAnsi="Marianne Light"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2.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936</Words>
  <Characters>5149</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6073</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RIMBAUD Audrey</cp:lastModifiedBy>
  <cp:revision>31</cp:revision>
  <cp:lastPrinted>2019-02-21T09:02:00Z</cp:lastPrinted>
  <dcterms:created xsi:type="dcterms:W3CDTF">2020-12-16T14:42:00Z</dcterms:created>
  <dcterms:modified xsi:type="dcterms:W3CDTF">2024-05-07T16:09:00Z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