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DFE62" w14:textId="68A52DA9" w:rsidR="008D0B8E" w:rsidRPr="0042414C" w:rsidRDefault="00065B81" w:rsidP="00E03096">
      <w:r>
        <w:rPr>
          <w:noProof/>
          <w:lang w:eastAsia="fr-FR"/>
        </w:rPr>
        <w:drawing>
          <wp:anchor distT="0" distB="0" distL="114300" distR="114300" simplePos="0" relativeHeight="251666432" behindDoc="1" locked="0" layoutInCell="1" allowOverlap="1" wp14:anchorId="4B02AB7D" wp14:editId="0969A875">
            <wp:simplePos x="0" y="0"/>
            <wp:positionH relativeFrom="column">
              <wp:posOffset>-425607</wp:posOffset>
            </wp:positionH>
            <wp:positionV relativeFrom="paragraph">
              <wp:posOffset>-413731</wp:posOffset>
            </wp:positionV>
            <wp:extent cx="1920240" cy="1097280"/>
            <wp:effectExtent l="0" t="0" r="3810" b="7620"/>
            <wp:wrapNone/>
            <wp:docPr id="6" name="Image 6" descr="Gouvernement_RVB"/>
            <wp:cNvGraphicFramePr/>
            <a:graphic xmlns:a="http://schemas.openxmlformats.org/drawingml/2006/main">
              <a:graphicData uri="http://schemas.openxmlformats.org/drawingml/2006/picture">
                <pic:pic xmlns:pic="http://schemas.openxmlformats.org/drawingml/2006/picture">
                  <pic:nvPicPr>
                    <pic:cNvPr id="6" name="Image 6" descr="Gouvernement_RVB"/>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1097280"/>
                    </a:xfrm>
                    <a:prstGeom prst="rect">
                      <a:avLst/>
                    </a:prstGeom>
                    <a:noFill/>
                    <a:ln>
                      <a:noFill/>
                    </a:ln>
                  </pic:spPr>
                </pic:pic>
              </a:graphicData>
            </a:graphic>
          </wp:anchor>
        </w:drawing>
      </w:r>
      <w:r w:rsidR="00F42F6D">
        <w:rPr>
          <w:noProof/>
          <w:lang w:eastAsia="fr-FR"/>
        </w:rPr>
        <w:drawing>
          <wp:anchor distT="0" distB="0" distL="114300" distR="114300" simplePos="0" relativeHeight="251665408" behindDoc="0" locked="0" layoutInCell="1" allowOverlap="1" wp14:anchorId="6B99BBB9" wp14:editId="28DE66BB">
            <wp:simplePos x="0" y="0"/>
            <wp:positionH relativeFrom="column">
              <wp:posOffset>2267273</wp:posOffset>
            </wp:positionH>
            <wp:positionV relativeFrom="paragraph">
              <wp:posOffset>-292267</wp:posOffset>
            </wp:positionV>
            <wp:extent cx="1428750" cy="719455"/>
            <wp:effectExtent l="0" t="0" r="0" b="0"/>
            <wp:wrapNone/>
            <wp:docPr id="11" name="Image 1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a:extLst>
                        <a:ext uri="{28A0092B-C50C-407E-A947-70E740481C1C}">
                          <a14:useLocalDpi xmlns:a14="http://schemas.microsoft.com/office/drawing/2010/main" val="0"/>
                        </a:ext>
                      </a:extLst>
                    </a:blip>
                    <a:stretch>
                      <a:fillRect/>
                    </a:stretch>
                  </pic:blipFill>
                  <pic:spPr>
                    <a:xfrm>
                      <a:off x="0" y="0"/>
                      <a:ext cx="1428750" cy="719455"/>
                    </a:xfrm>
                    <a:prstGeom prst="rect">
                      <a:avLst/>
                    </a:prstGeom>
                  </pic:spPr>
                </pic:pic>
              </a:graphicData>
            </a:graphic>
            <wp14:sizeRelH relativeFrom="margin">
              <wp14:pctWidth>0</wp14:pctWidth>
            </wp14:sizeRelH>
          </wp:anchor>
        </w:drawing>
      </w:r>
      <w:r w:rsidR="00C7679A">
        <w:rPr>
          <w:i/>
          <w:noProof/>
          <w:lang w:eastAsia="fr-FR"/>
        </w:rPr>
        <w:drawing>
          <wp:anchor distT="0" distB="0" distL="114300" distR="114300" simplePos="0" relativeHeight="251664384" behindDoc="0" locked="0" layoutInCell="1" allowOverlap="1" wp14:anchorId="6179E878" wp14:editId="7B7EC0FF">
            <wp:simplePos x="0" y="0"/>
            <wp:positionH relativeFrom="column">
              <wp:posOffset>5039360</wp:posOffset>
            </wp:positionH>
            <wp:positionV relativeFrom="paragraph">
              <wp:posOffset>-682459</wp:posOffset>
            </wp:positionV>
            <wp:extent cx="1295981" cy="147764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Ademe2020_FR_RV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981" cy="1477645"/>
                    </a:xfrm>
                    <a:prstGeom prst="rect">
                      <a:avLst/>
                    </a:prstGeom>
                  </pic:spPr>
                </pic:pic>
              </a:graphicData>
            </a:graphic>
            <wp14:sizeRelH relativeFrom="margin">
              <wp14:pctWidth>0</wp14:pctWidth>
            </wp14:sizeRelH>
            <wp14:sizeRelV relativeFrom="margin">
              <wp14:pctHeight>0</wp14:pctHeight>
            </wp14:sizeRelV>
          </wp:anchor>
        </w:drawing>
      </w:r>
    </w:p>
    <w:p w14:paraId="04DBF8AD" w14:textId="022B07C7" w:rsidR="008D0B8E" w:rsidRDefault="008D0B8E" w:rsidP="00E03096"/>
    <w:p w14:paraId="3F668CDC" w14:textId="3EC54B06" w:rsidR="0055334E" w:rsidRDefault="0055334E" w:rsidP="00E03096"/>
    <w:p w14:paraId="59E85208" w14:textId="3F83BAD7" w:rsidR="008D0B8E" w:rsidRDefault="008D0B8E" w:rsidP="00E03096"/>
    <w:p w14:paraId="3270441A" w14:textId="767B08A8" w:rsidR="008D0B8E" w:rsidRDefault="008D0B8E" w:rsidP="00E03096"/>
    <w:p w14:paraId="76B7F404" w14:textId="16628DA3" w:rsidR="00E57FDC" w:rsidRPr="009D1F85" w:rsidRDefault="00C17455" w:rsidP="00E57FDC">
      <w:pPr>
        <w:jc w:val="center"/>
        <w:rPr>
          <w:rFonts w:ascii="Marianne" w:hAnsi="Marianne"/>
          <w:b/>
          <w:bCs/>
          <w:caps/>
          <w:sz w:val="32"/>
          <w:szCs w:val="24"/>
        </w:rPr>
      </w:pPr>
      <w:r w:rsidRPr="00C17455">
        <w:rPr>
          <w:rFonts w:ascii="Marianne" w:hAnsi="Marianne"/>
          <w:b/>
          <w:bCs/>
          <w:caps/>
          <w:sz w:val="32"/>
          <w:szCs w:val="24"/>
        </w:rPr>
        <w:t>PLAN D’INVESTISSEMENT FRANCE 2030</w:t>
      </w:r>
    </w:p>
    <w:p w14:paraId="0A194501" w14:textId="121D17B7" w:rsidR="00E57FDC" w:rsidRPr="009D1F85" w:rsidRDefault="00E57FDC" w:rsidP="00E57FDC">
      <w:pPr>
        <w:jc w:val="center"/>
        <w:rPr>
          <w:rFonts w:ascii="Marianne" w:hAnsi="Marianne"/>
          <w:b/>
          <w:bCs/>
          <w:caps/>
          <w:sz w:val="32"/>
          <w:szCs w:val="24"/>
        </w:rPr>
      </w:pPr>
    </w:p>
    <w:p w14:paraId="0678DB1C" w14:textId="77777777" w:rsidR="00E57FDC" w:rsidRPr="009D1F85" w:rsidRDefault="00E57FDC" w:rsidP="00E57FDC">
      <w:pPr>
        <w:jc w:val="center"/>
        <w:rPr>
          <w:rFonts w:ascii="Marianne" w:hAnsi="Marianne"/>
          <w:b/>
          <w:bCs/>
          <w:caps/>
          <w:sz w:val="32"/>
          <w:szCs w:val="24"/>
        </w:rPr>
      </w:pPr>
    </w:p>
    <w:p w14:paraId="657A66EF" w14:textId="77777777" w:rsidR="00E57FDC" w:rsidRPr="009D1F85" w:rsidRDefault="00E57FDC" w:rsidP="00E57FDC">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0DF7DDBD" w14:textId="5EA36D7E" w:rsidR="00E57FDC" w:rsidRPr="009D1F85" w:rsidRDefault="00C17455" w:rsidP="00E57FDC">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C17455">
        <w:rPr>
          <w:rFonts w:ascii="Marianne" w:hAnsi="Marianne"/>
          <w:b/>
          <w:bCs/>
          <w:caps/>
          <w:sz w:val="32"/>
          <w:szCs w:val="24"/>
        </w:rPr>
        <w:t>AIDE A L</w:t>
      </w:r>
      <w:r>
        <w:rPr>
          <w:rFonts w:ascii="Marianne" w:hAnsi="Marianne"/>
          <w:b/>
          <w:bCs/>
          <w:caps/>
          <w:sz w:val="32"/>
          <w:szCs w:val="24"/>
        </w:rPr>
        <w:t>’</w:t>
      </w:r>
      <w:r w:rsidRPr="00C17455">
        <w:rPr>
          <w:rFonts w:ascii="Marianne" w:hAnsi="Marianne"/>
          <w:b/>
          <w:bCs/>
          <w:caps/>
          <w:sz w:val="32"/>
          <w:szCs w:val="24"/>
        </w:rPr>
        <w:t>INVESTISSEMENT DE L’OFFRE INDUSTRIELLE DES ENERGIES RENOUVELABLES</w:t>
      </w:r>
    </w:p>
    <w:p w14:paraId="79025FB1" w14:textId="4B33B577" w:rsidR="00E57FDC" w:rsidRPr="009D1F85" w:rsidRDefault="00E57FDC" w:rsidP="00E57FDC">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r w:rsidRPr="00E57FDC">
        <w:rPr>
          <w:rFonts w:ascii="Marianne" w:hAnsi="Marianne"/>
          <w:b/>
          <w:bCs/>
          <w:caps/>
          <w:sz w:val="32"/>
          <w:szCs w:val="24"/>
        </w:rPr>
        <w:t xml:space="preserve">AAP </w:t>
      </w:r>
      <w:r w:rsidR="00C17455">
        <w:rPr>
          <w:rFonts w:ascii="Marianne" w:hAnsi="Marianne"/>
          <w:b/>
          <w:bCs/>
          <w:caps/>
          <w:sz w:val="32"/>
          <w:szCs w:val="24"/>
        </w:rPr>
        <w:t>EnR Industrie</w:t>
      </w:r>
    </w:p>
    <w:p w14:paraId="6B1E06CE" w14:textId="77777777" w:rsidR="00E57FDC" w:rsidRPr="009D1F85" w:rsidRDefault="00E57FDC" w:rsidP="00E57FDC">
      <w:pPr>
        <w:pBdr>
          <w:top w:val="single" w:sz="4" w:space="1" w:color="auto"/>
          <w:left w:val="single" w:sz="4" w:space="4" w:color="auto"/>
          <w:bottom w:val="single" w:sz="4" w:space="1" w:color="auto"/>
          <w:right w:val="single" w:sz="4" w:space="4" w:color="auto"/>
        </w:pBdr>
        <w:jc w:val="center"/>
        <w:rPr>
          <w:rFonts w:ascii="Marianne" w:hAnsi="Marianne"/>
          <w:b/>
          <w:bCs/>
          <w:caps/>
          <w:sz w:val="32"/>
          <w:szCs w:val="24"/>
        </w:rPr>
      </w:pPr>
    </w:p>
    <w:p w14:paraId="79F7F043" w14:textId="77777777" w:rsidR="00E57FDC" w:rsidRPr="009D1F85" w:rsidRDefault="00E57FDC" w:rsidP="00E57FDC">
      <w:pPr>
        <w:rPr>
          <w:rFonts w:ascii="Marianne" w:hAnsi="Marianne"/>
        </w:rPr>
      </w:pPr>
    </w:p>
    <w:p w14:paraId="37C93C0B" w14:textId="77777777" w:rsidR="00E57FDC" w:rsidRPr="009D1F85" w:rsidRDefault="00E57FDC" w:rsidP="00E57FDC">
      <w:pPr>
        <w:rPr>
          <w:rFonts w:ascii="Marianne" w:hAnsi="Marianne"/>
        </w:rPr>
      </w:pPr>
    </w:p>
    <w:p w14:paraId="23421D3D" w14:textId="273F2720" w:rsidR="008A4E88" w:rsidRPr="00F1060A" w:rsidRDefault="008A4E88" w:rsidP="005B7D7F">
      <w:pPr>
        <w:pStyle w:val="Notedebasdepage"/>
        <w:rPr>
          <w:rFonts w:cstheme="minorHAnsi"/>
          <w:sz w:val="22"/>
          <w:szCs w:val="22"/>
        </w:rPr>
      </w:pPr>
      <w:r w:rsidRPr="00EF2202">
        <w:rPr>
          <w:b/>
          <w:bCs/>
          <w:sz w:val="22"/>
          <w:szCs w:val="22"/>
        </w:rPr>
        <w:t>Cet appel à projets (ci-après « l’AAP ») est ouvert</w:t>
      </w:r>
      <w:r w:rsidRPr="00EF2202">
        <w:rPr>
          <w:rStyle w:val="Appelnotedebasdep"/>
          <w:b/>
          <w:bCs/>
          <w:sz w:val="22"/>
          <w:szCs w:val="22"/>
        </w:rPr>
        <w:footnoteReference w:id="2"/>
      </w:r>
      <w:r w:rsidRPr="00EF2202">
        <w:rPr>
          <w:b/>
          <w:bCs/>
          <w:sz w:val="22"/>
          <w:szCs w:val="22"/>
        </w:rPr>
        <w:t xml:space="preserve"> à compter du </w:t>
      </w:r>
      <w:r>
        <w:rPr>
          <w:b/>
          <w:bCs/>
          <w:sz w:val="22"/>
          <w:szCs w:val="22"/>
        </w:rPr>
        <w:t>10</w:t>
      </w:r>
      <w:r w:rsidRPr="00EF2202">
        <w:rPr>
          <w:b/>
          <w:bCs/>
          <w:sz w:val="22"/>
          <w:szCs w:val="22"/>
        </w:rPr>
        <w:t>/02/2022</w:t>
      </w:r>
      <w:r>
        <w:rPr>
          <w:b/>
          <w:bCs/>
          <w:sz w:val="22"/>
          <w:szCs w:val="22"/>
        </w:rPr>
        <w:t xml:space="preserve"> et </w:t>
      </w:r>
      <w:r>
        <w:rPr>
          <w:rFonts w:cstheme="minorHAnsi"/>
          <w:sz w:val="22"/>
          <w:szCs w:val="22"/>
        </w:rPr>
        <w:t xml:space="preserve">comprend plusieurs relèves sur les années 2022 à 2024. La première relève se clôturera le </w:t>
      </w:r>
      <w:r w:rsidRPr="00DA0DB5">
        <w:rPr>
          <w:rFonts w:cstheme="minorHAnsi"/>
          <w:sz w:val="22"/>
          <w:szCs w:val="22"/>
        </w:rPr>
        <w:t>30 juin 2022</w:t>
      </w:r>
      <w:r w:rsidR="00AD627C">
        <w:rPr>
          <w:rFonts w:cstheme="minorHAnsi"/>
          <w:sz w:val="22"/>
          <w:szCs w:val="22"/>
        </w:rPr>
        <w:t>.</w:t>
      </w:r>
    </w:p>
    <w:p w14:paraId="0DBD4D30" w14:textId="77777777" w:rsidR="00E57FDC" w:rsidRDefault="00E57FDC" w:rsidP="00E57FDC">
      <w:pPr>
        <w:pStyle w:val="Notedebasdepage"/>
        <w:rPr>
          <w:rFonts w:ascii="Marianne" w:hAnsi="Marianne"/>
          <w:sz w:val="22"/>
          <w:szCs w:val="22"/>
          <w:u w:val="single"/>
        </w:rPr>
      </w:pPr>
    </w:p>
    <w:p w14:paraId="3246F5D1" w14:textId="77777777" w:rsidR="00E57FDC" w:rsidRPr="00023609" w:rsidRDefault="00E57FDC" w:rsidP="00E57FDC">
      <w:pPr>
        <w:pStyle w:val="Notedebasdepage"/>
        <w:rPr>
          <w:rFonts w:ascii="Marianne" w:hAnsi="Marianne"/>
          <w:sz w:val="22"/>
          <w:szCs w:val="22"/>
          <w:u w:val="single"/>
        </w:rPr>
      </w:pPr>
      <w:r w:rsidRPr="00023609">
        <w:rPr>
          <w:rFonts w:ascii="Marianne" w:hAnsi="Marianne"/>
          <w:b/>
          <w:sz w:val="22"/>
          <w:szCs w:val="22"/>
        </w:rPr>
        <w:t>Dossier complet à envoyer par voie électronique sur la plateforme ADEME</w:t>
      </w:r>
      <w:r w:rsidRPr="00023609">
        <w:rPr>
          <w:rFonts w:ascii="Calibri" w:hAnsi="Calibri" w:cs="Calibri"/>
          <w:b/>
          <w:sz w:val="22"/>
          <w:szCs w:val="22"/>
        </w:rPr>
        <w:t> </w:t>
      </w:r>
      <w:r w:rsidRPr="00023609">
        <w:rPr>
          <w:rFonts w:ascii="Marianne" w:hAnsi="Marianne"/>
          <w:b/>
          <w:sz w:val="22"/>
          <w:szCs w:val="22"/>
        </w:rPr>
        <w:t>AGIR sur</w:t>
      </w:r>
      <w:r w:rsidRPr="00023609">
        <w:rPr>
          <w:rFonts w:ascii="Marianne" w:hAnsi="Marianne"/>
          <w:sz w:val="22"/>
          <w:szCs w:val="22"/>
          <w:u w:val="single"/>
        </w:rPr>
        <w:t xml:space="preserve"> </w:t>
      </w:r>
      <w:r w:rsidRPr="00023609">
        <w:rPr>
          <w:rFonts w:ascii="Marianne" w:hAnsi="Marianne" w:cs="Arial"/>
          <w:sz w:val="22"/>
          <w:szCs w:val="22"/>
        </w:rPr>
        <w:t xml:space="preserve"> </w:t>
      </w:r>
      <w:hyperlink r:id="rId11" w:history="1">
        <w:r w:rsidRPr="00023609">
          <w:rPr>
            <w:rStyle w:val="Lienhypertexte"/>
            <w:rFonts w:ascii="Marianne" w:hAnsi="Marianne"/>
            <w:sz w:val="22"/>
            <w:szCs w:val="22"/>
          </w:rPr>
          <w:t>https://entreprises.ademe.fr/</w:t>
        </w:r>
      </w:hyperlink>
    </w:p>
    <w:p w14:paraId="6751226C" w14:textId="77777777" w:rsidR="00E57FDC" w:rsidRPr="00023609" w:rsidRDefault="00427F01" w:rsidP="00E57FDC">
      <w:pPr>
        <w:pStyle w:val="Notedebasdepage"/>
        <w:rPr>
          <w:rFonts w:ascii="Marianne" w:hAnsi="Marianne"/>
          <w:sz w:val="22"/>
          <w:szCs w:val="22"/>
          <w:u w:val="single"/>
        </w:rPr>
      </w:pPr>
      <w:hyperlink r:id="rId12" w:history="1"/>
    </w:p>
    <w:p w14:paraId="7EB60859" w14:textId="7A5E7C58" w:rsidR="0051086B" w:rsidRDefault="0051086B" w:rsidP="0051086B">
      <w:pPr>
        <w:rPr>
          <w:i/>
          <w:iCs/>
          <w:color w:val="10253F"/>
        </w:rPr>
      </w:pPr>
      <w:r w:rsidRPr="00794DC0">
        <w:rPr>
          <w:i/>
          <w:iCs/>
          <w:color w:val="10253F"/>
        </w:rPr>
        <w:t>Les modalités d’aides devront être conformes aux régimes d’aides en vigueur à échéance</w:t>
      </w:r>
      <w:r>
        <w:rPr>
          <w:i/>
          <w:iCs/>
          <w:color w:val="10253F"/>
        </w:rPr>
        <w:t xml:space="preserve"> de la contractualisation</w:t>
      </w:r>
      <w:r w:rsidRPr="00794DC0">
        <w:rPr>
          <w:i/>
          <w:iCs/>
          <w:color w:val="10253F"/>
        </w:rPr>
        <w:t> ; l’ADEME se réserve donc la possibilité d’apporter toute modification rendue nécessaire au regard de l’évolution des encadrements communautaires ou des régimes d’aides applicables.</w:t>
      </w:r>
    </w:p>
    <w:p w14:paraId="2AE451DB" w14:textId="77777777" w:rsidR="00E57FDC" w:rsidRPr="009D1F85" w:rsidRDefault="00E57FDC" w:rsidP="00E57FDC">
      <w:pPr>
        <w:rPr>
          <w:rFonts w:ascii="Marianne" w:hAnsi="Marianne"/>
          <w:sz w:val="28"/>
          <w:szCs w:val="28"/>
          <w:u w:val="single"/>
        </w:rPr>
      </w:pPr>
    </w:p>
    <w:p w14:paraId="2A7DC124" w14:textId="7B592D73" w:rsidR="00815BC3" w:rsidRPr="0007586F" w:rsidRDefault="00E57FDC" w:rsidP="00E03096">
      <w:pPr>
        <w:rPr>
          <w:rFonts w:ascii="Marianne" w:hAnsi="Marianne"/>
          <w:b/>
        </w:rPr>
      </w:pPr>
      <w:r w:rsidRPr="00D967D5">
        <w:rPr>
          <w:rFonts w:ascii="Marianne" w:hAnsi="Marianne"/>
          <w:b/>
        </w:rPr>
        <w:t xml:space="preserve">Contact pour toute information complémentaire par courriel : </w:t>
      </w:r>
      <w:hyperlink r:id="rId13" w:history="1">
        <w:r w:rsidR="00F761F3" w:rsidRPr="00D44B4A">
          <w:rPr>
            <w:rStyle w:val="Lienhypertexte"/>
            <w:rFonts w:ascii="Marianne" w:hAnsi="Marianne"/>
          </w:rPr>
          <w:t>industrieenr@ademe.fr</w:t>
        </w:r>
      </w:hyperlink>
      <w:r w:rsidR="0051086B" w:rsidRPr="00023609">
        <w:rPr>
          <w:rFonts w:ascii="Marianne" w:hAnsi="Marianne"/>
          <w:u w:val="single"/>
        </w:rPr>
        <w:t xml:space="preserve"> </w:t>
      </w:r>
      <w:r w:rsidR="0051086B">
        <w:rPr>
          <w:rFonts w:ascii="Marianne" w:hAnsi="Marianne"/>
          <w:u w:val="single"/>
        </w:rPr>
        <w:br w:type="page"/>
      </w:r>
    </w:p>
    <w:sdt>
      <w:sdtPr>
        <w:rPr>
          <w:rFonts w:ascii="Marianne Thin" w:eastAsiaTheme="minorHAnsi" w:hAnsi="Marianne Thin" w:cstheme="minorBidi"/>
          <w:color w:val="auto"/>
          <w:sz w:val="22"/>
          <w:szCs w:val="22"/>
          <w:lang w:eastAsia="en-US" w:bidi="ar-SA"/>
        </w:rPr>
        <w:id w:val="926459312"/>
        <w:docPartObj>
          <w:docPartGallery w:val="Table of Contents"/>
          <w:docPartUnique/>
        </w:docPartObj>
      </w:sdtPr>
      <w:sdtEndPr>
        <w:rPr>
          <w:b/>
          <w:bCs/>
        </w:rPr>
      </w:sdtEndPr>
      <w:sdtContent>
        <w:p w14:paraId="77669C3D" w14:textId="63A7134C" w:rsidR="00730E66" w:rsidRPr="00926921" w:rsidRDefault="00730E66" w:rsidP="00926921">
          <w:pPr>
            <w:pStyle w:val="Normal11"/>
            <w:jc w:val="center"/>
            <w:rPr>
              <w:rFonts w:ascii="Marianne" w:hAnsi="Marianne"/>
              <w:sz w:val="22"/>
              <w:szCs w:val="22"/>
            </w:rPr>
          </w:pPr>
          <w:r w:rsidRPr="00926921">
            <w:rPr>
              <w:rFonts w:ascii="Marianne" w:hAnsi="Marianne"/>
              <w:sz w:val="22"/>
              <w:szCs w:val="22"/>
            </w:rPr>
            <w:t>Table des matières</w:t>
          </w:r>
        </w:p>
        <w:p w14:paraId="32ADB678" w14:textId="0E926A95" w:rsidR="00427F01" w:rsidRDefault="00730E66">
          <w:pPr>
            <w:pStyle w:val="TM1"/>
            <w:rPr>
              <w:rFonts w:asciiTheme="minorHAnsi" w:eastAsiaTheme="minorEastAsia" w:hAnsiTheme="minorHAnsi"/>
              <w:noProof/>
              <w:lang w:eastAsia="fr-FR"/>
            </w:rPr>
          </w:pPr>
          <w:r>
            <w:fldChar w:fldCharType="begin"/>
          </w:r>
          <w:r>
            <w:instrText xml:space="preserve"> TOC \o "1-3" \h \z \u </w:instrText>
          </w:r>
          <w:r>
            <w:fldChar w:fldCharType="separate"/>
          </w:r>
          <w:hyperlink w:anchor="_Toc95386101" w:history="1">
            <w:r w:rsidR="00427F01" w:rsidRPr="00372497">
              <w:rPr>
                <w:rStyle w:val="Lienhypertexte"/>
                <w:b/>
                <w:noProof/>
              </w:rPr>
              <w:t>1.</w:t>
            </w:r>
            <w:r w:rsidR="00427F01">
              <w:rPr>
                <w:rFonts w:asciiTheme="minorHAnsi" w:eastAsiaTheme="minorEastAsia" w:hAnsiTheme="minorHAnsi"/>
                <w:noProof/>
                <w:lang w:eastAsia="fr-FR"/>
              </w:rPr>
              <w:tab/>
            </w:r>
            <w:r w:rsidR="00427F01" w:rsidRPr="00372497">
              <w:rPr>
                <w:rStyle w:val="Lienhypertexte"/>
                <w:b/>
                <w:noProof/>
              </w:rPr>
              <w:t>Contexte et objectifs de l’AAP</w:t>
            </w:r>
            <w:r w:rsidR="00427F01">
              <w:rPr>
                <w:noProof/>
                <w:webHidden/>
              </w:rPr>
              <w:tab/>
            </w:r>
            <w:r w:rsidR="00427F01">
              <w:rPr>
                <w:noProof/>
                <w:webHidden/>
              </w:rPr>
              <w:fldChar w:fldCharType="begin"/>
            </w:r>
            <w:r w:rsidR="00427F01">
              <w:rPr>
                <w:noProof/>
                <w:webHidden/>
              </w:rPr>
              <w:instrText xml:space="preserve"> PAGEREF _Toc95386101 \h </w:instrText>
            </w:r>
            <w:r w:rsidR="00427F01">
              <w:rPr>
                <w:noProof/>
                <w:webHidden/>
              </w:rPr>
            </w:r>
            <w:r w:rsidR="00427F01">
              <w:rPr>
                <w:noProof/>
                <w:webHidden/>
              </w:rPr>
              <w:fldChar w:fldCharType="separate"/>
            </w:r>
            <w:r w:rsidR="00427F01">
              <w:rPr>
                <w:noProof/>
                <w:webHidden/>
              </w:rPr>
              <w:t>3</w:t>
            </w:r>
            <w:r w:rsidR="00427F01">
              <w:rPr>
                <w:noProof/>
                <w:webHidden/>
              </w:rPr>
              <w:fldChar w:fldCharType="end"/>
            </w:r>
          </w:hyperlink>
        </w:p>
        <w:p w14:paraId="4D3DDCCE" w14:textId="062BE316" w:rsidR="00427F01" w:rsidRDefault="00427F01">
          <w:pPr>
            <w:pStyle w:val="TM1"/>
            <w:rPr>
              <w:rFonts w:asciiTheme="minorHAnsi" w:eastAsiaTheme="minorEastAsia" w:hAnsiTheme="minorHAnsi"/>
              <w:noProof/>
              <w:lang w:eastAsia="fr-FR"/>
            </w:rPr>
          </w:pPr>
          <w:hyperlink w:anchor="_Toc95386102" w:history="1">
            <w:r w:rsidRPr="00372497">
              <w:rPr>
                <w:rStyle w:val="Lienhypertexte"/>
                <w:b/>
                <w:noProof/>
              </w:rPr>
              <w:t>2.</w:t>
            </w:r>
            <w:r>
              <w:rPr>
                <w:rFonts w:asciiTheme="minorHAnsi" w:eastAsiaTheme="minorEastAsia" w:hAnsiTheme="minorHAnsi"/>
                <w:noProof/>
                <w:lang w:eastAsia="fr-FR"/>
              </w:rPr>
              <w:tab/>
            </w:r>
            <w:r w:rsidRPr="00372497">
              <w:rPr>
                <w:rStyle w:val="Lienhypertexte"/>
                <w:b/>
                <w:noProof/>
              </w:rPr>
              <w:t>Typologie des projets attendus</w:t>
            </w:r>
            <w:r>
              <w:rPr>
                <w:noProof/>
                <w:webHidden/>
              </w:rPr>
              <w:tab/>
            </w:r>
            <w:r>
              <w:rPr>
                <w:noProof/>
                <w:webHidden/>
              </w:rPr>
              <w:fldChar w:fldCharType="begin"/>
            </w:r>
            <w:r>
              <w:rPr>
                <w:noProof/>
                <w:webHidden/>
              </w:rPr>
              <w:instrText xml:space="preserve"> PAGEREF _Toc95386102 \h </w:instrText>
            </w:r>
            <w:r>
              <w:rPr>
                <w:noProof/>
                <w:webHidden/>
              </w:rPr>
            </w:r>
            <w:r>
              <w:rPr>
                <w:noProof/>
                <w:webHidden/>
              </w:rPr>
              <w:fldChar w:fldCharType="separate"/>
            </w:r>
            <w:r>
              <w:rPr>
                <w:noProof/>
                <w:webHidden/>
              </w:rPr>
              <w:t>6</w:t>
            </w:r>
            <w:r>
              <w:rPr>
                <w:noProof/>
                <w:webHidden/>
              </w:rPr>
              <w:fldChar w:fldCharType="end"/>
            </w:r>
          </w:hyperlink>
        </w:p>
        <w:p w14:paraId="594CA20D" w14:textId="21BE838B" w:rsidR="00427F01" w:rsidRDefault="00427F01">
          <w:pPr>
            <w:pStyle w:val="TM1"/>
            <w:rPr>
              <w:rFonts w:asciiTheme="minorHAnsi" w:eastAsiaTheme="minorEastAsia" w:hAnsiTheme="minorHAnsi"/>
              <w:noProof/>
              <w:lang w:eastAsia="fr-FR"/>
            </w:rPr>
          </w:pPr>
          <w:hyperlink w:anchor="_Toc95386103" w:history="1">
            <w:r w:rsidRPr="00372497">
              <w:rPr>
                <w:rStyle w:val="Lienhypertexte"/>
                <w:b/>
                <w:noProof/>
              </w:rPr>
              <w:t>3.</w:t>
            </w:r>
            <w:r>
              <w:rPr>
                <w:rFonts w:asciiTheme="minorHAnsi" w:eastAsiaTheme="minorEastAsia" w:hAnsiTheme="minorHAnsi"/>
                <w:noProof/>
                <w:lang w:eastAsia="fr-FR"/>
              </w:rPr>
              <w:tab/>
            </w:r>
            <w:r w:rsidRPr="00372497">
              <w:rPr>
                <w:rStyle w:val="Lienhypertexte"/>
                <w:b/>
                <w:noProof/>
              </w:rPr>
              <w:t>Processus de sélection et d’instruction des projets</w:t>
            </w:r>
            <w:r>
              <w:rPr>
                <w:noProof/>
                <w:webHidden/>
              </w:rPr>
              <w:tab/>
            </w:r>
            <w:r>
              <w:rPr>
                <w:noProof/>
                <w:webHidden/>
              </w:rPr>
              <w:fldChar w:fldCharType="begin"/>
            </w:r>
            <w:r>
              <w:rPr>
                <w:noProof/>
                <w:webHidden/>
              </w:rPr>
              <w:instrText xml:space="preserve"> PAGEREF _Toc95386103 \h </w:instrText>
            </w:r>
            <w:r>
              <w:rPr>
                <w:noProof/>
                <w:webHidden/>
              </w:rPr>
            </w:r>
            <w:r>
              <w:rPr>
                <w:noProof/>
                <w:webHidden/>
              </w:rPr>
              <w:fldChar w:fldCharType="separate"/>
            </w:r>
            <w:r>
              <w:rPr>
                <w:noProof/>
                <w:webHidden/>
              </w:rPr>
              <w:t>10</w:t>
            </w:r>
            <w:r>
              <w:rPr>
                <w:noProof/>
                <w:webHidden/>
              </w:rPr>
              <w:fldChar w:fldCharType="end"/>
            </w:r>
          </w:hyperlink>
        </w:p>
        <w:p w14:paraId="6BF1B70B" w14:textId="6034157D" w:rsidR="00427F01" w:rsidRDefault="00427F01">
          <w:pPr>
            <w:pStyle w:val="TM2"/>
            <w:rPr>
              <w:rFonts w:asciiTheme="minorHAnsi" w:eastAsiaTheme="minorEastAsia" w:hAnsiTheme="minorHAnsi"/>
              <w:noProof/>
              <w:lang w:eastAsia="fr-FR"/>
            </w:rPr>
          </w:pPr>
          <w:hyperlink w:anchor="_Toc95386104" w:history="1">
            <w:r w:rsidRPr="00372497">
              <w:rPr>
                <w:rStyle w:val="Lienhypertexte"/>
                <w:noProof/>
                <w14:scene3d>
                  <w14:camera w14:prst="orthographicFront"/>
                  <w14:lightRig w14:rig="threePt" w14:dir="t">
                    <w14:rot w14:lat="0" w14:lon="0" w14:rev="0"/>
                  </w14:lightRig>
                </w14:scene3d>
              </w:rPr>
              <w:t>3.1.</w:t>
            </w:r>
            <w:r>
              <w:rPr>
                <w:rFonts w:asciiTheme="minorHAnsi" w:eastAsiaTheme="minorEastAsia" w:hAnsiTheme="minorHAnsi"/>
                <w:noProof/>
                <w:lang w:eastAsia="fr-FR"/>
              </w:rPr>
              <w:tab/>
            </w:r>
            <w:r w:rsidRPr="00372497">
              <w:rPr>
                <w:rStyle w:val="Lienhypertexte"/>
                <w:noProof/>
              </w:rPr>
              <w:t>Critères d’éligibilité</w:t>
            </w:r>
            <w:r>
              <w:rPr>
                <w:noProof/>
                <w:webHidden/>
              </w:rPr>
              <w:tab/>
            </w:r>
            <w:r>
              <w:rPr>
                <w:noProof/>
                <w:webHidden/>
              </w:rPr>
              <w:fldChar w:fldCharType="begin"/>
            </w:r>
            <w:r>
              <w:rPr>
                <w:noProof/>
                <w:webHidden/>
              </w:rPr>
              <w:instrText xml:space="preserve"> PAGEREF _Toc95386104 \h </w:instrText>
            </w:r>
            <w:r>
              <w:rPr>
                <w:noProof/>
                <w:webHidden/>
              </w:rPr>
            </w:r>
            <w:r>
              <w:rPr>
                <w:noProof/>
                <w:webHidden/>
              </w:rPr>
              <w:fldChar w:fldCharType="separate"/>
            </w:r>
            <w:r>
              <w:rPr>
                <w:noProof/>
                <w:webHidden/>
              </w:rPr>
              <w:t>10</w:t>
            </w:r>
            <w:r>
              <w:rPr>
                <w:noProof/>
                <w:webHidden/>
              </w:rPr>
              <w:fldChar w:fldCharType="end"/>
            </w:r>
          </w:hyperlink>
        </w:p>
        <w:p w14:paraId="33081789" w14:textId="10367A19" w:rsidR="00427F01" w:rsidRDefault="00427F01">
          <w:pPr>
            <w:pStyle w:val="TM2"/>
            <w:rPr>
              <w:rFonts w:asciiTheme="minorHAnsi" w:eastAsiaTheme="minorEastAsia" w:hAnsiTheme="minorHAnsi"/>
              <w:noProof/>
              <w:lang w:eastAsia="fr-FR"/>
            </w:rPr>
          </w:pPr>
          <w:hyperlink w:anchor="_Toc95386105" w:history="1">
            <w:r w:rsidRPr="00372497">
              <w:rPr>
                <w:rStyle w:val="Lienhypertexte"/>
                <w:noProof/>
                <w14:scene3d>
                  <w14:camera w14:prst="orthographicFront"/>
                  <w14:lightRig w14:rig="threePt" w14:dir="t">
                    <w14:rot w14:lat="0" w14:lon="0" w14:rev="0"/>
                  </w14:lightRig>
                </w14:scene3d>
              </w:rPr>
              <w:t>3.2.</w:t>
            </w:r>
            <w:r>
              <w:rPr>
                <w:rFonts w:asciiTheme="minorHAnsi" w:eastAsiaTheme="minorEastAsia" w:hAnsiTheme="minorHAnsi"/>
                <w:noProof/>
                <w:lang w:eastAsia="fr-FR"/>
              </w:rPr>
              <w:tab/>
            </w:r>
            <w:r w:rsidRPr="00372497">
              <w:rPr>
                <w:rStyle w:val="Lienhypertexte"/>
                <w:noProof/>
              </w:rPr>
              <w:t>Réunion de pré-dépôt</w:t>
            </w:r>
            <w:r>
              <w:rPr>
                <w:noProof/>
                <w:webHidden/>
              </w:rPr>
              <w:tab/>
            </w:r>
            <w:r>
              <w:rPr>
                <w:noProof/>
                <w:webHidden/>
              </w:rPr>
              <w:fldChar w:fldCharType="begin"/>
            </w:r>
            <w:r>
              <w:rPr>
                <w:noProof/>
                <w:webHidden/>
              </w:rPr>
              <w:instrText xml:space="preserve"> PAGEREF _Toc95386105 \h </w:instrText>
            </w:r>
            <w:r>
              <w:rPr>
                <w:noProof/>
                <w:webHidden/>
              </w:rPr>
            </w:r>
            <w:r>
              <w:rPr>
                <w:noProof/>
                <w:webHidden/>
              </w:rPr>
              <w:fldChar w:fldCharType="separate"/>
            </w:r>
            <w:r>
              <w:rPr>
                <w:noProof/>
                <w:webHidden/>
              </w:rPr>
              <w:t>11</w:t>
            </w:r>
            <w:r>
              <w:rPr>
                <w:noProof/>
                <w:webHidden/>
              </w:rPr>
              <w:fldChar w:fldCharType="end"/>
            </w:r>
          </w:hyperlink>
        </w:p>
        <w:p w14:paraId="587BA408" w14:textId="7927036A" w:rsidR="00427F01" w:rsidRDefault="00427F01">
          <w:pPr>
            <w:pStyle w:val="TM2"/>
            <w:rPr>
              <w:rFonts w:asciiTheme="minorHAnsi" w:eastAsiaTheme="minorEastAsia" w:hAnsiTheme="minorHAnsi"/>
              <w:noProof/>
              <w:lang w:eastAsia="fr-FR"/>
            </w:rPr>
          </w:pPr>
          <w:hyperlink w:anchor="_Toc95386106" w:history="1">
            <w:r w:rsidRPr="00372497">
              <w:rPr>
                <w:rStyle w:val="Lienhypertexte"/>
                <w:noProof/>
                <w14:scene3d>
                  <w14:camera w14:prst="orthographicFront"/>
                  <w14:lightRig w14:rig="threePt" w14:dir="t">
                    <w14:rot w14:lat="0" w14:lon="0" w14:rev="0"/>
                  </w14:lightRig>
                </w14:scene3d>
              </w:rPr>
              <w:t>3.3.</w:t>
            </w:r>
            <w:r>
              <w:rPr>
                <w:rFonts w:asciiTheme="minorHAnsi" w:eastAsiaTheme="minorEastAsia" w:hAnsiTheme="minorHAnsi"/>
                <w:noProof/>
                <w:lang w:eastAsia="fr-FR"/>
              </w:rPr>
              <w:tab/>
            </w:r>
            <w:r w:rsidRPr="00372497">
              <w:rPr>
                <w:rStyle w:val="Lienhypertexte"/>
                <w:noProof/>
              </w:rPr>
              <w:t>Dépôt</w:t>
            </w:r>
            <w:r>
              <w:rPr>
                <w:noProof/>
                <w:webHidden/>
              </w:rPr>
              <w:tab/>
            </w:r>
            <w:r>
              <w:rPr>
                <w:noProof/>
                <w:webHidden/>
              </w:rPr>
              <w:fldChar w:fldCharType="begin"/>
            </w:r>
            <w:r>
              <w:rPr>
                <w:noProof/>
                <w:webHidden/>
              </w:rPr>
              <w:instrText xml:space="preserve"> PAGEREF _Toc95386106 \h </w:instrText>
            </w:r>
            <w:r>
              <w:rPr>
                <w:noProof/>
                <w:webHidden/>
              </w:rPr>
            </w:r>
            <w:r>
              <w:rPr>
                <w:noProof/>
                <w:webHidden/>
              </w:rPr>
              <w:fldChar w:fldCharType="separate"/>
            </w:r>
            <w:r>
              <w:rPr>
                <w:noProof/>
                <w:webHidden/>
              </w:rPr>
              <w:t>12</w:t>
            </w:r>
            <w:r>
              <w:rPr>
                <w:noProof/>
                <w:webHidden/>
              </w:rPr>
              <w:fldChar w:fldCharType="end"/>
            </w:r>
          </w:hyperlink>
        </w:p>
        <w:p w14:paraId="1A50A8C4" w14:textId="1534F45F" w:rsidR="00427F01" w:rsidRDefault="00427F01">
          <w:pPr>
            <w:pStyle w:val="TM2"/>
            <w:rPr>
              <w:rFonts w:asciiTheme="minorHAnsi" w:eastAsiaTheme="minorEastAsia" w:hAnsiTheme="minorHAnsi"/>
              <w:noProof/>
              <w:lang w:eastAsia="fr-FR"/>
            </w:rPr>
          </w:pPr>
          <w:hyperlink w:anchor="_Toc95386107" w:history="1">
            <w:r w:rsidRPr="00372497">
              <w:rPr>
                <w:rStyle w:val="Lienhypertexte"/>
                <w:noProof/>
                <w14:scene3d>
                  <w14:camera w14:prst="orthographicFront"/>
                  <w14:lightRig w14:rig="threePt" w14:dir="t">
                    <w14:rot w14:lat="0" w14:lon="0" w14:rev="0"/>
                  </w14:lightRig>
                </w14:scene3d>
              </w:rPr>
              <w:t>3.4.</w:t>
            </w:r>
            <w:r>
              <w:rPr>
                <w:rFonts w:asciiTheme="minorHAnsi" w:eastAsiaTheme="minorEastAsia" w:hAnsiTheme="minorHAnsi"/>
                <w:noProof/>
                <w:lang w:eastAsia="fr-FR"/>
              </w:rPr>
              <w:tab/>
            </w:r>
            <w:r w:rsidRPr="00372497">
              <w:rPr>
                <w:rStyle w:val="Lienhypertexte"/>
                <w:noProof/>
              </w:rPr>
              <w:t>Processus de sélection</w:t>
            </w:r>
            <w:r>
              <w:rPr>
                <w:noProof/>
                <w:webHidden/>
              </w:rPr>
              <w:tab/>
            </w:r>
            <w:r>
              <w:rPr>
                <w:noProof/>
                <w:webHidden/>
              </w:rPr>
              <w:fldChar w:fldCharType="begin"/>
            </w:r>
            <w:r>
              <w:rPr>
                <w:noProof/>
                <w:webHidden/>
              </w:rPr>
              <w:instrText xml:space="preserve"> PAGEREF _Toc95386107 \h </w:instrText>
            </w:r>
            <w:r>
              <w:rPr>
                <w:noProof/>
                <w:webHidden/>
              </w:rPr>
            </w:r>
            <w:r>
              <w:rPr>
                <w:noProof/>
                <w:webHidden/>
              </w:rPr>
              <w:fldChar w:fldCharType="separate"/>
            </w:r>
            <w:r>
              <w:rPr>
                <w:noProof/>
                <w:webHidden/>
              </w:rPr>
              <w:t>12</w:t>
            </w:r>
            <w:r>
              <w:rPr>
                <w:noProof/>
                <w:webHidden/>
              </w:rPr>
              <w:fldChar w:fldCharType="end"/>
            </w:r>
          </w:hyperlink>
        </w:p>
        <w:p w14:paraId="23672339" w14:textId="77F35DE7" w:rsidR="00427F01" w:rsidRDefault="00427F01">
          <w:pPr>
            <w:pStyle w:val="TM2"/>
            <w:rPr>
              <w:rFonts w:asciiTheme="minorHAnsi" w:eastAsiaTheme="minorEastAsia" w:hAnsiTheme="minorHAnsi"/>
              <w:noProof/>
              <w:lang w:eastAsia="fr-FR"/>
            </w:rPr>
          </w:pPr>
          <w:hyperlink w:anchor="_Toc95386108" w:history="1">
            <w:r w:rsidRPr="00372497">
              <w:rPr>
                <w:rStyle w:val="Lienhypertexte"/>
                <w:noProof/>
                <w14:scene3d>
                  <w14:camera w14:prst="orthographicFront"/>
                  <w14:lightRig w14:rig="threePt" w14:dir="t">
                    <w14:rot w14:lat="0" w14:lon="0" w14:rev="0"/>
                  </w14:lightRig>
                </w14:scene3d>
              </w:rPr>
              <w:t>3.5.</w:t>
            </w:r>
            <w:r>
              <w:rPr>
                <w:rFonts w:asciiTheme="minorHAnsi" w:eastAsiaTheme="minorEastAsia" w:hAnsiTheme="minorHAnsi"/>
                <w:noProof/>
                <w:lang w:eastAsia="fr-FR"/>
              </w:rPr>
              <w:tab/>
            </w:r>
            <w:r w:rsidRPr="00372497">
              <w:rPr>
                <w:rStyle w:val="Lienhypertexte"/>
                <w:noProof/>
              </w:rPr>
              <w:t>Contractualisation</w:t>
            </w:r>
            <w:r>
              <w:rPr>
                <w:noProof/>
                <w:webHidden/>
              </w:rPr>
              <w:tab/>
            </w:r>
            <w:r>
              <w:rPr>
                <w:noProof/>
                <w:webHidden/>
              </w:rPr>
              <w:fldChar w:fldCharType="begin"/>
            </w:r>
            <w:r>
              <w:rPr>
                <w:noProof/>
                <w:webHidden/>
              </w:rPr>
              <w:instrText xml:space="preserve"> PAGEREF _Toc95386108 \h </w:instrText>
            </w:r>
            <w:r>
              <w:rPr>
                <w:noProof/>
                <w:webHidden/>
              </w:rPr>
            </w:r>
            <w:r>
              <w:rPr>
                <w:noProof/>
                <w:webHidden/>
              </w:rPr>
              <w:fldChar w:fldCharType="separate"/>
            </w:r>
            <w:r>
              <w:rPr>
                <w:noProof/>
                <w:webHidden/>
              </w:rPr>
              <w:t>12</w:t>
            </w:r>
            <w:r>
              <w:rPr>
                <w:noProof/>
                <w:webHidden/>
              </w:rPr>
              <w:fldChar w:fldCharType="end"/>
            </w:r>
          </w:hyperlink>
        </w:p>
        <w:p w14:paraId="46BF0824" w14:textId="48A25A2F" w:rsidR="00427F01" w:rsidRDefault="00427F01">
          <w:pPr>
            <w:pStyle w:val="TM2"/>
            <w:rPr>
              <w:rFonts w:asciiTheme="minorHAnsi" w:eastAsiaTheme="minorEastAsia" w:hAnsiTheme="minorHAnsi"/>
              <w:noProof/>
              <w:lang w:eastAsia="fr-FR"/>
            </w:rPr>
          </w:pPr>
          <w:hyperlink w:anchor="_Toc95386109" w:history="1">
            <w:r w:rsidRPr="00372497">
              <w:rPr>
                <w:rStyle w:val="Lienhypertexte"/>
                <w:noProof/>
                <w14:scene3d>
                  <w14:camera w14:prst="orthographicFront"/>
                  <w14:lightRig w14:rig="threePt" w14:dir="t">
                    <w14:rot w14:lat="0" w14:lon="0" w14:rev="0"/>
                  </w14:lightRig>
                </w14:scene3d>
              </w:rPr>
              <w:t>3.6.</w:t>
            </w:r>
            <w:r>
              <w:rPr>
                <w:rFonts w:asciiTheme="minorHAnsi" w:eastAsiaTheme="minorEastAsia" w:hAnsiTheme="minorHAnsi"/>
                <w:noProof/>
                <w:lang w:eastAsia="fr-FR"/>
              </w:rPr>
              <w:tab/>
            </w:r>
            <w:r w:rsidRPr="00372497">
              <w:rPr>
                <w:rStyle w:val="Lienhypertexte"/>
                <w:noProof/>
              </w:rPr>
              <w:t>Suivi des projets et versement des aides</w:t>
            </w:r>
            <w:r>
              <w:rPr>
                <w:noProof/>
                <w:webHidden/>
              </w:rPr>
              <w:tab/>
            </w:r>
            <w:r>
              <w:rPr>
                <w:noProof/>
                <w:webHidden/>
              </w:rPr>
              <w:fldChar w:fldCharType="begin"/>
            </w:r>
            <w:r>
              <w:rPr>
                <w:noProof/>
                <w:webHidden/>
              </w:rPr>
              <w:instrText xml:space="preserve"> PAGEREF _Toc95386109 \h </w:instrText>
            </w:r>
            <w:r>
              <w:rPr>
                <w:noProof/>
                <w:webHidden/>
              </w:rPr>
            </w:r>
            <w:r>
              <w:rPr>
                <w:noProof/>
                <w:webHidden/>
              </w:rPr>
              <w:fldChar w:fldCharType="separate"/>
            </w:r>
            <w:r>
              <w:rPr>
                <w:noProof/>
                <w:webHidden/>
              </w:rPr>
              <w:t>13</w:t>
            </w:r>
            <w:r>
              <w:rPr>
                <w:noProof/>
                <w:webHidden/>
              </w:rPr>
              <w:fldChar w:fldCharType="end"/>
            </w:r>
          </w:hyperlink>
        </w:p>
        <w:p w14:paraId="29A81D07" w14:textId="15DD550B" w:rsidR="00427F01" w:rsidRDefault="00427F01">
          <w:pPr>
            <w:pStyle w:val="TM2"/>
            <w:rPr>
              <w:rFonts w:asciiTheme="minorHAnsi" w:eastAsiaTheme="minorEastAsia" w:hAnsiTheme="minorHAnsi"/>
              <w:noProof/>
              <w:lang w:eastAsia="fr-FR"/>
            </w:rPr>
          </w:pPr>
          <w:hyperlink w:anchor="_Toc95386110" w:history="1">
            <w:r w:rsidRPr="00372497">
              <w:rPr>
                <w:rStyle w:val="Lienhypertexte"/>
                <w:noProof/>
                <w14:scene3d>
                  <w14:camera w14:prst="orthographicFront"/>
                  <w14:lightRig w14:rig="threePt" w14:dir="t">
                    <w14:rot w14:lat="0" w14:lon="0" w14:rev="0"/>
                  </w14:lightRig>
                </w14:scene3d>
              </w:rPr>
              <w:t>3.7.</w:t>
            </w:r>
            <w:r>
              <w:rPr>
                <w:rFonts w:asciiTheme="minorHAnsi" w:eastAsiaTheme="minorEastAsia" w:hAnsiTheme="minorHAnsi"/>
                <w:noProof/>
                <w:lang w:eastAsia="fr-FR"/>
              </w:rPr>
              <w:tab/>
            </w:r>
            <w:r w:rsidRPr="00372497">
              <w:rPr>
                <w:rStyle w:val="Lienhypertexte"/>
                <w:noProof/>
              </w:rPr>
              <w:t>Communication</w:t>
            </w:r>
            <w:r>
              <w:rPr>
                <w:noProof/>
                <w:webHidden/>
              </w:rPr>
              <w:tab/>
            </w:r>
            <w:r>
              <w:rPr>
                <w:noProof/>
                <w:webHidden/>
              </w:rPr>
              <w:fldChar w:fldCharType="begin"/>
            </w:r>
            <w:r>
              <w:rPr>
                <w:noProof/>
                <w:webHidden/>
              </w:rPr>
              <w:instrText xml:space="preserve"> PAGEREF _Toc95386110 \h </w:instrText>
            </w:r>
            <w:r>
              <w:rPr>
                <w:noProof/>
                <w:webHidden/>
              </w:rPr>
            </w:r>
            <w:r>
              <w:rPr>
                <w:noProof/>
                <w:webHidden/>
              </w:rPr>
              <w:fldChar w:fldCharType="separate"/>
            </w:r>
            <w:r>
              <w:rPr>
                <w:noProof/>
                <w:webHidden/>
              </w:rPr>
              <w:t>13</w:t>
            </w:r>
            <w:r>
              <w:rPr>
                <w:noProof/>
                <w:webHidden/>
              </w:rPr>
              <w:fldChar w:fldCharType="end"/>
            </w:r>
          </w:hyperlink>
        </w:p>
        <w:p w14:paraId="316E681D" w14:textId="4ADEB281" w:rsidR="00427F01" w:rsidRDefault="00427F01">
          <w:pPr>
            <w:pStyle w:val="TM2"/>
            <w:rPr>
              <w:rFonts w:asciiTheme="minorHAnsi" w:eastAsiaTheme="minorEastAsia" w:hAnsiTheme="minorHAnsi"/>
              <w:noProof/>
              <w:lang w:eastAsia="fr-FR"/>
            </w:rPr>
          </w:pPr>
          <w:hyperlink w:anchor="_Toc95386111" w:history="1">
            <w:r w:rsidRPr="00372497">
              <w:rPr>
                <w:rStyle w:val="Lienhypertexte"/>
                <w:noProof/>
                <w14:scene3d>
                  <w14:camera w14:prst="orthographicFront"/>
                  <w14:lightRig w14:rig="threePt" w14:dir="t">
                    <w14:rot w14:lat="0" w14:lon="0" w14:rev="0"/>
                  </w14:lightRig>
                </w14:scene3d>
              </w:rPr>
              <w:t>3.8.</w:t>
            </w:r>
            <w:r>
              <w:rPr>
                <w:rFonts w:asciiTheme="minorHAnsi" w:eastAsiaTheme="minorEastAsia" w:hAnsiTheme="minorHAnsi"/>
                <w:noProof/>
                <w:lang w:eastAsia="fr-FR"/>
              </w:rPr>
              <w:tab/>
            </w:r>
            <w:r w:rsidRPr="00372497">
              <w:rPr>
                <w:rStyle w:val="Lienhypertexte"/>
                <w:noProof/>
              </w:rPr>
              <w:t>Conditions de reporting</w:t>
            </w:r>
            <w:r>
              <w:rPr>
                <w:noProof/>
                <w:webHidden/>
              </w:rPr>
              <w:tab/>
            </w:r>
            <w:r>
              <w:rPr>
                <w:noProof/>
                <w:webHidden/>
              </w:rPr>
              <w:fldChar w:fldCharType="begin"/>
            </w:r>
            <w:r>
              <w:rPr>
                <w:noProof/>
                <w:webHidden/>
              </w:rPr>
              <w:instrText xml:space="preserve"> PAGEREF _Toc95386111 \h </w:instrText>
            </w:r>
            <w:r>
              <w:rPr>
                <w:noProof/>
                <w:webHidden/>
              </w:rPr>
            </w:r>
            <w:r>
              <w:rPr>
                <w:noProof/>
                <w:webHidden/>
              </w:rPr>
              <w:fldChar w:fldCharType="separate"/>
            </w:r>
            <w:r>
              <w:rPr>
                <w:noProof/>
                <w:webHidden/>
              </w:rPr>
              <w:t>14</w:t>
            </w:r>
            <w:r>
              <w:rPr>
                <w:noProof/>
                <w:webHidden/>
              </w:rPr>
              <w:fldChar w:fldCharType="end"/>
            </w:r>
          </w:hyperlink>
        </w:p>
        <w:p w14:paraId="739D00D1" w14:textId="1BCE4213" w:rsidR="00427F01" w:rsidRDefault="00427F01">
          <w:pPr>
            <w:pStyle w:val="TM2"/>
            <w:rPr>
              <w:rFonts w:asciiTheme="minorHAnsi" w:eastAsiaTheme="minorEastAsia" w:hAnsiTheme="minorHAnsi"/>
              <w:noProof/>
              <w:lang w:eastAsia="fr-FR"/>
            </w:rPr>
          </w:pPr>
          <w:hyperlink w:anchor="_Toc95386112" w:history="1">
            <w:r w:rsidRPr="00372497">
              <w:rPr>
                <w:rStyle w:val="Lienhypertexte"/>
                <w:noProof/>
                <w14:scene3d>
                  <w14:camera w14:prst="orthographicFront"/>
                  <w14:lightRig w14:rig="threePt" w14:dir="t">
                    <w14:rot w14:lat="0" w14:lon="0" w14:rev="0"/>
                  </w14:lightRig>
                </w14:scene3d>
              </w:rPr>
              <w:t>3.9.</w:t>
            </w:r>
            <w:r>
              <w:rPr>
                <w:rFonts w:asciiTheme="minorHAnsi" w:eastAsiaTheme="minorEastAsia" w:hAnsiTheme="minorHAnsi"/>
                <w:noProof/>
                <w:lang w:eastAsia="fr-FR"/>
              </w:rPr>
              <w:tab/>
            </w:r>
            <w:r w:rsidRPr="00372497">
              <w:rPr>
                <w:rStyle w:val="Lienhypertexte"/>
                <w:noProof/>
              </w:rPr>
              <w:t>Règles de confidentialité</w:t>
            </w:r>
            <w:r>
              <w:rPr>
                <w:noProof/>
                <w:webHidden/>
              </w:rPr>
              <w:tab/>
            </w:r>
            <w:r>
              <w:rPr>
                <w:noProof/>
                <w:webHidden/>
              </w:rPr>
              <w:fldChar w:fldCharType="begin"/>
            </w:r>
            <w:r>
              <w:rPr>
                <w:noProof/>
                <w:webHidden/>
              </w:rPr>
              <w:instrText xml:space="preserve"> PAGEREF _Toc95386112 \h </w:instrText>
            </w:r>
            <w:r>
              <w:rPr>
                <w:noProof/>
                <w:webHidden/>
              </w:rPr>
            </w:r>
            <w:r>
              <w:rPr>
                <w:noProof/>
                <w:webHidden/>
              </w:rPr>
              <w:fldChar w:fldCharType="separate"/>
            </w:r>
            <w:r>
              <w:rPr>
                <w:noProof/>
                <w:webHidden/>
              </w:rPr>
              <w:t>14</w:t>
            </w:r>
            <w:r>
              <w:rPr>
                <w:noProof/>
                <w:webHidden/>
              </w:rPr>
              <w:fldChar w:fldCharType="end"/>
            </w:r>
          </w:hyperlink>
        </w:p>
        <w:p w14:paraId="69353B6C" w14:textId="08750C34" w:rsidR="00427F01" w:rsidRDefault="00427F01">
          <w:pPr>
            <w:pStyle w:val="TM1"/>
            <w:rPr>
              <w:rFonts w:asciiTheme="minorHAnsi" w:eastAsiaTheme="minorEastAsia" w:hAnsiTheme="minorHAnsi"/>
              <w:noProof/>
              <w:lang w:eastAsia="fr-FR"/>
            </w:rPr>
          </w:pPr>
          <w:hyperlink w:anchor="_Toc95386113" w:history="1">
            <w:r w:rsidRPr="00372497">
              <w:rPr>
                <w:rStyle w:val="Lienhypertexte"/>
                <w:noProof/>
              </w:rPr>
              <w:t>4.</w:t>
            </w:r>
            <w:r>
              <w:rPr>
                <w:rFonts w:asciiTheme="minorHAnsi" w:eastAsiaTheme="minorEastAsia" w:hAnsiTheme="minorHAnsi"/>
                <w:noProof/>
                <w:lang w:eastAsia="fr-FR"/>
              </w:rPr>
              <w:tab/>
            </w:r>
            <w:r w:rsidRPr="00372497">
              <w:rPr>
                <w:rStyle w:val="Lienhypertexte"/>
                <w:noProof/>
              </w:rPr>
              <w:t>Critères de sélection</w:t>
            </w:r>
            <w:r>
              <w:rPr>
                <w:noProof/>
                <w:webHidden/>
              </w:rPr>
              <w:tab/>
            </w:r>
            <w:r>
              <w:rPr>
                <w:noProof/>
                <w:webHidden/>
              </w:rPr>
              <w:fldChar w:fldCharType="begin"/>
            </w:r>
            <w:r>
              <w:rPr>
                <w:noProof/>
                <w:webHidden/>
              </w:rPr>
              <w:instrText xml:space="preserve"> PAGEREF _Toc95386113 \h </w:instrText>
            </w:r>
            <w:r>
              <w:rPr>
                <w:noProof/>
                <w:webHidden/>
              </w:rPr>
            </w:r>
            <w:r>
              <w:rPr>
                <w:noProof/>
                <w:webHidden/>
              </w:rPr>
              <w:fldChar w:fldCharType="separate"/>
            </w:r>
            <w:r>
              <w:rPr>
                <w:noProof/>
                <w:webHidden/>
              </w:rPr>
              <w:t>14</w:t>
            </w:r>
            <w:r>
              <w:rPr>
                <w:noProof/>
                <w:webHidden/>
              </w:rPr>
              <w:fldChar w:fldCharType="end"/>
            </w:r>
          </w:hyperlink>
        </w:p>
        <w:p w14:paraId="3A3594D9" w14:textId="521466C6" w:rsidR="00427F01" w:rsidRDefault="00427F01">
          <w:pPr>
            <w:pStyle w:val="TM1"/>
            <w:rPr>
              <w:rFonts w:asciiTheme="minorHAnsi" w:eastAsiaTheme="minorEastAsia" w:hAnsiTheme="minorHAnsi"/>
              <w:noProof/>
              <w:lang w:eastAsia="fr-FR"/>
            </w:rPr>
          </w:pPr>
          <w:hyperlink w:anchor="_Toc95386114" w:history="1">
            <w:r w:rsidRPr="00372497">
              <w:rPr>
                <w:rStyle w:val="Lienhypertexte"/>
                <w:noProof/>
              </w:rPr>
              <w:t>5.</w:t>
            </w:r>
            <w:r>
              <w:rPr>
                <w:rFonts w:asciiTheme="minorHAnsi" w:eastAsiaTheme="minorEastAsia" w:hAnsiTheme="minorHAnsi"/>
                <w:noProof/>
                <w:lang w:eastAsia="fr-FR"/>
              </w:rPr>
              <w:tab/>
            </w:r>
            <w:r w:rsidRPr="00372497">
              <w:rPr>
                <w:rStyle w:val="Lienhypertexte"/>
                <w:noProof/>
              </w:rPr>
              <w:t>Régimes d’aide et modalités de financement</w:t>
            </w:r>
            <w:r>
              <w:rPr>
                <w:noProof/>
                <w:webHidden/>
              </w:rPr>
              <w:tab/>
            </w:r>
            <w:r>
              <w:rPr>
                <w:noProof/>
                <w:webHidden/>
              </w:rPr>
              <w:fldChar w:fldCharType="begin"/>
            </w:r>
            <w:r>
              <w:rPr>
                <w:noProof/>
                <w:webHidden/>
              </w:rPr>
              <w:instrText xml:space="preserve"> PAGEREF _Toc95386114 \h </w:instrText>
            </w:r>
            <w:r>
              <w:rPr>
                <w:noProof/>
                <w:webHidden/>
              </w:rPr>
            </w:r>
            <w:r>
              <w:rPr>
                <w:noProof/>
                <w:webHidden/>
              </w:rPr>
              <w:fldChar w:fldCharType="separate"/>
            </w:r>
            <w:r>
              <w:rPr>
                <w:noProof/>
                <w:webHidden/>
              </w:rPr>
              <w:t>16</w:t>
            </w:r>
            <w:r>
              <w:rPr>
                <w:noProof/>
                <w:webHidden/>
              </w:rPr>
              <w:fldChar w:fldCharType="end"/>
            </w:r>
          </w:hyperlink>
        </w:p>
        <w:p w14:paraId="349C10EA" w14:textId="1965BCC8" w:rsidR="00427F01" w:rsidRDefault="00427F01">
          <w:pPr>
            <w:pStyle w:val="TM2"/>
            <w:rPr>
              <w:rFonts w:asciiTheme="minorHAnsi" w:eastAsiaTheme="minorEastAsia" w:hAnsiTheme="minorHAnsi"/>
              <w:noProof/>
              <w:lang w:eastAsia="fr-FR"/>
            </w:rPr>
          </w:pPr>
          <w:hyperlink w:anchor="_Toc95386115" w:history="1">
            <w:r w:rsidRPr="00372497">
              <w:rPr>
                <w:rStyle w:val="Lienhypertexte"/>
                <w:noProof/>
                <w14:scene3d>
                  <w14:camera w14:prst="orthographicFront"/>
                  <w14:lightRig w14:rig="threePt" w14:dir="t">
                    <w14:rot w14:lat="0" w14:lon="0" w14:rev="0"/>
                  </w14:lightRig>
                </w14:scene3d>
              </w:rPr>
              <w:t>5.1.</w:t>
            </w:r>
            <w:r>
              <w:rPr>
                <w:rFonts w:asciiTheme="minorHAnsi" w:eastAsiaTheme="minorEastAsia" w:hAnsiTheme="minorHAnsi"/>
                <w:noProof/>
                <w:lang w:eastAsia="fr-FR"/>
              </w:rPr>
              <w:tab/>
            </w:r>
            <w:r w:rsidRPr="00372497">
              <w:rPr>
                <w:rStyle w:val="Lienhypertexte"/>
                <w:noProof/>
              </w:rPr>
              <w:t>Régime cadre temporaire COVID-19 (régime n°SA.56985 modifié et prolongé par le régime n° SA.100959)</w:t>
            </w:r>
            <w:r>
              <w:rPr>
                <w:noProof/>
                <w:webHidden/>
              </w:rPr>
              <w:tab/>
            </w:r>
            <w:r>
              <w:rPr>
                <w:noProof/>
                <w:webHidden/>
              </w:rPr>
              <w:fldChar w:fldCharType="begin"/>
            </w:r>
            <w:r>
              <w:rPr>
                <w:noProof/>
                <w:webHidden/>
              </w:rPr>
              <w:instrText xml:space="preserve"> PAGEREF _Toc95386115 \h </w:instrText>
            </w:r>
            <w:r>
              <w:rPr>
                <w:noProof/>
                <w:webHidden/>
              </w:rPr>
            </w:r>
            <w:r>
              <w:rPr>
                <w:noProof/>
                <w:webHidden/>
              </w:rPr>
              <w:fldChar w:fldCharType="separate"/>
            </w:r>
            <w:r>
              <w:rPr>
                <w:noProof/>
                <w:webHidden/>
              </w:rPr>
              <w:t>16</w:t>
            </w:r>
            <w:r>
              <w:rPr>
                <w:noProof/>
                <w:webHidden/>
              </w:rPr>
              <w:fldChar w:fldCharType="end"/>
            </w:r>
          </w:hyperlink>
        </w:p>
        <w:p w14:paraId="6241B0CE" w14:textId="54C89986" w:rsidR="00427F01" w:rsidRDefault="00427F01">
          <w:pPr>
            <w:pStyle w:val="TM2"/>
            <w:rPr>
              <w:rFonts w:asciiTheme="minorHAnsi" w:eastAsiaTheme="minorEastAsia" w:hAnsiTheme="minorHAnsi"/>
              <w:noProof/>
              <w:lang w:eastAsia="fr-FR"/>
            </w:rPr>
          </w:pPr>
          <w:hyperlink w:anchor="_Toc95386116" w:history="1">
            <w:r w:rsidRPr="00372497">
              <w:rPr>
                <w:rStyle w:val="Lienhypertexte"/>
                <w:noProof/>
                <w14:scene3d>
                  <w14:camera w14:prst="orthographicFront"/>
                  <w14:lightRig w14:rig="threePt" w14:dir="t">
                    <w14:rot w14:lat="0" w14:lon="0" w14:rev="0"/>
                  </w14:lightRig>
                </w14:scene3d>
              </w:rPr>
              <w:t>5.2.</w:t>
            </w:r>
            <w:r>
              <w:rPr>
                <w:rFonts w:asciiTheme="minorHAnsi" w:eastAsiaTheme="minorEastAsia" w:hAnsiTheme="minorHAnsi"/>
                <w:noProof/>
                <w:lang w:eastAsia="fr-FR"/>
              </w:rPr>
              <w:tab/>
            </w:r>
            <w:r w:rsidRPr="00372497">
              <w:rPr>
                <w:rStyle w:val="Lienhypertexte"/>
                <w:noProof/>
              </w:rPr>
              <w:t>Aides à l’investissement pour une relance durable</w:t>
            </w:r>
            <w:r>
              <w:rPr>
                <w:noProof/>
                <w:webHidden/>
              </w:rPr>
              <w:tab/>
            </w:r>
            <w:r>
              <w:rPr>
                <w:noProof/>
                <w:webHidden/>
              </w:rPr>
              <w:fldChar w:fldCharType="begin"/>
            </w:r>
            <w:r>
              <w:rPr>
                <w:noProof/>
                <w:webHidden/>
              </w:rPr>
              <w:instrText xml:space="preserve"> PAGEREF _Toc95386116 \h </w:instrText>
            </w:r>
            <w:r>
              <w:rPr>
                <w:noProof/>
                <w:webHidden/>
              </w:rPr>
            </w:r>
            <w:r>
              <w:rPr>
                <w:noProof/>
                <w:webHidden/>
              </w:rPr>
              <w:fldChar w:fldCharType="separate"/>
            </w:r>
            <w:r>
              <w:rPr>
                <w:noProof/>
                <w:webHidden/>
              </w:rPr>
              <w:t>17</w:t>
            </w:r>
            <w:r>
              <w:rPr>
                <w:noProof/>
                <w:webHidden/>
              </w:rPr>
              <w:fldChar w:fldCharType="end"/>
            </w:r>
          </w:hyperlink>
        </w:p>
        <w:p w14:paraId="0D28B9D6" w14:textId="11387F0D" w:rsidR="00427F01" w:rsidRDefault="00427F01">
          <w:pPr>
            <w:pStyle w:val="TM2"/>
            <w:rPr>
              <w:rFonts w:asciiTheme="minorHAnsi" w:eastAsiaTheme="minorEastAsia" w:hAnsiTheme="minorHAnsi"/>
              <w:noProof/>
              <w:lang w:eastAsia="fr-FR"/>
            </w:rPr>
          </w:pPr>
          <w:hyperlink w:anchor="_Toc95386117" w:history="1">
            <w:r w:rsidRPr="00372497">
              <w:rPr>
                <w:rStyle w:val="Lienhypertexte"/>
                <w:noProof/>
                <w14:scene3d>
                  <w14:camera w14:prst="orthographicFront"/>
                  <w14:lightRig w14:rig="threePt" w14:dir="t">
                    <w14:rot w14:lat="0" w14:lon="0" w14:rev="0"/>
                  </w14:lightRig>
                </w14:scene3d>
              </w:rPr>
              <w:t>5.3.</w:t>
            </w:r>
            <w:r>
              <w:rPr>
                <w:rFonts w:asciiTheme="minorHAnsi" w:eastAsiaTheme="minorEastAsia" w:hAnsiTheme="minorHAnsi"/>
                <w:noProof/>
                <w:lang w:eastAsia="fr-FR"/>
              </w:rPr>
              <w:tab/>
            </w:r>
            <w:r w:rsidRPr="00372497">
              <w:rPr>
                <w:rStyle w:val="Lienhypertexte"/>
                <w:noProof/>
              </w:rPr>
              <w:t>Régimes cadres horizontaux</w:t>
            </w:r>
            <w:r>
              <w:rPr>
                <w:noProof/>
                <w:webHidden/>
              </w:rPr>
              <w:tab/>
            </w:r>
            <w:r>
              <w:rPr>
                <w:noProof/>
                <w:webHidden/>
              </w:rPr>
              <w:fldChar w:fldCharType="begin"/>
            </w:r>
            <w:r>
              <w:rPr>
                <w:noProof/>
                <w:webHidden/>
              </w:rPr>
              <w:instrText xml:space="preserve"> PAGEREF _Toc95386117 \h </w:instrText>
            </w:r>
            <w:r>
              <w:rPr>
                <w:noProof/>
                <w:webHidden/>
              </w:rPr>
            </w:r>
            <w:r>
              <w:rPr>
                <w:noProof/>
                <w:webHidden/>
              </w:rPr>
              <w:fldChar w:fldCharType="separate"/>
            </w:r>
            <w:r>
              <w:rPr>
                <w:noProof/>
                <w:webHidden/>
              </w:rPr>
              <w:t>17</w:t>
            </w:r>
            <w:r>
              <w:rPr>
                <w:noProof/>
                <w:webHidden/>
              </w:rPr>
              <w:fldChar w:fldCharType="end"/>
            </w:r>
          </w:hyperlink>
        </w:p>
        <w:p w14:paraId="6E6E08E7" w14:textId="4A91BCC0" w:rsidR="00427F01" w:rsidRDefault="00427F01">
          <w:pPr>
            <w:pStyle w:val="TM2"/>
            <w:rPr>
              <w:rFonts w:asciiTheme="minorHAnsi" w:eastAsiaTheme="minorEastAsia" w:hAnsiTheme="minorHAnsi"/>
              <w:noProof/>
              <w:lang w:eastAsia="fr-FR"/>
            </w:rPr>
          </w:pPr>
          <w:hyperlink w:anchor="_Toc95386118" w:history="1">
            <w:r w:rsidRPr="00372497">
              <w:rPr>
                <w:rStyle w:val="Lienhypertexte"/>
                <w:noProof/>
                <w14:scene3d>
                  <w14:camera w14:prst="orthographicFront"/>
                  <w14:lightRig w14:rig="threePt" w14:dir="t">
                    <w14:rot w14:lat="0" w14:lon="0" w14:rev="0"/>
                  </w14:lightRig>
                </w14:scene3d>
              </w:rPr>
              <w:t>5.4.</w:t>
            </w:r>
            <w:r>
              <w:rPr>
                <w:rFonts w:asciiTheme="minorHAnsi" w:eastAsiaTheme="minorEastAsia" w:hAnsiTheme="minorHAnsi"/>
                <w:noProof/>
                <w:lang w:eastAsia="fr-FR"/>
              </w:rPr>
              <w:tab/>
            </w:r>
            <w:r w:rsidRPr="00372497">
              <w:rPr>
                <w:rStyle w:val="Lienhypertexte"/>
                <w:noProof/>
              </w:rPr>
              <w:t>Synthèse des taux d’aide</w:t>
            </w:r>
            <w:r>
              <w:rPr>
                <w:noProof/>
                <w:webHidden/>
              </w:rPr>
              <w:tab/>
            </w:r>
            <w:r>
              <w:rPr>
                <w:noProof/>
                <w:webHidden/>
              </w:rPr>
              <w:fldChar w:fldCharType="begin"/>
            </w:r>
            <w:r>
              <w:rPr>
                <w:noProof/>
                <w:webHidden/>
              </w:rPr>
              <w:instrText xml:space="preserve"> PAGEREF _Toc95386118 \h </w:instrText>
            </w:r>
            <w:r>
              <w:rPr>
                <w:noProof/>
                <w:webHidden/>
              </w:rPr>
            </w:r>
            <w:r>
              <w:rPr>
                <w:noProof/>
                <w:webHidden/>
              </w:rPr>
              <w:fldChar w:fldCharType="separate"/>
            </w:r>
            <w:r>
              <w:rPr>
                <w:noProof/>
                <w:webHidden/>
              </w:rPr>
              <w:t>21</w:t>
            </w:r>
            <w:r>
              <w:rPr>
                <w:noProof/>
                <w:webHidden/>
              </w:rPr>
              <w:fldChar w:fldCharType="end"/>
            </w:r>
          </w:hyperlink>
        </w:p>
        <w:p w14:paraId="0E586EAC" w14:textId="5A13AF81" w:rsidR="00427F01" w:rsidRDefault="00427F01">
          <w:pPr>
            <w:pStyle w:val="TM1"/>
            <w:rPr>
              <w:rFonts w:asciiTheme="minorHAnsi" w:eastAsiaTheme="minorEastAsia" w:hAnsiTheme="minorHAnsi"/>
              <w:noProof/>
              <w:lang w:eastAsia="fr-FR"/>
            </w:rPr>
          </w:pPr>
          <w:hyperlink w:anchor="_Toc95386119" w:history="1">
            <w:r w:rsidRPr="00372497">
              <w:rPr>
                <w:rStyle w:val="Lienhypertexte"/>
                <w:b/>
                <w:noProof/>
              </w:rPr>
              <w:t>6.</w:t>
            </w:r>
            <w:r>
              <w:rPr>
                <w:rFonts w:asciiTheme="minorHAnsi" w:eastAsiaTheme="minorEastAsia" w:hAnsiTheme="minorHAnsi"/>
                <w:noProof/>
                <w:lang w:eastAsia="fr-FR"/>
              </w:rPr>
              <w:tab/>
            </w:r>
            <w:r w:rsidRPr="00372497">
              <w:rPr>
                <w:rStyle w:val="Lienhypertexte"/>
                <w:b/>
                <w:noProof/>
              </w:rPr>
              <w:t>Liste des documents constitutifs d’un dossier</w:t>
            </w:r>
            <w:r>
              <w:rPr>
                <w:noProof/>
                <w:webHidden/>
              </w:rPr>
              <w:tab/>
            </w:r>
            <w:r>
              <w:rPr>
                <w:noProof/>
                <w:webHidden/>
              </w:rPr>
              <w:fldChar w:fldCharType="begin"/>
            </w:r>
            <w:r>
              <w:rPr>
                <w:noProof/>
                <w:webHidden/>
              </w:rPr>
              <w:instrText xml:space="preserve"> PAGEREF _Toc95386119 \h </w:instrText>
            </w:r>
            <w:r>
              <w:rPr>
                <w:noProof/>
                <w:webHidden/>
              </w:rPr>
            </w:r>
            <w:r>
              <w:rPr>
                <w:noProof/>
                <w:webHidden/>
              </w:rPr>
              <w:fldChar w:fldCharType="separate"/>
            </w:r>
            <w:r>
              <w:rPr>
                <w:noProof/>
                <w:webHidden/>
              </w:rPr>
              <w:t>22</w:t>
            </w:r>
            <w:r>
              <w:rPr>
                <w:noProof/>
                <w:webHidden/>
              </w:rPr>
              <w:fldChar w:fldCharType="end"/>
            </w:r>
          </w:hyperlink>
        </w:p>
        <w:p w14:paraId="719A6D8F" w14:textId="3D2A1879" w:rsidR="00427F01" w:rsidRDefault="00427F01">
          <w:pPr>
            <w:pStyle w:val="TM2"/>
            <w:rPr>
              <w:rFonts w:asciiTheme="minorHAnsi" w:eastAsiaTheme="minorEastAsia" w:hAnsiTheme="minorHAnsi"/>
              <w:noProof/>
              <w:lang w:eastAsia="fr-FR"/>
            </w:rPr>
          </w:pPr>
          <w:hyperlink w:anchor="_Toc95386120" w:history="1">
            <w:r w:rsidRPr="00372497">
              <w:rPr>
                <w:rStyle w:val="Lienhypertexte"/>
                <w:noProof/>
                <w14:scene3d>
                  <w14:camera w14:prst="orthographicFront"/>
                  <w14:lightRig w14:rig="threePt" w14:dir="t">
                    <w14:rot w14:lat="0" w14:lon="0" w14:rev="0"/>
                  </w14:lightRig>
                </w14:scene3d>
              </w:rPr>
              <w:t>6.1.</w:t>
            </w:r>
            <w:r>
              <w:rPr>
                <w:rFonts w:asciiTheme="minorHAnsi" w:eastAsiaTheme="minorEastAsia" w:hAnsiTheme="minorHAnsi"/>
                <w:noProof/>
                <w:lang w:eastAsia="fr-FR"/>
              </w:rPr>
              <w:tab/>
            </w:r>
            <w:r w:rsidRPr="00372497">
              <w:rPr>
                <w:rStyle w:val="Lienhypertexte"/>
                <w:noProof/>
              </w:rPr>
              <w:t>Pour un pré dépôt</w:t>
            </w:r>
            <w:r>
              <w:rPr>
                <w:noProof/>
                <w:webHidden/>
              </w:rPr>
              <w:tab/>
            </w:r>
            <w:r>
              <w:rPr>
                <w:noProof/>
                <w:webHidden/>
              </w:rPr>
              <w:fldChar w:fldCharType="begin"/>
            </w:r>
            <w:r>
              <w:rPr>
                <w:noProof/>
                <w:webHidden/>
              </w:rPr>
              <w:instrText xml:space="preserve"> PAGEREF _Toc95386120 \h </w:instrText>
            </w:r>
            <w:r>
              <w:rPr>
                <w:noProof/>
                <w:webHidden/>
              </w:rPr>
            </w:r>
            <w:r>
              <w:rPr>
                <w:noProof/>
                <w:webHidden/>
              </w:rPr>
              <w:fldChar w:fldCharType="separate"/>
            </w:r>
            <w:r>
              <w:rPr>
                <w:noProof/>
                <w:webHidden/>
              </w:rPr>
              <w:t>22</w:t>
            </w:r>
            <w:r>
              <w:rPr>
                <w:noProof/>
                <w:webHidden/>
              </w:rPr>
              <w:fldChar w:fldCharType="end"/>
            </w:r>
          </w:hyperlink>
        </w:p>
        <w:p w14:paraId="4C6A062D" w14:textId="04D3E2B8" w:rsidR="00427F01" w:rsidRDefault="00427F01">
          <w:pPr>
            <w:pStyle w:val="TM2"/>
            <w:rPr>
              <w:rFonts w:asciiTheme="minorHAnsi" w:eastAsiaTheme="minorEastAsia" w:hAnsiTheme="minorHAnsi"/>
              <w:noProof/>
              <w:lang w:eastAsia="fr-FR"/>
            </w:rPr>
          </w:pPr>
          <w:hyperlink w:anchor="_Toc95386121" w:history="1">
            <w:r w:rsidRPr="00372497">
              <w:rPr>
                <w:rStyle w:val="Lienhypertexte"/>
                <w:noProof/>
                <w14:scene3d>
                  <w14:camera w14:prst="orthographicFront"/>
                  <w14:lightRig w14:rig="threePt" w14:dir="t">
                    <w14:rot w14:lat="0" w14:lon="0" w14:rev="0"/>
                  </w14:lightRig>
                </w14:scene3d>
              </w:rPr>
              <w:t>6.2.</w:t>
            </w:r>
            <w:r>
              <w:rPr>
                <w:rFonts w:asciiTheme="minorHAnsi" w:eastAsiaTheme="minorEastAsia" w:hAnsiTheme="minorHAnsi"/>
                <w:noProof/>
                <w:lang w:eastAsia="fr-FR"/>
              </w:rPr>
              <w:tab/>
            </w:r>
            <w:r w:rsidRPr="00372497">
              <w:rPr>
                <w:rStyle w:val="Lienhypertexte"/>
                <w:noProof/>
              </w:rPr>
              <w:t>Pour un dépôt complet</w:t>
            </w:r>
            <w:r>
              <w:rPr>
                <w:noProof/>
                <w:webHidden/>
              </w:rPr>
              <w:tab/>
            </w:r>
            <w:r>
              <w:rPr>
                <w:noProof/>
                <w:webHidden/>
              </w:rPr>
              <w:fldChar w:fldCharType="begin"/>
            </w:r>
            <w:r>
              <w:rPr>
                <w:noProof/>
                <w:webHidden/>
              </w:rPr>
              <w:instrText xml:space="preserve"> PAGEREF _Toc95386121 \h </w:instrText>
            </w:r>
            <w:r>
              <w:rPr>
                <w:noProof/>
                <w:webHidden/>
              </w:rPr>
            </w:r>
            <w:r>
              <w:rPr>
                <w:noProof/>
                <w:webHidden/>
              </w:rPr>
              <w:fldChar w:fldCharType="separate"/>
            </w:r>
            <w:r>
              <w:rPr>
                <w:noProof/>
                <w:webHidden/>
              </w:rPr>
              <w:t>22</w:t>
            </w:r>
            <w:r>
              <w:rPr>
                <w:noProof/>
                <w:webHidden/>
              </w:rPr>
              <w:fldChar w:fldCharType="end"/>
            </w:r>
          </w:hyperlink>
        </w:p>
        <w:p w14:paraId="1A7BD6AC" w14:textId="55902C39" w:rsidR="00427F01" w:rsidRDefault="00427F01">
          <w:pPr>
            <w:pStyle w:val="TM1"/>
            <w:rPr>
              <w:rFonts w:asciiTheme="minorHAnsi" w:eastAsiaTheme="minorEastAsia" w:hAnsiTheme="minorHAnsi"/>
              <w:noProof/>
              <w:lang w:eastAsia="fr-FR"/>
            </w:rPr>
          </w:pPr>
          <w:hyperlink w:anchor="_Toc95386122" w:history="1">
            <w:r w:rsidRPr="00372497">
              <w:rPr>
                <w:rStyle w:val="Lienhypertexte"/>
                <w:b/>
                <w:noProof/>
              </w:rPr>
              <w:t>Annexe A : Critères de performance environnementale</w:t>
            </w:r>
            <w:r>
              <w:rPr>
                <w:noProof/>
                <w:webHidden/>
              </w:rPr>
              <w:tab/>
            </w:r>
            <w:r>
              <w:rPr>
                <w:noProof/>
                <w:webHidden/>
              </w:rPr>
              <w:fldChar w:fldCharType="begin"/>
            </w:r>
            <w:r>
              <w:rPr>
                <w:noProof/>
                <w:webHidden/>
              </w:rPr>
              <w:instrText xml:space="preserve"> PAGEREF _Toc95386122 \h </w:instrText>
            </w:r>
            <w:r>
              <w:rPr>
                <w:noProof/>
                <w:webHidden/>
              </w:rPr>
            </w:r>
            <w:r>
              <w:rPr>
                <w:noProof/>
                <w:webHidden/>
              </w:rPr>
              <w:fldChar w:fldCharType="separate"/>
            </w:r>
            <w:r>
              <w:rPr>
                <w:noProof/>
                <w:webHidden/>
              </w:rPr>
              <w:t>25</w:t>
            </w:r>
            <w:r>
              <w:rPr>
                <w:noProof/>
                <w:webHidden/>
              </w:rPr>
              <w:fldChar w:fldCharType="end"/>
            </w:r>
          </w:hyperlink>
        </w:p>
        <w:p w14:paraId="1BE754A9" w14:textId="2A72A55C" w:rsidR="00427F01" w:rsidRDefault="00427F01">
          <w:pPr>
            <w:pStyle w:val="TM1"/>
            <w:rPr>
              <w:rFonts w:asciiTheme="minorHAnsi" w:eastAsiaTheme="minorEastAsia" w:hAnsiTheme="minorHAnsi"/>
              <w:noProof/>
              <w:lang w:eastAsia="fr-FR"/>
            </w:rPr>
          </w:pPr>
          <w:hyperlink w:anchor="_Toc95386123" w:history="1">
            <w:r w:rsidRPr="00372497">
              <w:rPr>
                <w:rStyle w:val="Lienhypertexte"/>
                <w:b/>
                <w:noProof/>
              </w:rPr>
              <w:t>Annexe B :  Dépenses éligibles</w:t>
            </w:r>
            <w:r>
              <w:rPr>
                <w:noProof/>
                <w:webHidden/>
              </w:rPr>
              <w:tab/>
            </w:r>
            <w:r>
              <w:rPr>
                <w:noProof/>
                <w:webHidden/>
              </w:rPr>
              <w:fldChar w:fldCharType="begin"/>
            </w:r>
            <w:r>
              <w:rPr>
                <w:noProof/>
                <w:webHidden/>
              </w:rPr>
              <w:instrText xml:space="preserve"> PAGEREF _Toc95386123 \h </w:instrText>
            </w:r>
            <w:r>
              <w:rPr>
                <w:noProof/>
                <w:webHidden/>
              </w:rPr>
            </w:r>
            <w:r>
              <w:rPr>
                <w:noProof/>
                <w:webHidden/>
              </w:rPr>
              <w:fldChar w:fldCharType="separate"/>
            </w:r>
            <w:r>
              <w:rPr>
                <w:noProof/>
                <w:webHidden/>
              </w:rPr>
              <w:t>26</w:t>
            </w:r>
            <w:r>
              <w:rPr>
                <w:noProof/>
                <w:webHidden/>
              </w:rPr>
              <w:fldChar w:fldCharType="end"/>
            </w:r>
          </w:hyperlink>
        </w:p>
        <w:p w14:paraId="14A79883" w14:textId="4A9FE049" w:rsidR="00427F01" w:rsidRDefault="00427F01">
          <w:pPr>
            <w:pStyle w:val="TM1"/>
            <w:rPr>
              <w:rFonts w:asciiTheme="minorHAnsi" w:eastAsiaTheme="minorEastAsia" w:hAnsiTheme="minorHAnsi"/>
              <w:noProof/>
              <w:lang w:eastAsia="fr-FR"/>
            </w:rPr>
          </w:pPr>
          <w:hyperlink w:anchor="_Toc95386124" w:history="1">
            <w:r w:rsidRPr="00372497">
              <w:rPr>
                <w:rStyle w:val="Lienhypertexte"/>
                <w:b/>
                <w:noProof/>
              </w:rPr>
              <w:t>Annexe C :  Dates de relèves prévisionnelles de l’AAP</w:t>
            </w:r>
            <w:r>
              <w:rPr>
                <w:noProof/>
                <w:webHidden/>
              </w:rPr>
              <w:tab/>
            </w:r>
            <w:r>
              <w:rPr>
                <w:noProof/>
                <w:webHidden/>
              </w:rPr>
              <w:fldChar w:fldCharType="begin"/>
            </w:r>
            <w:r>
              <w:rPr>
                <w:noProof/>
                <w:webHidden/>
              </w:rPr>
              <w:instrText xml:space="preserve"> PAGEREF _Toc95386124 \h </w:instrText>
            </w:r>
            <w:r>
              <w:rPr>
                <w:noProof/>
                <w:webHidden/>
              </w:rPr>
            </w:r>
            <w:r>
              <w:rPr>
                <w:noProof/>
                <w:webHidden/>
              </w:rPr>
              <w:fldChar w:fldCharType="separate"/>
            </w:r>
            <w:r>
              <w:rPr>
                <w:noProof/>
                <w:webHidden/>
              </w:rPr>
              <w:t>27</w:t>
            </w:r>
            <w:r>
              <w:rPr>
                <w:noProof/>
                <w:webHidden/>
              </w:rPr>
              <w:fldChar w:fldCharType="end"/>
            </w:r>
          </w:hyperlink>
        </w:p>
        <w:p w14:paraId="3684C965" w14:textId="72228DFA" w:rsidR="00730E66" w:rsidRDefault="00730E66">
          <w:r>
            <w:rPr>
              <w:b/>
              <w:bCs/>
            </w:rPr>
            <w:fldChar w:fldCharType="end"/>
          </w:r>
        </w:p>
      </w:sdtContent>
    </w:sdt>
    <w:p w14:paraId="14E9A615" w14:textId="77777777" w:rsidR="00B45931" w:rsidRDefault="00B45931" w:rsidP="00E03096"/>
    <w:p w14:paraId="42740E2C" w14:textId="77777777" w:rsidR="00F253CD" w:rsidRDefault="00F253CD" w:rsidP="00F253CD">
      <w:pPr>
        <w:rPr>
          <w:rFonts w:ascii="Arial" w:hAnsi="Arial"/>
          <w:i/>
          <w:iCs/>
          <w:color w:val="10253F"/>
        </w:rPr>
      </w:pPr>
      <w:r>
        <w:rPr>
          <w:i/>
          <w:iCs/>
          <w:color w:val="10253F"/>
        </w:rPr>
        <w:t xml:space="preserve">L’ADEME se réserve le droit de clore l’appel à projets avant cette date, notamment en </w:t>
      </w:r>
      <w:proofErr w:type="gramStart"/>
      <w:r>
        <w:rPr>
          <w:i/>
          <w:iCs/>
          <w:color w:val="10253F"/>
        </w:rPr>
        <w:t>raison</w:t>
      </w:r>
      <w:proofErr w:type="gramEnd"/>
      <w:r>
        <w:rPr>
          <w:i/>
          <w:iCs/>
          <w:color w:val="10253F"/>
        </w:rPr>
        <w:t xml:space="preserve"> du niveau de consommation de l’enveloppe allouée, en application d’un arrêté du Premier ministre pris sur avis du Secrétariat général pour l’investissement (SGPI). Les informations actualisées seront publiées sur le site de l’AAP.</w:t>
      </w:r>
    </w:p>
    <w:p w14:paraId="2308F914" w14:textId="3FC85C78" w:rsidR="00385445" w:rsidRDefault="0055334E" w:rsidP="00E03096">
      <w:r w:rsidRPr="009D1F85">
        <w:br w:type="page"/>
      </w:r>
    </w:p>
    <w:p w14:paraId="6531E5D9" w14:textId="160A3547" w:rsidR="0055334E" w:rsidRPr="00D967D5" w:rsidRDefault="0055334E" w:rsidP="00FA6D59">
      <w:pPr>
        <w:pStyle w:val="Titre1"/>
        <w:ind w:left="1134" w:hanging="567"/>
        <w:rPr>
          <w:b/>
        </w:rPr>
      </w:pPr>
      <w:bookmarkStart w:id="0" w:name="_Toc90473872"/>
      <w:bookmarkStart w:id="1" w:name="_Toc90473939"/>
      <w:bookmarkStart w:id="2" w:name="_Toc90474066"/>
      <w:bookmarkStart w:id="3" w:name="_Toc90473873"/>
      <w:bookmarkStart w:id="4" w:name="_Toc90473940"/>
      <w:bookmarkStart w:id="5" w:name="_Toc90474067"/>
      <w:bookmarkStart w:id="6" w:name="_Toc90473874"/>
      <w:bookmarkStart w:id="7" w:name="_Toc90473941"/>
      <w:bookmarkStart w:id="8" w:name="_Toc90474068"/>
      <w:bookmarkStart w:id="9" w:name="_Toc90473875"/>
      <w:bookmarkStart w:id="10" w:name="_Toc90473942"/>
      <w:bookmarkStart w:id="11" w:name="_Toc90474069"/>
      <w:bookmarkStart w:id="12" w:name="_Toc61444397"/>
      <w:bookmarkStart w:id="13" w:name="_Toc95386101"/>
      <w:bookmarkEnd w:id="0"/>
      <w:bookmarkEnd w:id="1"/>
      <w:bookmarkEnd w:id="2"/>
      <w:bookmarkEnd w:id="3"/>
      <w:bookmarkEnd w:id="4"/>
      <w:bookmarkEnd w:id="5"/>
      <w:bookmarkEnd w:id="6"/>
      <w:bookmarkEnd w:id="7"/>
      <w:bookmarkEnd w:id="8"/>
      <w:bookmarkEnd w:id="9"/>
      <w:bookmarkEnd w:id="10"/>
      <w:bookmarkEnd w:id="11"/>
      <w:r w:rsidRPr="00D967D5">
        <w:rPr>
          <w:b/>
        </w:rPr>
        <w:lastRenderedPageBreak/>
        <w:t>Contexte et objectifs</w:t>
      </w:r>
      <w:r w:rsidR="001F5B55" w:rsidRPr="00D967D5">
        <w:rPr>
          <w:b/>
        </w:rPr>
        <w:t xml:space="preserve"> de l’AAP</w:t>
      </w:r>
      <w:bookmarkEnd w:id="13"/>
      <w:r w:rsidRPr="00D967D5">
        <w:rPr>
          <w:b/>
        </w:rPr>
        <w:t xml:space="preserve"> </w:t>
      </w:r>
      <w:bookmarkEnd w:id="12"/>
    </w:p>
    <w:p w14:paraId="64C04188" w14:textId="77777777" w:rsidR="00E96461" w:rsidRDefault="00E96461" w:rsidP="00E03096"/>
    <w:p w14:paraId="3B911D80" w14:textId="77777777" w:rsidR="00926921" w:rsidRDefault="00926921" w:rsidP="00926921">
      <w:pPr>
        <w:rPr>
          <w:rFonts w:ascii="Arial" w:hAnsi="Arial"/>
        </w:rPr>
      </w:pPr>
      <w:r>
        <w:t xml:space="preserve">Cet appel à projets s’inscrit dans le cadre du plan d’investissement France 2030, doté de plus de 50 milliards d’euros sur la période 2022-2027, dont 34 milliards d’euros de nouveaux crédits, qui seront investis pour que nos entreprises, nos universités, nos organismes de recherche réussissent pleinement leurs transitions dans ces filières stratégiques. </w:t>
      </w:r>
    </w:p>
    <w:p w14:paraId="48B5D2E3" w14:textId="43CDF18D" w:rsidR="00EA2696" w:rsidRDefault="00EA2696" w:rsidP="00F74F88">
      <w:pPr>
        <w:autoSpaceDE w:val="0"/>
        <w:autoSpaceDN w:val="0"/>
        <w:rPr>
          <w:rFonts w:cstheme="minorHAnsi"/>
        </w:rPr>
      </w:pPr>
    </w:p>
    <w:p w14:paraId="0FBB0FC9" w14:textId="04E32452" w:rsidR="00F74F88" w:rsidRDefault="00F74F88" w:rsidP="00F74F88">
      <w:pPr>
        <w:autoSpaceDE w:val="0"/>
        <w:autoSpaceDN w:val="0"/>
        <w:rPr>
          <w:rFonts w:asciiTheme="minorHAnsi" w:hAnsiTheme="minorHAnsi" w:cstheme="minorHAnsi"/>
        </w:rPr>
      </w:pPr>
      <w:r>
        <w:rPr>
          <w:rFonts w:cstheme="minorHAnsi"/>
        </w:rPr>
        <w:t xml:space="preserve">La transition énergétique est appelée à se poursuivre durablement dans les années à venir conformément aux objectifs définis par l’actuelle programmation pluriannuelle de l’énergie (PPE) et celle à venir devant couvrir la période 2024 à 2033. Selon RTE, le mix électrique français de 2050 comprendra en effet </w:t>
      </w:r>
      <w:proofErr w:type="gramStart"/>
      <w:r>
        <w:rPr>
          <w:rFonts w:cstheme="minorHAnsi"/>
        </w:rPr>
        <w:t>a</w:t>
      </w:r>
      <w:proofErr w:type="gramEnd"/>
      <w:r>
        <w:rPr>
          <w:rFonts w:cstheme="minorHAnsi"/>
        </w:rPr>
        <w:t xml:space="preserve"> minima 50 % d’énergies renouvelables (</w:t>
      </w:r>
      <w:proofErr w:type="spellStart"/>
      <w:r>
        <w:rPr>
          <w:rFonts w:cstheme="minorHAnsi"/>
        </w:rPr>
        <w:t>EnR</w:t>
      </w:r>
      <w:proofErr w:type="spellEnd"/>
      <w:r>
        <w:rPr>
          <w:rFonts w:cstheme="minorHAnsi"/>
        </w:rPr>
        <w:t xml:space="preserve">), et ce même dans un scenario de développement volontaire du nucléaire en complément du maintien de l’existant. La transition énergétique, qui donnera en conséquence une place croissante aux </w:t>
      </w:r>
      <w:proofErr w:type="spellStart"/>
      <w:r>
        <w:rPr>
          <w:rFonts w:cstheme="minorHAnsi"/>
        </w:rPr>
        <w:t>EnR</w:t>
      </w:r>
      <w:proofErr w:type="spellEnd"/>
      <w:r>
        <w:rPr>
          <w:rFonts w:cstheme="minorHAnsi"/>
        </w:rPr>
        <w:t xml:space="preserve"> dans le mix </w:t>
      </w:r>
      <w:r w:rsidR="009C7B7D">
        <w:rPr>
          <w:rFonts w:cstheme="minorHAnsi"/>
        </w:rPr>
        <w:t>énergétique</w:t>
      </w:r>
      <w:r>
        <w:rPr>
          <w:rFonts w:cstheme="minorHAnsi"/>
        </w:rPr>
        <w:t xml:space="preserve">, crée par son ampleur une véritable rupture dans le marché de la production d’énergie électrique ou thermique. La réponse à la transition passe par le développement de produits innovants et leur industrialisation. Sur la base de ces innovations de nouvelles chaînes de valeur industrielles émergeront dans l’ensemble du secteur énergétique. Le développement de ces nouveaux secteurs et produits est propice à la création de nouvelles capacités industrielles en France. C’est tout particulièrement le cas dans le domaine des énergies des </w:t>
      </w:r>
      <w:proofErr w:type="spellStart"/>
      <w:r>
        <w:rPr>
          <w:rFonts w:cstheme="minorHAnsi"/>
        </w:rPr>
        <w:t>EnR</w:t>
      </w:r>
      <w:proofErr w:type="spellEnd"/>
      <w:r>
        <w:rPr>
          <w:rFonts w:cstheme="minorHAnsi"/>
        </w:rPr>
        <w:t xml:space="preserve"> électriques ou thermiques. L’objectif de cet appel à projets est de contribuer à l’émergence des capacités industrielles dans ce domaine en assurant une continuité de l’innovation de rupture à l’industrialisation.</w:t>
      </w:r>
    </w:p>
    <w:p w14:paraId="165949D8" w14:textId="77777777" w:rsidR="00F74F88" w:rsidRDefault="00F74F88" w:rsidP="00F74F88">
      <w:pPr>
        <w:autoSpaceDE w:val="0"/>
        <w:autoSpaceDN w:val="0"/>
        <w:rPr>
          <w:rFonts w:cstheme="minorHAnsi"/>
        </w:rPr>
      </w:pPr>
    </w:p>
    <w:p w14:paraId="7A72A34E" w14:textId="77777777" w:rsidR="00F74F88" w:rsidRDefault="00F74F88" w:rsidP="00F74F88">
      <w:pPr>
        <w:autoSpaceDE w:val="0"/>
        <w:autoSpaceDN w:val="0"/>
        <w:rPr>
          <w:rFonts w:cstheme="minorHAnsi"/>
        </w:rPr>
      </w:pPr>
      <w:r>
        <w:rPr>
          <w:rFonts w:cstheme="minorHAnsi"/>
        </w:rPr>
        <w:t xml:space="preserve">Le développement des chaines de valeurs et technologies dédiées aux </w:t>
      </w:r>
      <w:proofErr w:type="spellStart"/>
      <w:r>
        <w:rPr>
          <w:rFonts w:cstheme="minorHAnsi"/>
        </w:rPr>
        <w:t>EnR</w:t>
      </w:r>
      <w:proofErr w:type="spellEnd"/>
      <w:r>
        <w:rPr>
          <w:rFonts w:cstheme="minorHAnsi"/>
        </w:rPr>
        <w:t xml:space="preserve"> en France est un enjeu pour ne pas substituer à la dépendance énergétique vis-à-vis des importations fossiles une nouvelle dépendance vis-à-vis des autres régions du monde pour l’approvisionnement en composants et technologies nécessaires à sa mise en œuvre. Ce développement contribuera à une mise en œuvre souveraine et résiliente de la transition énergétique. A l’inverse, en l’absence de développement de l’offre de production de ces matériels et solutions en France, l’atteinte des objectifs de la PPE sur chacun de ces segments aura pour conséquence des importations massives.</w:t>
      </w:r>
    </w:p>
    <w:p w14:paraId="1AEFDE40" w14:textId="77777777" w:rsidR="00F74F88" w:rsidRDefault="00F74F88" w:rsidP="00F74F88">
      <w:pPr>
        <w:autoSpaceDE w:val="0"/>
        <w:autoSpaceDN w:val="0"/>
        <w:rPr>
          <w:rFonts w:cstheme="minorHAnsi"/>
        </w:rPr>
      </w:pPr>
    </w:p>
    <w:p w14:paraId="7F2DFAEA" w14:textId="77777777" w:rsidR="00F74F88" w:rsidRDefault="00F74F88" w:rsidP="00F74F88">
      <w:pPr>
        <w:autoSpaceDE w:val="0"/>
        <w:autoSpaceDN w:val="0"/>
        <w:rPr>
          <w:rFonts w:cstheme="minorHAnsi"/>
        </w:rPr>
      </w:pPr>
      <w:r>
        <w:rPr>
          <w:rFonts w:cstheme="minorHAnsi"/>
        </w:rPr>
        <w:t xml:space="preserve">Le développement des industries des </w:t>
      </w:r>
      <w:proofErr w:type="spellStart"/>
      <w:r>
        <w:rPr>
          <w:rFonts w:cstheme="minorHAnsi"/>
        </w:rPr>
        <w:t>EnR</w:t>
      </w:r>
      <w:proofErr w:type="spellEnd"/>
      <w:r>
        <w:rPr>
          <w:rFonts w:cstheme="minorHAnsi"/>
        </w:rPr>
        <w:t xml:space="preserve"> constitue également un relai de croissance économique et de compétitivité pour l’économie française. De nouvelles parts de marché pourront être acquises sur le marché domestique et à l’international par les entreprises produisant en France. Alors que d’autres pays ont entrepris de développer massivement des industries d’</w:t>
      </w:r>
      <w:proofErr w:type="spellStart"/>
      <w:r>
        <w:rPr>
          <w:rFonts w:cstheme="minorHAnsi"/>
        </w:rPr>
        <w:t>EnR</w:t>
      </w:r>
      <w:proofErr w:type="spellEnd"/>
      <w:r>
        <w:rPr>
          <w:rFonts w:cstheme="minorHAnsi"/>
        </w:rPr>
        <w:t xml:space="preserve">, la France poursuit aussi l’objectif de développer des industries compétitives et de devenir </w:t>
      </w:r>
      <w:r>
        <w:rPr>
          <w:rFonts w:cstheme="minorHAnsi"/>
          <w:i/>
        </w:rPr>
        <w:t>leader</w:t>
      </w:r>
      <w:r>
        <w:rPr>
          <w:rFonts w:cstheme="minorHAnsi"/>
        </w:rPr>
        <w:t xml:space="preserve"> sur certains marchés. De même, l’industrie française des </w:t>
      </w:r>
      <w:proofErr w:type="spellStart"/>
      <w:r>
        <w:rPr>
          <w:rFonts w:cstheme="minorHAnsi"/>
        </w:rPr>
        <w:t>EnR</w:t>
      </w:r>
      <w:proofErr w:type="spellEnd"/>
      <w:r>
        <w:rPr>
          <w:rFonts w:cstheme="minorHAnsi"/>
        </w:rPr>
        <w:t xml:space="preserve"> pourrait répondre à la demande d’autres pays, qui ont fixé des objectifs élevés de production d’énergies renouvelables.</w:t>
      </w:r>
    </w:p>
    <w:p w14:paraId="21FFCFA8" w14:textId="77777777" w:rsidR="00F74F88" w:rsidRDefault="00F74F88" w:rsidP="00F74F88">
      <w:pPr>
        <w:autoSpaceDE w:val="0"/>
        <w:autoSpaceDN w:val="0"/>
        <w:rPr>
          <w:rFonts w:cstheme="minorHAnsi"/>
        </w:rPr>
      </w:pPr>
    </w:p>
    <w:p w14:paraId="6DCE2231" w14:textId="77777777" w:rsidR="00F74F88" w:rsidRDefault="00F74F88" w:rsidP="00F74F88">
      <w:pPr>
        <w:autoSpaceDE w:val="0"/>
        <w:autoSpaceDN w:val="0"/>
        <w:rPr>
          <w:rFonts w:cstheme="minorHAnsi"/>
        </w:rPr>
      </w:pPr>
      <w:r>
        <w:rPr>
          <w:rFonts w:cstheme="minorHAnsi"/>
        </w:rPr>
        <w:t xml:space="preserve">Outre que le développement des industries des </w:t>
      </w:r>
      <w:proofErr w:type="spellStart"/>
      <w:r>
        <w:rPr>
          <w:rFonts w:cstheme="minorHAnsi"/>
        </w:rPr>
        <w:t>EnR</w:t>
      </w:r>
      <w:proofErr w:type="spellEnd"/>
      <w:r>
        <w:rPr>
          <w:rFonts w:cstheme="minorHAnsi"/>
        </w:rPr>
        <w:t xml:space="preserve"> constitue une opportunité pour encourager l’émergence de nouveaux acteurs industriels innovants, il s’agit aussi d’un enjeu visant à garantir la pérennité des filières industrielles de l’énergie historiques ayant un contenu local important en termes d’activités et d’emplois sur l’ensemble de la chaine de valeur.</w:t>
      </w:r>
    </w:p>
    <w:p w14:paraId="18029A8E" w14:textId="77777777" w:rsidR="00F74F88" w:rsidRDefault="00F74F88" w:rsidP="00F74F88">
      <w:pPr>
        <w:autoSpaceDE w:val="0"/>
        <w:autoSpaceDN w:val="0"/>
        <w:rPr>
          <w:rFonts w:cstheme="minorHAnsi"/>
        </w:rPr>
      </w:pPr>
    </w:p>
    <w:p w14:paraId="36EFEAAA" w14:textId="29149E24" w:rsidR="00F74F88" w:rsidRDefault="00F74F88" w:rsidP="00F74F88">
      <w:pPr>
        <w:autoSpaceDE w:val="0"/>
        <w:autoSpaceDN w:val="0"/>
        <w:rPr>
          <w:rFonts w:cstheme="minorHAnsi"/>
        </w:rPr>
      </w:pPr>
      <w:r>
        <w:rPr>
          <w:rFonts w:cstheme="minorHAnsi"/>
        </w:rPr>
        <w:t xml:space="preserve">En réponse à ces différents enjeux, le Gouvernement soutient par cet appel à projets pluriannuel le développement de l’offre industrielle dédiée aux </w:t>
      </w:r>
      <w:proofErr w:type="spellStart"/>
      <w:r>
        <w:rPr>
          <w:rFonts w:cstheme="minorHAnsi"/>
        </w:rPr>
        <w:t>EnR</w:t>
      </w:r>
      <w:proofErr w:type="spellEnd"/>
      <w:r>
        <w:rPr>
          <w:rFonts w:cstheme="minorHAnsi"/>
        </w:rPr>
        <w:t xml:space="preserve"> dans le cadre du plan d’investissement «</w:t>
      </w:r>
      <w:r>
        <w:rPr>
          <w:rFonts w:ascii="Calibri" w:hAnsi="Calibri" w:cs="Calibri"/>
        </w:rPr>
        <w:t> </w:t>
      </w:r>
      <w:r>
        <w:rPr>
          <w:rFonts w:cstheme="minorHAnsi"/>
        </w:rPr>
        <w:t>France 2030</w:t>
      </w:r>
      <w:r>
        <w:rPr>
          <w:rFonts w:ascii="Calibri" w:hAnsi="Calibri" w:cs="Calibri"/>
        </w:rPr>
        <w:t> </w:t>
      </w:r>
      <w:r>
        <w:rPr>
          <w:rFonts w:cs="Marianne Thin"/>
        </w:rPr>
        <w:t>»</w:t>
      </w:r>
      <w:r>
        <w:rPr>
          <w:rFonts w:cstheme="minorHAnsi"/>
        </w:rPr>
        <w:t>. Sur les 3</w:t>
      </w:r>
      <w:r w:rsidR="009C7B7D">
        <w:rPr>
          <w:rFonts w:cstheme="minorHAnsi"/>
        </w:rPr>
        <w:t>4</w:t>
      </w:r>
      <w:r>
        <w:rPr>
          <w:rFonts w:cstheme="minorHAnsi"/>
        </w:rPr>
        <w:t xml:space="preserve"> milliards d</w:t>
      </w:r>
      <w:r>
        <w:rPr>
          <w:rFonts w:cs="Marianne Thin"/>
        </w:rPr>
        <w:t>’</w:t>
      </w:r>
      <w:r>
        <w:rPr>
          <w:rFonts w:cstheme="minorHAnsi"/>
        </w:rPr>
        <w:t>euros de ce plan, le Pr</w:t>
      </w:r>
      <w:r>
        <w:rPr>
          <w:rFonts w:cs="Marianne Thin"/>
        </w:rPr>
        <w:t>é</w:t>
      </w:r>
      <w:r>
        <w:rPr>
          <w:rFonts w:cstheme="minorHAnsi"/>
        </w:rPr>
        <w:t xml:space="preserve">sident de la République a annoncé le 12 octobre 2021 un objectif d'investissement de </w:t>
      </w:r>
      <w:r w:rsidR="009C7B7D">
        <w:rPr>
          <w:rFonts w:cstheme="minorHAnsi"/>
        </w:rPr>
        <w:t>4</w:t>
      </w:r>
      <w:r>
        <w:rPr>
          <w:rFonts w:cstheme="minorHAnsi"/>
        </w:rPr>
        <w:t xml:space="preserve">00 millions d'euros dans les technologies de rupture pour les énergies renouvelables, en particulier les éoliennes, terrestres, en mer et le photovoltaïque. L’objectif est de faire émerger en France les champions technologiques de demain dans les secteurs stratégiques de l’économie comme celui des </w:t>
      </w:r>
      <w:proofErr w:type="spellStart"/>
      <w:r>
        <w:rPr>
          <w:rFonts w:cstheme="minorHAnsi"/>
        </w:rPr>
        <w:t>EnR</w:t>
      </w:r>
      <w:proofErr w:type="spellEnd"/>
      <w:r>
        <w:rPr>
          <w:rFonts w:cstheme="minorHAnsi"/>
        </w:rPr>
        <w:t xml:space="preserve">. </w:t>
      </w:r>
    </w:p>
    <w:p w14:paraId="76E794AB" w14:textId="77777777" w:rsidR="00EA2696" w:rsidRDefault="00EA2696" w:rsidP="00F74F88">
      <w:pPr>
        <w:autoSpaceDE w:val="0"/>
        <w:autoSpaceDN w:val="0"/>
        <w:rPr>
          <w:rFonts w:cstheme="minorHAnsi"/>
        </w:rPr>
      </w:pPr>
    </w:p>
    <w:p w14:paraId="005D41F0" w14:textId="1FEBDB2E" w:rsidR="00F74F88" w:rsidRDefault="00F74F88" w:rsidP="00F74F88">
      <w:pPr>
        <w:autoSpaceDE w:val="0"/>
        <w:autoSpaceDN w:val="0"/>
        <w:rPr>
          <w:rFonts w:cstheme="minorHAnsi"/>
        </w:rPr>
      </w:pPr>
      <w:r>
        <w:rPr>
          <w:rFonts w:cstheme="minorHAnsi"/>
        </w:rPr>
        <w:t>Ce soutien à l’investissement productif est complémentaire des priorités définies par ailleurs par le Gouvernement dans la stratégie d’accélération «</w:t>
      </w:r>
      <w:r w:rsidR="00926921">
        <w:rPr>
          <w:rFonts w:cstheme="minorHAnsi"/>
        </w:rPr>
        <w:t xml:space="preserve"> </w:t>
      </w:r>
      <w:r>
        <w:rPr>
          <w:rFonts w:cstheme="minorHAnsi"/>
        </w:rPr>
        <w:t>technologies avancées des systèmes énergétiques</w:t>
      </w:r>
      <w:r w:rsidR="008B6B26">
        <w:rPr>
          <w:rFonts w:cstheme="minorHAnsi"/>
        </w:rPr>
        <w:t xml:space="preserve"> </w:t>
      </w:r>
      <w:r>
        <w:rPr>
          <w:rFonts w:cstheme="minorHAnsi"/>
        </w:rPr>
        <w:t>» du quatrième programme d’investissements d’avenir (PIA4). Cette stratégie vise à répondre aux enjeux de la transition écologique, de la compétitivité et de l’indépendance de l’économie française en priorisant trois volets de la transition énergétique</w:t>
      </w:r>
      <w:r>
        <w:rPr>
          <w:rFonts w:ascii="Calibri" w:hAnsi="Calibri" w:cs="Calibri"/>
        </w:rPr>
        <w:t> </w:t>
      </w:r>
      <w:r>
        <w:rPr>
          <w:rFonts w:cstheme="minorHAnsi"/>
        </w:rPr>
        <w:t>:</w:t>
      </w:r>
    </w:p>
    <w:p w14:paraId="14B7566D" w14:textId="77777777" w:rsidR="00F74F88" w:rsidRDefault="00F74F88" w:rsidP="00F459D6">
      <w:pPr>
        <w:pStyle w:val="Paragraphedeliste"/>
        <w:numPr>
          <w:ilvl w:val="0"/>
          <w:numId w:val="14"/>
        </w:numPr>
        <w:autoSpaceDE w:val="0"/>
        <w:autoSpaceDN w:val="0"/>
        <w:spacing w:after="0"/>
        <w:rPr>
          <w:rFonts w:cstheme="minorHAnsi"/>
        </w:rPr>
      </w:pPr>
      <w:proofErr w:type="gramStart"/>
      <w:r>
        <w:rPr>
          <w:rFonts w:cstheme="minorHAnsi"/>
        </w:rPr>
        <w:t>l’éolien</w:t>
      </w:r>
      <w:proofErr w:type="gramEnd"/>
      <w:r>
        <w:rPr>
          <w:rFonts w:cstheme="minorHAnsi"/>
        </w:rPr>
        <w:t xml:space="preserve"> flottant sur lequel la France peut devenir </w:t>
      </w:r>
      <w:r>
        <w:rPr>
          <w:rFonts w:cstheme="minorHAnsi"/>
          <w:i/>
        </w:rPr>
        <w:t xml:space="preserve">leader </w:t>
      </w:r>
      <w:r>
        <w:rPr>
          <w:rFonts w:cstheme="minorHAnsi"/>
        </w:rPr>
        <w:t xml:space="preserve">en structurant une chaine de valeur complète sur le territoire. Il s’agit d’un axe de développement stratégique en raison de son fort potentiel économique; </w:t>
      </w:r>
    </w:p>
    <w:p w14:paraId="587B5CF4" w14:textId="77777777" w:rsidR="00F74F88" w:rsidRDefault="00F74F88" w:rsidP="00F459D6">
      <w:pPr>
        <w:pStyle w:val="Paragraphedeliste"/>
        <w:numPr>
          <w:ilvl w:val="0"/>
          <w:numId w:val="14"/>
        </w:numPr>
        <w:autoSpaceDE w:val="0"/>
        <w:autoSpaceDN w:val="0"/>
        <w:spacing w:after="0"/>
        <w:rPr>
          <w:rFonts w:cstheme="minorHAnsi"/>
        </w:rPr>
      </w:pPr>
      <w:proofErr w:type="gramStart"/>
      <w:r>
        <w:rPr>
          <w:rFonts w:cstheme="minorHAnsi"/>
        </w:rPr>
        <w:t>le</w:t>
      </w:r>
      <w:proofErr w:type="gramEnd"/>
      <w:r>
        <w:rPr>
          <w:rFonts w:cstheme="minorHAnsi"/>
        </w:rPr>
        <w:t xml:space="preserve"> photovoltaïque afin d’organiser une renaissance de ce secteur au potentiel industriel important en tirant partie des innovations de pointe ;</w:t>
      </w:r>
    </w:p>
    <w:p w14:paraId="0FA9DE2F" w14:textId="77777777" w:rsidR="00F74F88" w:rsidRDefault="00F74F88" w:rsidP="00F459D6">
      <w:pPr>
        <w:pStyle w:val="Paragraphedeliste"/>
        <w:numPr>
          <w:ilvl w:val="0"/>
          <w:numId w:val="14"/>
        </w:numPr>
        <w:autoSpaceDE w:val="0"/>
        <w:autoSpaceDN w:val="0"/>
        <w:spacing w:after="0"/>
        <w:rPr>
          <w:rFonts w:cstheme="minorHAnsi"/>
        </w:rPr>
      </w:pPr>
      <w:proofErr w:type="gramStart"/>
      <w:r>
        <w:rPr>
          <w:rFonts w:cstheme="minorHAnsi"/>
        </w:rPr>
        <w:t>les</w:t>
      </w:r>
      <w:proofErr w:type="gramEnd"/>
      <w:r>
        <w:rPr>
          <w:rFonts w:cstheme="minorHAnsi"/>
        </w:rPr>
        <w:t xml:space="preserve"> réseaux énergétiques dans le but d’assurer l’intégration et le pilotage des </w:t>
      </w:r>
      <w:proofErr w:type="spellStart"/>
      <w:r>
        <w:rPr>
          <w:rFonts w:cstheme="minorHAnsi"/>
        </w:rPr>
        <w:t>EnR</w:t>
      </w:r>
      <w:proofErr w:type="spellEnd"/>
      <w:r>
        <w:rPr>
          <w:rFonts w:cstheme="minorHAnsi"/>
        </w:rPr>
        <w:t xml:space="preserve"> dans les réseaux, dont l’évolution est fondamentale afin que les </w:t>
      </w:r>
      <w:proofErr w:type="spellStart"/>
      <w:r>
        <w:rPr>
          <w:rFonts w:cstheme="minorHAnsi"/>
        </w:rPr>
        <w:t>EnR</w:t>
      </w:r>
      <w:proofErr w:type="spellEnd"/>
      <w:r>
        <w:rPr>
          <w:rFonts w:cstheme="minorHAnsi"/>
        </w:rPr>
        <w:t xml:space="preserve"> aient leur place dans le mix électrique.</w:t>
      </w:r>
    </w:p>
    <w:p w14:paraId="02BD5917" w14:textId="77777777" w:rsidR="00F74F88" w:rsidRDefault="00F74F88" w:rsidP="00F74F88">
      <w:pPr>
        <w:autoSpaceDE w:val="0"/>
        <w:autoSpaceDN w:val="0"/>
        <w:rPr>
          <w:rFonts w:cstheme="minorHAnsi"/>
        </w:rPr>
      </w:pPr>
      <w:r>
        <w:rPr>
          <w:rFonts w:cstheme="minorHAnsi"/>
        </w:rPr>
        <w:t xml:space="preserve">Cette stratégie se traduit par la mise en œuvre de mesures spécifiques en amont de l’industrialisation, comme un soutien à des initiatives de recherche (PEPR par exemple), à des démonstrateurs et briques technologiques, des appels à projets spécifiques ciblant la R&amp;D chez certains acteurs comme les PME ou, encore, le financement de l’adaptation des infrastructures portuaires servant à l’industrie de l’éolien flottant, ou d’actions de formation afin de développer les compétences des personnes devant exercer dans les trois domaines ciblés par la stratégie. </w:t>
      </w:r>
    </w:p>
    <w:p w14:paraId="350F7AAF" w14:textId="77777777" w:rsidR="00F74F88" w:rsidRDefault="00F74F88" w:rsidP="00F74F88">
      <w:pPr>
        <w:autoSpaceDE w:val="0"/>
        <w:autoSpaceDN w:val="0"/>
        <w:rPr>
          <w:rFonts w:cstheme="minorHAnsi"/>
        </w:rPr>
      </w:pPr>
    </w:p>
    <w:p w14:paraId="2DE24F50" w14:textId="79B6FBBE" w:rsidR="00F74F88" w:rsidRDefault="00F74F88" w:rsidP="00F74F88">
      <w:pPr>
        <w:autoSpaceDE w:val="0"/>
        <w:autoSpaceDN w:val="0"/>
        <w:rPr>
          <w:rFonts w:cstheme="minorHAnsi"/>
        </w:rPr>
      </w:pPr>
      <w:r>
        <w:rPr>
          <w:rFonts w:cstheme="minorHAnsi"/>
        </w:rPr>
        <w:t xml:space="preserve">Le présent </w:t>
      </w:r>
      <w:r w:rsidR="007E3E7F">
        <w:rPr>
          <w:rFonts w:cstheme="minorHAnsi"/>
        </w:rPr>
        <w:t xml:space="preserve">appel à projets </w:t>
      </w:r>
      <w:r>
        <w:rPr>
          <w:rFonts w:cstheme="minorHAnsi"/>
        </w:rPr>
        <w:t xml:space="preserve">relevant du plan France 2030 propose une nouvelle approche du soutien à l’investissement de l’innovation de haut niveau, permettant de soutenir des projets de pointe, à forte valeur ajoutée, disruptifs, risqués et ambitieux, avec une sélectivité importante. Dans ce cadre, l’objectif de l’appel à projets est de </w:t>
      </w:r>
      <w:r>
        <w:rPr>
          <w:rFonts w:cstheme="minorHAnsi"/>
        </w:rPr>
        <w:lastRenderedPageBreak/>
        <w:t xml:space="preserve">soutenir les meilleurs projets d’investissement permettant de développer les capacités industrielles dans le domaine des </w:t>
      </w:r>
      <w:proofErr w:type="spellStart"/>
      <w:r>
        <w:rPr>
          <w:rFonts w:cstheme="minorHAnsi"/>
        </w:rPr>
        <w:t>EnR</w:t>
      </w:r>
      <w:proofErr w:type="spellEnd"/>
      <w:r>
        <w:rPr>
          <w:rFonts w:cstheme="minorHAnsi"/>
        </w:rPr>
        <w:t xml:space="preserve"> et d’accompagner l’industrialisation de la production et/ou l’assemblage des composants, y compris des technologies innovantes de réseaux.</w:t>
      </w:r>
    </w:p>
    <w:p w14:paraId="5E098255" w14:textId="77777777" w:rsidR="00F74F88" w:rsidRDefault="00F74F88" w:rsidP="00F74F88">
      <w:pPr>
        <w:autoSpaceDE w:val="0"/>
        <w:autoSpaceDN w:val="0"/>
        <w:rPr>
          <w:rFonts w:cstheme="minorHAnsi"/>
        </w:rPr>
      </w:pPr>
    </w:p>
    <w:p w14:paraId="2DD9E1A7" w14:textId="16D65B9C" w:rsidR="00F74F88" w:rsidRDefault="00F74F88" w:rsidP="00F74F88">
      <w:pPr>
        <w:autoSpaceDE w:val="0"/>
        <w:autoSpaceDN w:val="0"/>
        <w:rPr>
          <w:rFonts w:cstheme="minorHAnsi"/>
        </w:rPr>
      </w:pPr>
      <w:r>
        <w:rPr>
          <w:rFonts w:cstheme="minorHAnsi"/>
        </w:rPr>
        <w:t>Si l’</w:t>
      </w:r>
      <w:r w:rsidR="007E3E7F">
        <w:rPr>
          <w:rFonts w:cstheme="minorHAnsi"/>
        </w:rPr>
        <w:t>appel à projets</w:t>
      </w:r>
      <w:r w:rsidR="00516147">
        <w:rPr>
          <w:rFonts w:cstheme="minorHAnsi"/>
        </w:rPr>
        <w:t xml:space="preserve"> </w:t>
      </w:r>
      <w:r>
        <w:rPr>
          <w:rFonts w:cstheme="minorHAnsi"/>
        </w:rPr>
        <w:t>vise prioritairement l’industrialisation des projets proposant des technologies de rupture, il couvre</w:t>
      </w:r>
      <w:r>
        <w:rPr>
          <w:rStyle w:val="Marquedecommentaire"/>
          <w:rFonts w:cstheme="minorHAnsi"/>
        </w:rPr>
        <w:t xml:space="preserve"> </w:t>
      </w:r>
      <w:r>
        <w:rPr>
          <w:rFonts w:cstheme="minorHAnsi"/>
        </w:rPr>
        <w:t xml:space="preserve">également les projets de fabrication de produits moins innovants, qui sont indispensables pour réduire le niveau de dépendance vis-à-vis de la concurrence étrangère, accompagner la </w:t>
      </w:r>
      <w:proofErr w:type="spellStart"/>
      <w:r>
        <w:rPr>
          <w:rFonts w:cstheme="minorHAnsi"/>
        </w:rPr>
        <w:t>ré-industrialisation</w:t>
      </w:r>
      <w:proofErr w:type="spellEnd"/>
      <w:r>
        <w:rPr>
          <w:rFonts w:cstheme="minorHAnsi"/>
        </w:rPr>
        <w:t xml:space="preserve"> et tenir les engagements climatiques nationaux. A cet égard, les développements de composants industriels essentiels à la consolidation des filières pourront être soutenus dès lors qu’ils remplissent un ou plusieurs de ces critères, et qu’ils sont considérés comme structurants et ayant un impact sur une partie significative des acteurs de la chaine de valeur. Ces projets seront choisis de façon sélective.</w:t>
      </w:r>
    </w:p>
    <w:p w14:paraId="0404E7F1" w14:textId="0B77D88B" w:rsidR="00B83BF3" w:rsidRPr="00E03096" w:rsidRDefault="00364952" w:rsidP="00E03096">
      <w:r>
        <w:br w:type="page"/>
      </w:r>
    </w:p>
    <w:p w14:paraId="13FE9C37" w14:textId="71838A33" w:rsidR="0055334E" w:rsidRDefault="00E012A9" w:rsidP="00FA6D59">
      <w:pPr>
        <w:pStyle w:val="Titre1"/>
        <w:ind w:left="1134" w:hanging="567"/>
        <w:rPr>
          <w:b/>
        </w:rPr>
      </w:pPr>
      <w:bookmarkStart w:id="14" w:name="_Toc95386102"/>
      <w:r>
        <w:rPr>
          <w:b/>
        </w:rPr>
        <w:lastRenderedPageBreak/>
        <w:t>Typologie des projets attendus</w:t>
      </w:r>
      <w:bookmarkEnd w:id="14"/>
    </w:p>
    <w:p w14:paraId="7932BE7D" w14:textId="77777777" w:rsidR="0006631A" w:rsidRPr="0006631A" w:rsidRDefault="0006631A" w:rsidP="0006631A"/>
    <w:p w14:paraId="5E1B31A0" w14:textId="3D736E2D" w:rsidR="00990C92" w:rsidRPr="00926921" w:rsidRDefault="00926921" w:rsidP="00926921">
      <w:pPr>
        <w:pStyle w:val="Normal11"/>
        <w:rPr>
          <w:rFonts w:ascii="Marianne" w:hAnsi="Marianne"/>
          <w:sz w:val="22"/>
          <w:szCs w:val="22"/>
        </w:rPr>
      </w:pPr>
      <w:bookmarkStart w:id="15" w:name="_Toc94546290"/>
      <w:bookmarkStart w:id="16" w:name="_Ref94197643"/>
      <w:r w:rsidRPr="00926921">
        <w:rPr>
          <w:rFonts w:ascii="Marianne" w:hAnsi="Marianne"/>
          <w:sz w:val="22"/>
          <w:szCs w:val="22"/>
        </w:rPr>
        <w:t xml:space="preserve">2.1 </w:t>
      </w:r>
      <w:r w:rsidR="00F74F88" w:rsidRPr="00926921">
        <w:rPr>
          <w:rFonts w:ascii="Marianne" w:hAnsi="Marianne"/>
          <w:sz w:val="22"/>
          <w:szCs w:val="22"/>
        </w:rPr>
        <w:t>Cible de l’appel à projets, nature des projets et nature des porteurs de projets</w:t>
      </w:r>
      <w:bookmarkEnd w:id="15"/>
      <w:bookmarkEnd w:id="16"/>
    </w:p>
    <w:p w14:paraId="67BA2E23" w14:textId="77777777" w:rsidR="00601977" w:rsidRPr="00601977" w:rsidRDefault="00601977" w:rsidP="00601977"/>
    <w:p w14:paraId="56F1E417" w14:textId="77777777" w:rsidR="00F74F88" w:rsidRPr="00F74F88" w:rsidRDefault="00F74F88" w:rsidP="00F459D6">
      <w:pPr>
        <w:pStyle w:val="Paragraphedeliste"/>
        <w:numPr>
          <w:ilvl w:val="0"/>
          <w:numId w:val="16"/>
        </w:numPr>
        <w:autoSpaceDE w:val="0"/>
        <w:autoSpaceDN w:val="0"/>
        <w:spacing w:after="0"/>
        <w:rPr>
          <w:rFonts w:asciiTheme="minorHAnsi" w:hAnsiTheme="minorHAnsi" w:cstheme="minorHAnsi"/>
          <w:b/>
        </w:rPr>
      </w:pPr>
      <w:r w:rsidRPr="00F74F88">
        <w:rPr>
          <w:rFonts w:cstheme="minorHAnsi"/>
          <w:b/>
        </w:rPr>
        <w:t>La cible de l’appel à projet</w:t>
      </w:r>
    </w:p>
    <w:p w14:paraId="18C81914" w14:textId="77777777" w:rsidR="00F74F88" w:rsidRDefault="00F74F88" w:rsidP="00F74F88">
      <w:pPr>
        <w:autoSpaceDE w:val="0"/>
        <w:autoSpaceDN w:val="0"/>
        <w:rPr>
          <w:rFonts w:cstheme="minorHAnsi"/>
        </w:rPr>
      </w:pPr>
      <w:r>
        <w:rPr>
          <w:rFonts w:cstheme="minorHAnsi"/>
        </w:rPr>
        <w:t xml:space="preserve">Cet appel à projets s’adresse aux entreprises ayant un projet d’investissement en France se présentant sous la forme : </w:t>
      </w:r>
    </w:p>
    <w:p w14:paraId="4F76DC1F" w14:textId="77777777" w:rsidR="00F74F88" w:rsidRDefault="00F74F88" w:rsidP="00F459D6">
      <w:pPr>
        <w:pStyle w:val="Paragraphedeliste"/>
        <w:numPr>
          <w:ilvl w:val="0"/>
          <w:numId w:val="17"/>
        </w:numPr>
        <w:autoSpaceDE w:val="0"/>
        <w:autoSpaceDN w:val="0"/>
        <w:spacing w:after="0"/>
        <w:ind w:left="1276" w:hanging="425"/>
        <w:rPr>
          <w:rFonts w:cstheme="minorHAnsi"/>
        </w:rPr>
      </w:pPr>
      <w:proofErr w:type="gramStart"/>
      <w:r>
        <w:rPr>
          <w:rFonts w:cstheme="minorHAnsi"/>
        </w:rPr>
        <w:t>de</w:t>
      </w:r>
      <w:proofErr w:type="gramEnd"/>
      <w:r>
        <w:rPr>
          <w:rFonts w:cstheme="minorHAnsi"/>
        </w:rPr>
        <w:t xml:space="preserve"> créations de nouvelles unités de production</w:t>
      </w:r>
      <w:r>
        <w:rPr>
          <w:rFonts w:ascii="Calibri" w:hAnsi="Calibri" w:cs="Calibri"/>
        </w:rPr>
        <w:t> </w:t>
      </w:r>
      <w:r>
        <w:rPr>
          <w:rFonts w:cstheme="minorHAnsi"/>
        </w:rPr>
        <w:t>de composants ou de produits finis ;</w:t>
      </w:r>
    </w:p>
    <w:p w14:paraId="1DE77285" w14:textId="77777777" w:rsidR="00F74F88" w:rsidRDefault="00F74F88" w:rsidP="00F459D6">
      <w:pPr>
        <w:pStyle w:val="Paragraphedeliste"/>
        <w:numPr>
          <w:ilvl w:val="0"/>
          <w:numId w:val="17"/>
        </w:numPr>
        <w:autoSpaceDE w:val="0"/>
        <w:autoSpaceDN w:val="0"/>
        <w:spacing w:after="0"/>
        <w:ind w:left="1276" w:hanging="425"/>
        <w:rPr>
          <w:rFonts w:cstheme="minorHAnsi"/>
        </w:rPr>
      </w:pPr>
      <w:proofErr w:type="gramStart"/>
      <w:r>
        <w:rPr>
          <w:rFonts w:cstheme="minorHAnsi"/>
        </w:rPr>
        <w:t>d’investissements</w:t>
      </w:r>
      <w:proofErr w:type="gramEnd"/>
      <w:r>
        <w:rPr>
          <w:rFonts w:cstheme="minorHAnsi"/>
        </w:rPr>
        <w:t xml:space="preserve"> dans des unités de production existantes pour augmenter leurs capacités de production ou la diversification vers la production de matériels répondant aux nouveaux marchés de la transition énergétique. </w:t>
      </w:r>
    </w:p>
    <w:p w14:paraId="53212950" w14:textId="77777777" w:rsidR="00F74F88" w:rsidRDefault="00F74F88" w:rsidP="00F74F88">
      <w:pPr>
        <w:autoSpaceDE w:val="0"/>
        <w:autoSpaceDN w:val="0"/>
        <w:rPr>
          <w:rFonts w:cstheme="minorHAnsi"/>
        </w:rPr>
      </w:pPr>
    </w:p>
    <w:p w14:paraId="3A3AC977" w14:textId="2347F724" w:rsidR="00F74F88" w:rsidRDefault="00F74F88" w:rsidP="00F74F88">
      <w:pPr>
        <w:autoSpaceDE w:val="0"/>
        <w:autoSpaceDN w:val="0"/>
        <w:rPr>
          <w:rFonts w:cstheme="minorHAnsi"/>
        </w:rPr>
      </w:pPr>
      <w:r>
        <w:rPr>
          <w:rFonts w:cstheme="minorHAnsi"/>
        </w:rPr>
        <w:t>Le soutien au premier déploiement industriel ayant dépassé le stade de la recherche et développement (R&amp;D), permettant de garantir l’industrialisation en France des innovations développées antérieurement grâce à des soutiens publics, notamment dans le cadre de la stratégie d’accélération «</w:t>
      </w:r>
      <w:r w:rsidR="00926921">
        <w:rPr>
          <w:rFonts w:cstheme="minorHAnsi"/>
        </w:rPr>
        <w:t xml:space="preserve"> </w:t>
      </w:r>
      <w:r>
        <w:rPr>
          <w:rFonts w:cstheme="minorHAnsi"/>
        </w:rPr>
        <w:t>technologies avancées des systèmes énergétiques</w:t>
      </w:r>
      <w:r w:rsidR="00926921">
        <w:rPr>
          <w:rFonts w:cstheme="minorHAnsi"/>
        </w:rPr>
        <w:t xml:space="preserve"> </w:t>
      </w:r>
      <w:r>
        <w:rPr>
          <w:rFonts w:cstheme="minorHAnsi"/>
        </w:rPr>
        <w:t>», est également éligible à cet appel à projets.</w:t>
      </w:r>
    </w:p>
    <w:p w14:paraId="7C4FA72E" w14:textId="77777777" w:rsidR="00F74F88" w:rsidRDefault="00F74F88" w:rsidP="00F74F88">
      <w:pPr>
        <w:autoSpaceDE w:val="0"/>
        <w:autoSpaceDN w:val="0"/>
        <w:rPr>
          <w:rFonts w:cstheme="minorHAnsi"/>
        </w:rPr>
      </w:pPr>
    </w:p>
    <w:p w14:paraId="16CD7E75" w14:textId="77777777" w:rsidR="00F74F88" w:rsidRDefault="00F74F88" w:rsidP="00F74F88">
      <w:pPr>
        <w:autoSpaceDE w:val="0"/>
        <w:autoSpaceDN w:val="0"/>
        <w:rPr>
          <w:rFonts w:cstheme="minorHAnsi"/>
        </w:rPr>
      </w:pPr>
      <w:r>
        <w:rPr>
          <w:rFonts w:cstheme="minorHAnsi"/>
        </w:rPr>
        <w:t>Les projets de création d’unités de production d’électricité ou d’exploitation des réseaux sont exclus du champ de cet appel à projets.</w:t>
      </w:r>
    </w:p>
    <w:p w14:paraId="647913F6" w14:textId="77777777" w:rsidR="00F74F88" w:rsidRDefault="00F74F88" w:rsidP="00F74F88">
      <w:pPr>
        <w:autoSpaceDE w:val="0"/>
        <w:autoSpaceDN w:val="0"/>
        <w:rPr>
          <w:rFonts w:cstheme="minorHAnsi"/>
        </w:rPr>
      </w:pPr>
    </w:p>
    <w:p w14:paraId="13FFACD2" w14:textId="77777777" w:rsidR="00F74F88" w:rsidRDefault="00F74F88" w:rsidP="00F459D6">
      <w:pPr>
        <w:pStyle w:val="Paragraphedeliste"/>
        <w:numPr>
          <w:ilvl w:val="0"/>
          <w:numId w:val="16"/>
        </w:numPr>
        <w:autoSpaceDE w:val="0"/>
        <w:autoSpaceDN w:val="0"/>
        <w:spacing w:after="0"/>
        <w:rPr>
          <w:rFonts w:cstheme="minorHAnsi"/>
          <w:b/>
        </w:rPr>
      </w:pPr>
      <w:r>
        <w:rPr>
          <w:rFonts w:cstheme="minorHAnsi"/>
          <w:b/>
        </w:rPr>
        <w:t xml:space="preserve">La nature des projets </w:t>
      </w:r>
    </w:p>
    <w:p w14:paraId="53828E2A" w14:textId="77777777" w:rsidR="00F74F88" w:rsidRDefault="00F74F88" w:rsidP="00F74F88">
      <w:pPr>
        <w:autoSpaceDE w:val="0"/>
        <w:autoSpaceDN w:val="0"/>
        <w:rPr>
          <w:rFonts w:cstheme="minorHAnsi"/>
        </w:rPr>
      </w:pPr>
      <w:r>
        <w:rPr>
          <w:rFonts w:cstheme="minorHAnsi"/>
        </w:rPr>
        <w:t>Les projets attendus présentent une assiette de dépenses totales, correspondantes au montant total des CAPEX du projet, d’un montant supérieur à 2 millions d’euros pour les projets individuels (seuil abaissé à 1 million d’euros pour les projets individuels portés par une PME) et supérieur à 4 millions d’euros pour les projets collaboratifs dans le cadre d’un consortium de plusieurs entreprises et partenaires.</w:t>
      </w:r>
    </w:p>
    <w:p w14:paraId="5294D22D" w14:textId="77777777" w:rsidR="00F74F88" w:rsidRDefault="00F74F88" w:rsidP="00F74F88">
      <w:pPr>
        <w:autoSpaceDE w:val="0"/>
        <w:autoSpaceDN w:val="0"/>
        <w:rPr>
          <w:rFonts w:cstheme="minorHAnsi"/>
        </w:rPr>
      </w:pPr>
    </w:p>
    <w:p w14:paraId="324FD7EC" w14:textId="77777777" w:rsidR="00F74F88" w:rsidRDefault="00F74F88" w:rsidP="00F74F88">
      <w:pPr>
        <w:autoSpaceDE w:val="0"/>
        <w:autoSpaceDN w:val="0"/>
        <w:rPr>
          <w:rFonts w:cstheme="minorHAnsi"/>
        </w:rPr>
      </w:pPr>
      <w:r>
        <w:rPr>
          <w:rFonts w:cstheme="minorHAnsi"/>
        </w:rPr>
        <w:t>Les projets auront une durée indicative comprise entre 36 et 60 mois.</w:t>
      </w:r>
    </w:p>
    <w:p w14:paraId="7EABE989" w14:textId="77777777" w:rsidR="00F74F88" w:rsidRDefault="00F74F88" w:rsidP="00F74F88">
      <w:pPr>
        <w:autoSpaceDE w:val="0"/>
        <w:autoSpaceDN w:val="0"/>
        <w:rPr>
          <w:rFonts w:cstheme="minorHAnsi"/>
        </w:rPr>
      </w:pPr>
      <w:r>
        <w:rPr>
          <w:rFonts w:cstheme="minorHAnsi"/>
        </w:rPr>
        <w:t xml:space="preserve">Les projets causant un préjudice important du point de vue de l’environnement seront exclus (application du principe DNSH – Do No </w:t>
      </w:r>
      <w:proofErr w:type="spellStart"/>
      <w:r>
        <w:rPr>
          <w:rFonts w:cstheme="minorHAnsi"/>
        </w:rPr>
        <w:t>Significant</w:t>
      </w:r>
      <w:proofErr w:type="spellEnd"/>
      <w:r>
        <w:rPr>
          <w:rFonts w:cstheme="minorHAnsi"/>
        </w:rPr>
        <w:t xml:space="preserve"> </w:t>
      </w:r>
      <w:proofErr w:type="spellStart"/>
      <w:r>
        <w:rPr>
          <w:rFonts w:cstheme="minorHAnsi"/>
        </w:rPr>
        <w:t>Harm</w:t>
      </w:r>
      <w:proofErr w:type="spellEnd"/>
      <w:r>
        <w:rPr>
          <w:rStyle w:val="Appelnotedebasdep"/>
          <w:rFonts w:cstheme="minorHAnsi"/>
        </w:rPr>
        <w:footnoteReference w:id="3"/>
      </w:r>
      <w:r>
        <w:rPr>
          <w:rFonts w:cstheme="minorHAnsi"/>
        </w:rPr>
        <w:t xml:space="preserve"> ou « absence de préjudice important »). Les projets devront le cas échéant, justifier la neutralité pour l’environnement des applications de la solution proposée et/ou s’inscrire dans une démarche d’amélioration vis-à-vis d’une solution de référence (produits/procédés/services comparables).</w:t>
      </w:r>
    </w:p>
    <w:p w14:paraId="23C6F094" w14:textId="4A4B119D" w:rsidR="00DA0DB5" w:rsidRDefault="00DA0DB5" w:rsidP="00F74F88">
      <w:pPr>
        <w:autoSpaceDE w:val="0"/>
        <w:autoSpaceDN w:val="0"/>
        <w:rPr>
          <w:rFonts w:cstheme="minorHAnsi"/>
        </w:rPr>
      </w:pPr>
    </w:p>
    <w:p w14:paraId="297A0669" w14:textId="77777777" w:rsidR="00F74F88" w:rsidRDefault="00F74F88" w:rsidP="00F459D6">
      <w:pPr>
        <w:pStyle w:val="Paragraphedeliste"/>
        <w:numPr>
          <w:ilvl w:val="0"/>
          <w:numId w:val="16"/>
        </w:numPr>
        <w:autoSpaceDE w:val="0"/>
        <w:autoSpaceDN w:val="0"/>
        <w:spacing w:after="0"/>
        <w:rPr>
          <w:rFonts w:cstheme="minorHAnsi"/>
          <w:b/>
        </w:rPr>
      </w:pPr>
      <w:r>
        <w:rPr>
          <w:rFonts w:cstheme="minorHAnsi"/>
          <w:b/>
        </w:rPr>
        <w:t>La nature des porteurs de projets</w:t>
      </w:r>
    </w:p>
    <w:p w14:paraId="4954AD21" w14:textId="77777777" w:rsidR="00F74F88" w:rsidRDefault="00F74F88" w:rsidP="00F74F88">
      <w:pPr>
        <w:autoSpaceDE w:val="0"/>
        <w:autoSpaceDN w:val="0"/>
        <w:rPr>
          <w:rFonts w:cstheme="minorHAnsi"/>
        </w:rPr>
      </w:pPr>
    </w:p>
    <w:p w14:paraId="5082B3AA" w14:textId="77777777" w:rsidR="00F74F88" w:rsidRDefault="00F74F88" w:rsidP="00F74F88">
      <w:pPr>
        <w:autoSpaceDE w:val="0"/>
        <w:autoSpaceDN w:val="0"/>
        <w:rPr>
          <w:rFonts w:cstheme="minorHAnsi"/>
        </w:rPr>
      </w:pPr>
      <w:r>
        <w:rPr>
          <w:rFonts w:cstheme="minorHAnsi"/>
        </w:rPr>
        <w:t xml:space="preserve">Le projet est porté dans ce cadre par une entreprise unique, quelle que soit sa taille, immatriculée en France au registre du commerce et des sociétés (RCS) à la date de dépôt du dossier. </w:t>
      </w:r>
    </w:p>
    <w:p w14:paraId="68BA61AD" w14:textId="77777777" w:rsidR="00F74F88" w:rsidRDefault="00F74F88" w:rsidP="00F74F88">
      <w:pPr>
        <w:autoSpaceDE w:val="0"/>
        <w:autoSpaceDN w:val="0"/>
        <w:rPr>
          <w:rFonts w:cstheme="minorHAnsi"/>
        </w:rPr>
      </w:pPr>
      <w:r>
        <w:rPr>
          <w:rFonts w:cstheme="minorHAnsi"/>
        </w:rPr>
        <w:t>Le projet peut également être porté par un consortium identifiant une entreprise « cheffe de file » qui rassemble des partenaires industriels et/ou des acteurs émergents.</w:t>
      </w:r>
    </w:p>
    <w:p w14:paraId="7034BED6" w14:textId="7ABD5BC0" w:rsidR="00F74F88" w:rsidRDefault="00F74F88" w:rsidP="00F74F88">
      <w:pPr>
        <w:spacing w:after="160"/>
        <w:rPr>
          <w:rFonts w:cstheme="minorHAnsi"/>
        </w:rPr>
      </w:pPr>
      <w:r>
        <w:rPr>
          <w:rFonts w:cstheme="minorHAnsi"/>
        </w:rPr>
        <w:t xml:space="preserve">Les projets collaboratifs </w:t>
      </w:r>
      <w:r w:rsidR="008C7C32">
        <w:rPr>
          <w:rFonts w:cstheme="minorHAnsi"/>
        </w:rPr>
        <w:t>associant</w:t>
      </w:r>
      <w:r>
        <w:rPr>
          <w:rFonts w:cstheme="minorHAnsi"/>
        </w:rPr>
        <w:t xml:space="preserve"> une PME ou une ETI</w:t>
      </w:r>
      <w:r>
        <w:rPr>
          <w:rStyle w:val="Appelnotedebasdep"/>
          <w:rFonts w:cstheme="minorHAnsi"/>
        </w:rPr>
        <w:footnoteReference w:id="4"/>
      </w:r>
      <w:r w:rsidR="008C7C32">
        <w:rPr>
          <w:rFonts w:cstheme="minorHAnsi"/>
        </w:rPr>
        <w:t xml:space="preserve"> </w:t>
      </w:r>
      <w:r w:rsidR="008C7C32" w:rsidRPr="008C7C32">
        <w:rPr>
          <w:rFonts w:cstheme="minorHAnsi"/>
        </w:rPr>
        <w:t>seront particulièrement appréciés</w:t>
      </w:r>
      <w:r>
        <w:rPr>
          <w:rFonts w:cstheme="minorHAnsi"/>
        </w:rPr>
        <w:t>.</w:t>
      </w:r>
      <w:r w:rsidR="00CD1E90">
        <w:rPr>
          <w:rFonts w:cstheme="minorHAnsi"/>
        </w:rPr>
        <w:t xml:space="preserve"> Ils associent au maximum 5 partenaires.</w:t>
      </w:r>
    </w:p>
    <w:p w14:paraId="75C08394" w14:textId="77777777" w:rsidR="005B7D7F" w:rsidRPr="00DA0DB5" w:rsidRDefault="00F74F88" w:rsidP="005B7D7F">
      <w:pPr>
        <w:autoSpaceDE w:val="0"/>
        <w:autoSpaceDN w:val="0"/>
        <w:rPr>
          <w:rFonts w:cstheme="minorHAnsi"/>
          <w:b/>
        </w:rPr>
      </w:pPr>
      <w:r w:rsidRPr="00DA0DB5">
        <w:rPr>
          <w:rFonts w:cstheme="minorHAnsi"/>
          <w:b/>
        </w:rPr>
        <w:t xml:space="preserve">Les projets d’acteurs émergents sont recherchés en particulier. </w:t>
      </w:r>
    </w:p>
    <w:p w14:paraId="08B28B14" w14:textId="77777777" w:rsidR="005B7D7F" w:rsidRPr="00A52018" w:rsidRDefault="005B7D7F" w:rsidP="005B7D7F">
      <w:pPr>
        <w:autoSpaceDE w:val="0"/>
        <w:autoSpaceDN w:val="0"/>
        <w:rPr>
          <w:rFonts w:cstheme="minorHAnsi"/>
        </w:rPr>
      </w:pPr>
      <w:r w:rsidRPr="00A52018">
        <w:rPr>
          <w:rFonts w:cstheme="minorHAnsi"/>
        </w:rPr>
        <w:t>Un acteur émergent est défini comme une entreprise :</w:t>
      </w:r>
    </w:p>
    <w:p w14:paraId="448E4213" w14:textId="77777777" w:rsidR="005B7D7F" w:rsidRPr="00A52018" w:rsidRDefault="005B7D7F" w:rsidP="005B7D7F">
      <w:pPr>
        <w:autoSpaceDE w:val="0"/>
        <w:autoSpaceDN w:val="0"/>
        <w:rPr>
          <w:rFonts w:cstheme="minorHAnsi"/>
        </w:rPr>
      </w:pPr>
      <w:r w:rsidRPr="00A52018">
        <w:rPr>
          <w:rFonts w:cstheme="minorHAnsi"/>
        </w:rPr>
        <w:t>-</w:t>
      </w:r>
      <w:r w:rsidRPr="00A52018">
        <w:rPr>
          <w:rFonts w:cstheme="minorHAnsi"/>
        </w:rPr>
        <w:tab/>
        <w:t>qui porte un projet profondément innovant, que ce soit en termes d’usage, de choix technologique ou de procédé et qui, à ce titre, présentent un niveau de risque important ;</w:t>
      </w:r>
    </w:p>
    <w:p w14:paraId="2089BB81" w14:textId="77777777" w:rsidR="005B7D7F" w:rsidRPr="00A52018" w:rsidRDefault="005B7D7F" w:rsidP="005B7D7F">
      <w:pPr>
        <w:autoSpaceDE w:val="0"/>
        <w:autoSpaceDN w:val="0"/>
        <w:rPr>
          <w:rFonts w:cstheme="minorHAnsi"/>
        </w:rPr>
      </w:pPr>
      <w:r w:rsidRPr="00A52018">
        <w:rPr>
          <w:rFonts w:cstheme="minorHAnsi"/>
        </w:rPr>
        <w:t>-</w:t>
      </w:r>
      <w:r w:rsidRPr="00A52018">
        <w:rPr>
          <w:rFonts w:cstheme="minorHAnsi"/>
        </w:rPr>
        <w:tab/>
        <w:t>qui dispose de facteurs différenciant marqués par rapport à l’offre existante ou la tendance observée, ou qui en disposera grâce au projet déposé ;</w:t>
      </w:r>
    </w:p>
    <w:p w14:paraId="5EEB0D37" w14:textId="77777777" w:rsidR="005B7D7F" w:rsidRPr="00A52018" w:rsidRDefault="005B7D7F" w:rsidP="005B7D7F">
      <w:pPr>
        <w:autoSpaceDE w:val="0"/>
        <w:autoSpaceDN w:val="0"/>
        <w:rPr>
          <w:rFonts w:cstheme="minorHAnsi"/>
        </w:rPr>
      </w:pPr>
      <w:r w:rsidRPr="00A52018">
        <w:rPr>
          <w:rFonts w:cstheme="minorHAnsi"/>
        </w:rPr>
        <w:t>-</w:t>
      </w:r>
      <w:r w:rsidRPr="00A52018">
        <w:rPr>
          <w:rFonts w:cstheme="minorHAnsi"/>
        </w:rPr>
        <w:tab/>
        <w:t xml:space="preserve">qui vise des marchés d’avenir, émergents ou en forte croissance ; </w:t>
      </w:r>
    </w:p>
    <w:p w14:paraId="7A66F083" w14:textId="77777777" w:rsidR="005B7D7F" w:rsidRPr="00A52018" w:rsidRDefault="005B7D7F" w:rsidP="005B7D7F">
      <w:pPr>
        <w:autoSpaceDE w:val="0"/>
        <w:autoSpaceDN w:val="0"/>
        <w:rPr>
          <w:rFonts w:cstheme="minorHAnsi"/>
        </w:rPr>
      </w:pPr>
      <w:r w:rsidRPr="00A52018">
        <w:rPr>
          <w:rFonts w:cstheme="minorHAnsi"/>
        </w:rPr>
        <w:t>-</w:t>
      </w:r>
      <w:r w:rsidRPr="00A52018">
        <w:rPr>
          <w:rFonts w:cstheme="minorHAnsi"/>
        </w:rPr>
        <w:tab/>
        <w:t>qui est « jeune » par rapport au secteur ou qui s’est récemment positionné sur le secteur concerné ;</w:t>
      </w:r>
    </w:p>
    <w:p w14:paraId="5A25C341" w14:textId="19A9E75A" w:rsidR="005B7D7F" w:rsidRDefault="005B7D7F" w:rsidP="005B7D7F">
      <w:pPr>
        <w:autoSpaceDE w:val="0"/>
        <w:autoSpaceDN w:val="0"/>
        <w:rPr>
          <w:rFonts w:cstheme="minorHAnsi"/>
        </w:rPr>
      </w:pPr>
      <w:r w:rsidRPr="00A52018">
        <w:rPr>
          <w:rFonts w:cstheme="minorHAnsi"/>
        </w:rPr>
        <w:t>-</w:t>
      </w:r>
      <w:r w:rsidRPr="00A52018">
        <w:rPr>
          <w:rFonts w:cstheme="minorHAnsi"/>
        </w:rPr>
        <w:tab/>
        <w:t>qui est susceptible de connaître une très forte croissance, lui permettant d’acquérir une positi</w:t>
      </w:r>
      <w:r>
        <w:rPr>
          <w:rFonts w:cstheme="minorHAnsi"/>
        </w:rPr>
        <w:t>on significative sur un marché.</w:t>
      </w:r>
    </w:p>
    <w:p w14:paraId="261D1A46" w14:textId="77777777" w:rsidR="00DA0DB5" w:rsidRDefault="00DA0DB5" w:rsidP="005B7D7F">
      <w:pPr>
        <w:autoSpaceDE w:val="0"/>
        <w:autoSpaceDN w:val="0"/>
        <w:rPr>
          <w:rFonts w:cstheme="minorHAnsi"/>
        </w:rPr>
      </w:pPr>
    </w:p>
    <w:p w14:paraId="679F1E9A" w14:textId="7C8298AF" w:rsidR="005857D9" w:rsidRPr="00926921" w:rsidRDefault="00926921" w:rsidP="00926921">
      <w:pPr>
        <w:pStyle w:val="Normal11"/>
        <w:rPr>
          <w:rFonts w:ascii="Marianne" w:hAnsi="Marianne"/>
          <w:sz w:val="22"/>
          <w:szCs w:val="22"/>
        </w:rPr>
      </w:pPr>
      <w:r>
        <w:rPr>
          <w:rFonts w:ascii="Marianne" w:hAnsi="Marianne"/>
          <w:sz w:val="22"/>
          <w:szCs w:val="22"/>
        </w:rPr>
        <w:t xml:space="preserve">2.2 </w:t>
      </w:r>
      <w:r w:rsidR="0006631A" w:rsidRPr="00926921">
        <w:rPr>
          <w:rFonts w:ascii="Marianne" w:hAnsi="Marianne"/>
          <w:sz w:val="22"/>
          <w:szCs w:val="22"/>
        </w:rPr>
        <w:t>Les thématiques principales des projets éligibles à l’</w:t>
      </w:r>
      <w:r w:rsidR="007E3E7F">
        <w:rPr>
          <w:rFonts w:ascii="Marianne" w:hAnsi="Marianne"/>
          <w:sz w:val="22"/>
          <w:szCs w:val="22"/>
        </w:rPr>
        <w:t xml:space="preserve">appel à projets </w:t>
      </w:r>
      <w:r w:rsidR="0006631A" w:rsidRPr="00926921">
        <w:rPr>
          <w:rFonts w:ascii="Marianne" w:hAnsi="Marianne"/>
          <w:sz w:val="22"/>
          <w:szCs w:val="22"/>
        </w:rPr>
        <w:t>et la complémentarité avec la stratégie d’accélération des « technologies avancées des systèmes énergétiques »</w:t>
      </w:r>
    </w:p>
    <w:p w14:paraId="52924844" w14:textId="42B0889B" w:rsidR="00F74F88" w:rsidRDefault="00F74F88" w:rsidP="00F74F88">
      <w:pPr>
        <w:autoSpaceDE w:val="0"/>
        <w:autoSpaceDN w:val="0"/>
        <w:rPr>
          <w:rFonts w:asciiTheme="minorHAnsi" w:hAnsiTheme="minorHAnsi" w:cstheme="minorHAnsi"/>
        </w:rPr>
      </w:pPr>
      <w:r>
        <w:rPr>
          <w:rFonts w:cstheme="minorHAnsi"/>
        </w:rPr>
        <w:t xml:space="preserve">Les projets de nouvelles usines ou d’augmentation et/ou de diversification d’usines existantes visées par cet </w:t>
      </w:r>
      <w:r w:rsidR="007E3E7F">
        <w:rPr>
          <w:rFonts w:cstheme="minorHAnsi"/>
        </w:rPr>
        <w:t xml:space="preserve">appel à projets </w:t>
      </w:r>
      <w:r>
        <w:rPr>
          <w:rFonts w:cstheme="minorHAnsi"/>
        </w:rPr>
        <w:t>doivent produire des solutions, composants ou matériels nécessaires au déploiement des technologies de production d’énergies renouvelables tels que définis ci-dessous</w:t>
      </w:r>
      <w:r>
        <w:rPr>
          <w:rFonts w:ascii="Calibri" w:hAnsi="Calibri" w:cs="Calibri"/>
        </w:rPr>
        <w:t> </w:t>
      </w:r>
      <w:r>
        <w:rPr>
          <w:rFonts w:cstheme="minorHAnsi"/>
        </w:rPr>
        <w:t>:</w:t>
      </w:r>
    </w:p>
    <w:p w14:paraId="50EB49B2" w14:textId="0FFFB7D6" w:rsidR="00463247" w:rsidRDefault="00463247">
      <w:pPr>
        <w:jc w:val="left"/>
      </w:pPr>
      <w:r>
        <w:br w:type="page"/>
      </w:r>
    </w:p>
    <w:p w14:paraId="603C38F3" w14:textId="77777777" w:rsidR="00F74F88" w:rsidRDefault="00F74F88" w:rsidP="00F74F88"/>
    <w:p w14:paraId="6D770834" w14:textId="7050FA35" w:rsidR="00F74F88" w:rsidRPr="00730E66" w:rsidRDefault="00F74F88" w:rsidP="00730E66">
      <w:pPr>
        <w:pStyle w:val="Paragraphedeliste"/>
        <w:numPr>
          <w:ilvl w:val="0"/>
          <w:numId w:val="30"/>
        </w:numPr>
        <w:rPr>
          <w:b/>
        </w:rPr>
      </w:pPr>
      <w:bookmarkStart w:id="17" w:name="_Toc94546292"/>
      <w:r w:rsidRPr="00730E66">
        <w:t>Les thématiques principales des projets éligibles à l’appel à projets</w:t>
      </w:r>
      <w:bookmarkEnd w:id="17"/>
    </w:p>
    <w:p w14:paraId="0A82AB3B" w14:textId="77777777" w:rsidR="00F74F88" w:rsidRDefault="00F74F88" w:rsidP="00F74F88">
      <w:pPr>
        <w:autoSpaceDE w:val="0"/>
        <w:autoSpaceDN w:val="0"/>
        <w:rPr>
          <w:rFonts w:asciiTheme="minorHAnsi" w:hAnsiTheme="minorHAnsi" w:cstheme="minorHAnsi"/>
        </w:rPr>
      </w:pPr>
    </w:p>
    <w:p w14:paraId="51EF9F1E" w14:textId="77777777" w:rsidR="00F74F88" w:rsidRDefault="00F74F88" w:rsidP="00F74F88">
      <w:pPr>
        <w:autoSpaceDE w:val="0"/>
        <w:autoSpaceDN w:val="0"/>
        <w:rPr>
          <w:rFonts w:cstheme="minorHAnsi"/>
          <w:b/>
        </w:rPr>
      </w:pPr>
      <w:r>
        <w:rPr>
          <w:rFonts w:cstheme="minorHAnsi"/>
          <w:b/>
        </w:rPr>
        <w:t>Sont particulièrement visées les projets d’usines intervenant au service des filières suivantes</w:t>
      </w:r>
      <w:r>
        <w:rPr>
          <w:rFonts w:ascii="Calibri" w:hAnsi="Calibri" w:cs="Calibri"/>
          <w:b/>
        </w:rPr>
        <w:t> </w:t>
      </w:r>
      <w:r>
        <w:rPr>
          <w:rFonts w:cstheme="minorHAnsi"/>
          <w:b/>
        </w:rPr>
        <w:t>: l</w:t>
      </w:r>
      <w:r>
        <w:rPr>
          <w:rFonts w:cs="Marianne Thin"/>
          <w:b/>
        </w:rPr>
        <w:t>’é</w:t>
      </w:r>
      <w:r>
        <w:rPr>
          <w:rFonts w:cstheme="minorHAnsi"/>
          <w:b/>
        </w:rPr>
        <w:t>olien en mer flottant et pos</w:t>
      </w:r>
      <w:r>
        <w:rPr>
          <w:rFonts w:cs="Marianne Thin"/>
          <w:b/>
        </w:rPr>
        <w:t>é</w:t>
      </w:r>
      <w:r>
        <w:rPr>
          <w:rFonts w:cstheme="minorHAnsi"/>
          <w:b/>
        </w:rPr>
        <w:t>, l</w:t>
      </w:r>
      <w:r>
        <w:rPr>
          <w:rFonts w:cs="Marianne Thin"/>
          <w:b/>
        </w:rPr>
        <w:t>’é</w:t>
      </w:r>
      <w:r>
        <w:rPr>
          <w:rFonts w:cstheme="minorHAnsi"/>
          <w:b/>
        </w:rPr>
        <w:t>olien terrestre, le photovolta</w:t>
      </w:r>
      <w:r>
        <w:rPr>
          <w:rFonts w:cs="Marianne Thin"/>
          <w:b/>
        </w:rPr>
        <w:t>ï</w:t>
      </w:r>
      <w:r>
        <w:rPr>
          <w:rFonts w:cstheme="minorHAnsi"/>
          <w:b/>
        </w:rPr>
        <w:t xml:space="preserve">que, les </w:t>
      </w:r>
      <w:r>
        <w:rPr>
          <w:rFonts w:cs="Marianne Thin"/>
          <w:b/>
        </w:rPr>
        <w:t>é</w:t>
      </w:r>
      <w:r>
        <w:rPr>
          <w:rFonts w:cstheme="minorHAnsi"/>
          <w:b/>
        </w:rPr>
        <w:t>nergies marines renouvelables, l</w:t>
      </w:r>
      <w:r>
        <w:rPr>
          <w:rFonts w:cs="Marianne Thin"/>
          <w:b/>
        </w:rPr>
        <w:t>’</w:t>
      </w:r>
      <w:r>
        <w:rPr>
          <w:rFonts w:cstheme="minorHAnsi"/>
          <w:b/>
        </w:rPr>
        <w:t>hydro</w:t>
      </w:r>
      <w:r>
        <w:rPr>
          <w:rFonts w:cs="Marianne Thin"/>
          <w:b/>
        </w:rPr>
        <w:t>é</w:t>
      </w:r>
      <w:r>
        <w:rPr>
          <w:rFonts w:cstheme="minorHAnsi"/>
          <w:b/>
        </w:rPr>
        <w:t>lectricit</w:t>
      </w:r>
      <w:r>
        <w:rPr>
          <w:rFonts w:cs="Marianne Thin"/>
          <w:b/>
        </w:rPr>
        <w:t>é</w:t>
      </w:r>
      <w:r>
        <w:rPr>
          <w:rFonts w:cstheme="minorHAnsi"/>
          <w:b/>
        </w:rPr>
        <w:t xml:space="preserve">, les systèmes innovants de production ou de récupération d’énergies thermiques (solaire thermique, la biomasse, pompe à chaleur, etc.) ainsi que les équipements permettant d’intégrer les </w:t>
      </w:r>
      <w:proofErr w:type="spellStart"/>
      <w:r>
        <w:rPr>
          <w:rFonts w:cstheme="minorHAnsi"/>
          <w:b/>
        </w:rPr>
        <w:t>EnR</w:t>
      </w:r>
      <w:proofErr w:type="spellEnd"/>
      <w:r>
        <w:rPr>
          <w:rFonts w:cstheme="minorHAnsi"/>
          <w:b/>
        </w:rPr>
        <w:t xml:space="preserve"> aux réseaux et d’en optimiser la maitrise.</w:t>
      </w:r>
    </w:p>
    <w:p w14:paraId="70B833F0" w14:textId="77777777" w:rsidR="00F74F88" w:rsidRDefault="00F74F88" w:rsidP="00F74F88">
      <w:pPr>
        <w:autoSpaceDE w:val="0"/>
        <w:autoSpaceDN w:val="0"/>
        <w:rPr>
          <w:rFonts w:cstheme="minorHAnsi"/>
        </w:rPr>
      </w:pPr>
    </w:p>
    <w:p w14:paraId="65AD698F" w14:textId="77777777" w:rsidR="00F74F88" w:rsidRDefault="00F74F88" w:rsidP="00F74F88">
      <w:pPr>
        <w:autoSpaceDE w:val="0"/>
        <w:autoSpaceDN w:val="0"/>
        <w:rPr>
          <w:rFonts w:cstheme="minorHAnsi"/>
        </w:rPr>
      </w:pPr>
      <w:r>
        <w:rPr>
          <w:rFonts w:cstheme="minorHAnsi"/>
        </w:rPr>
        <w:t>Ces thématiques ne sont pas exclusives et d’autres projets industriels, contenant en priorité des innovations de rupture, sur d’autres thématiques d’</w:t>
      </w:r>
      <w:proofErr w:type="spellStart"/>
      <w:r>
        <w:rPr>
          <w:rFonts w:cstheme="minorHAnsi"/>
        </w:rPr>
        <w:t>EnR</w:t>
      </w:r>
      <w:proofErr w:type="spellEnd"/>
      <w:r>
        <w:rPr>
          <w:rFonts w:cstheme="minorHAnsi"/>
        </w:rPr>
        <w:t xml:space="preserve"> pourront être soutenus par cet AAP dès lors qu’ils recouvrent un potentiel industriel important et démontré par le porteur. </w:t>
      </w:r>
    </w:p>
    <w:p w14:paraId="48B77807" w14:textId="77777777" w:rsidR="00F74F88" w:rsidRDefault="00F74F88" w:rsidP="00F74F88">
      <w:pPr>
        <w:autoSpaceDE w:val="0"/>
        <w:autoSpaceDN w:val="0"/>
        <w:rPr>
          <w:rFonts w:cstheme="minorHAnsi"/>
        </w:rPr>
      </w:pPr>
    </w:p>
    <w:p w14:paraId="41847FA8" w14:textId="77777777" w:rsidR="00F74F88" w:rsidRDefault="00F74F88" w:rsidP="00F74F88">
      <w:pPr>
        <w:autoSpaceDE w:val="0"/>
        <w:autoSpaceDN w:val="0"/>
        <w:rPr>
          <w:rFonts w:cstheme="minorHAnsi"/>
        </w:rPr>
      </w:pPr>
      <w:r>
        <w:rPr>
          <w:rFonts w:cstheme="minorHAnsi"/>
        </w:rPr>
        <w:t>Les projets industriels permettant de produire selon des procédés de pointe des matériaux (par exemple du silicium pour le photovoltaïque) ou de recycler les matériaux relevant de ces thématiques servant aux ENR sont également éligibles.</w:t>
      </w:r>
    </w:p>
    <w:p w14:paraId="13222514" w14:textId="77777777" w:rsidR="00F74F88" w:rsidRDefault="00F74F88" w:rsidP="00F74F88">
      <w:pPr>
        <w:autoSpaceDE w:val="0"/>
        <w:autoSpaceDN w:val="0"/>
        <w:rPr>
          <w:rFonts w:cstheme="minorHAnsi"/>
        </w:rPr>
      </w:pPr>
    </w:p>
    <w:p w14:paraId="1FF529F6" w14:textId="77777777" w:rsidR="00F74F88" w:rsidRPr="00730E66" w:rsidRDefault="00F74F88" w:rsidP="00730E66">
      <w:pPr>
        <w:pStyle w:val="Paragraphedeliste"/>
        <w:numPr>
          <w:ilvl w:val="0"/>
          <w:numId w:val="30"/>
        </w:numPr>
      </w:pPr>
      <w:bookmarkStart w:id="18" w:name="_Toc94546293"/>
      <w:r w:rsidRPr="00730E66">
        <w:t>La complémentarité et la coordination des actions avec la stratégie d’accélération des « technologies avancées des systèmes énergétiques » sur l’éolien en mer flottant et les réseaux</w:t>
      </w:r>
      <w:bookmarkEnd w:id="18"/>
    </w:p>
    <w:p w14:paraId="1B5796F7" w14:textId="77777777" w:rsidR="00F74F88" w:rsidRDefault="00F74F88" w:rsidP="00F74F88">
      <w:pPr>
        <w:autoSpaceDE w:val="0"/>
        <w:autoSpaceDN w:val="0"/>
        <w:rPr>
          <w:rFonts w:asciiTheme="minorHAnsi" w:hAnsiTheme="minorHAnsi" w:cstheme="minorHAnsi"/>
        </w:rPr>
      </w:pPr>
    </w:p>
    <w:p w14:paraId="0A4737FB" w14:textId="77777777" w:rsidR="00F74F88" w:rsidRDefault="00F74F88" w:rsidP="00F74F88">
      <w:pPr>
        <w:autoSpaceDE w:val="0"/>
        <w:autoSpaceDN w:val="0"/>
        <w:rPr>
          <w:rFonts w:cstheme="minorHAnsi"/>
        </w:rPr>
      </w:pPr>
      <w:r>
        <w:rPr>
          <w:rFonts w:cstheme="minorHAnsi"/>
          <w:b/>
        </w:rPr>
        <w:t>Parmi les thématiques ciblées par cet appel à projet, une attention particulière sera portée à la complémentarité et la coordination avec les actions mises en œuvre dans le cadre de la stratégie d’accélération « technologies avancées des systèmes énergétiques ».</w:t>
      </w:r>
      <w:r>
        <w:rPr>
          <w:rFonts w:cstheme="minorHAnsi"/>
        </w:rPr>
        <w:t xml:space="preserve"> La stratégie d’accélération vise à faire émerger des innovations et à accompagner, y compris aux stades de la recherche et de la démonstration, vers l’industrialisation les technologies ayant un fort potentiel dans les trois domaines spécifiques mentionnés plus haut (le photovoltaïque, l’éolien en mer flottant, l’intégration des </w:t>
      </w:r>
      <w:proofErr w:type="spellStart"/>
      <w:r>
        <w:rPr>
          <w:rFonts w:cstheme="minorHAnsi"/>
        </w:rPr>
        <w:t>EnR</w:t>
      </w:r>
      <w:proofErr w:type="spellEnd"/>
      <w:r>
        <w:rPr>
          <w:rFonts w:cstheme="minorHAnsi"/>
        </w:rPr>
        <w:t xml:space="preserve"> dans les réseaux énergétiques).</w:t>
      </w:r>
    </w:p>
    <w:p w14:paraId="693B5F23" w14:textId="77777777" w:rsidR="00F74F88" w:rsidRDefault="00F74F88" w:rsidP="00F74F88">
      <w:pPr>
        <w:autoSpaceDE w:val="0"/>
        <w:autoSpaceDN w:val="0"/>
        <w:rPr>
          <w:rFonts w:cstheme="minorHAnsi"/>
        </w:rPr>
      </w:pPr>
    </w:p>
    <w:p w14:paraId="25BDC272" w14:textId="2FCCEBC8" w:rsidR="00F74F88" w:rsidRDefault="00F74F88" w:rsidP="00F74F88">
      <w:pPr>
        <w:autoSpaceDE w:val="0"/>
        <w:autoSpaceDN w:val="0"/>
        <w:rPr>
          <w:rFonts w:cstheme="minorHAnsi"/>
        </w:rPr>
      </w:pPr>
      <w:r>
        <w:rPr>
          <w:rFonts w:cstheme="minorHAnsi"/>
        </w:rPr>
        <w:t xml:space="preserve">Les projets </w:t>
      </w:r>
      <w:proofErr w:type="spellStart"/>
      <w:r>
        <w:rPr>
          <w:rFonts w:cstheme="minorHAnsi"/>
        </w:rPr>
        <w:t>pré-industriels</w:t>
      </w:r>
      <w:proofErr w:type="spellEnd"/>
      <w:r>
        <w:rPr>
          <w:rFonts w:cstheme="minorHAnsi"/>
        </w:rPr>
        <w:t xml:space="preserve"> accompagnés dans le cadre de la stratégie d’accélération pourront également être soutenus par le présent </w:t>
      </w:r>
      <w:r w:rsidR="007E3E7F">
        <w:rPr>
          <w:rFonts w:cstheme="minorHAnsi"/>
        </w:rPr>
        <w:t xml:space="preserve">appel à projets </w:t>
      </w:r>
      <w:r>
        <w:rPr>
          <w:rFonts w:cstheme="minorHAnsi"/>
        </w:rPr>
        <w:t xml:space="preserve">à travers le financement d’une partie de l’investissement permettant de déployer des capacités de production à grande échelle. </w:t>
      </w:r>
    </w:p>
    <w:p w14:paraId="7BD94522" w14:textId="77777777" w:rsidR="00F74F88" w:rsidRDefault="00F74F88" w:rsidP="00F74F88">
      <w:pPr>
        <w:autoSpaceDE w:val="0"/>
        <w:autoSpaceDN w:val="0"/>
        <w:rPr>
          <w:rFonts w:cstheme="minorHAnsi"/>
        </w:rPr>
      </w:pPr>
    </w:p>
    <w:p w14:paraId="593E329E" w14:textId="715ECA96" w:rsidR="00F74F88" w:rsidRDefault="00F74F88" w:rsidP="00F74F88">
      <w:pPr>
        <w:autoSpaceDE w:val="0"/>
        <w:autoSpaceDN w:val="0"/>
        <w:rPr>
          <w:rFonts w:cstheme="minorHAnsi"/>
        </w:rPr>
      </w:pPr>
      <w:r>
        <w:rPr>
          <w:rFonts w:cstheme="minorHAnsi"/>
          <w:b/>
          <w:u w:val="single"/>
        </w:rPr>
        <w:t>Concernant l’éolien en mer flottant,</w:t>
      </w:r>
      <w:r>
        <w:rPr>
          <w:rFonts w:cstheme="minorHAnsi"/>
        </w:rPr>
        <w:t xml:space="preserve"> l’État poursuit l’objectif par cet </w:t>
      </w:r>
      <w:r w:rsidR="007E3E7F">
        <w:rPr>
          <w:rFonts w:cstheme="minorHAnsi"/>
        </w:rPr>
        <w:t xml:space="preserve">appel à projets </w:t>
      </w:r>
      <w:r>
        <w:rPr>
          <w:rFonts w:cstheme="minorHAnsi"/>
        </w:rPr>
        <w:t xml:space="preserve">de soutenir l’investissement des usines et chantiers d’assemblage permettant de constituer une chaine de valeur complète en France comprenant la production des composants des flotteurs, leur assemblage et l’intégration des turbines à quai dans les ports. Ces usines serviront notamment les premiers parcs commerciaux français, dont la date prévisionnelle et indicative d’entrée en service est prévue en 2028 ou 2029, et/ou le cas échéant les parcs situés à l’étranger. </w:t>
      </w:r>
    </w:p>
    <w:p w14:paraId="4228CE9C" w14:textId="77777777" w:rsidR="00F74F88" w:rsidRDefault="00F74F88" w:rsidP="00F74F88">
      <w:pPr>
        <w:autoSpaceDE w:val="0"/>
        <w:autoSpaceDN w:val="0"/>
        <w:rPr>
          <w:rFonts w:cstheme="minorHAnsi"/>
        </w:rPr>
      </w:pPr>
    </w:p>
    <w:p w14:paraId="328B1023" w14:textId="4023946A" w:rsidR="00F74F88" w:rsidRDefault="00F74F88" w:rsidP="00F74F88">
      <w:pPr>
        <w:autoSpaceDE w:val="0"/>
        <w:autoSpaceDN w:val="0"/>
        <w:rPr>
          <w:rFonts w:cstheme="minorHAnsi"/>
        </w:rPr>
      </w:pPr>
      <w:r>
        <w:rPr>
          <w:rFonts w:cstheme="minorHAnsi"/>
          <w:b/>
        </w:rPr>
        <w:t>Les industriels portant des projets de production de composants ou d’équipements ou de tout ou partie des flotteurs, veilleront en conséquence à prendre en compte dans leurs travaux les différentes démarches engagées dans le cadre de la stratégie d’accélération sur ce domaine.</w:t>
      </w:r>
      <w:r>
        <w:rPr>
          <w:rFonts w:cstheme="minorHAnsi"/>
        </w:rPr>
        <w:t xml:space="preserve"> Parmi ces démarches, celle portant sur le soutien de ports sur chacune des façades Méditerranée d’une part et Atlantique – Manche d’autre part et consistant à adapter leurs infrastructures afin d’accueillir sur des sites portuaires les différentes usines de composants, les chantiers d’assemblage des flotteurs et les activités d’intégration des turbines à quai, représente un défi important pour la constitution de la filière de l’éolien flottant. Le financement des projets industriels d’usines dans le cadre du présent </w:t>
      </w:r>
      <w:r w:rsidR="007E3E7F">
        <w:rPr>
          <w:rFonts w:cstheme="minorHAnsi"/>
        </w:rPr>
        <w:t xml:space="preserve">appel à projets </w:t>
      </w:r>
      <w:r>
        <w:rPr>
          <w:rFonts w:cstheme="minorHAnsi"/>
        </w:rPr>
        <w:t xml:space="preserve">interviendra durant les prochaines années </w:t>
      </w:r>
      <w:r w:rsidR="004947CF">
        <w:rPr>
          <w:rFonts w:cstheme="minorHAnsi"/>
        </w:rPr>
        <w:t>lorsque</w:t>
      </w:r>
      <w:r>
        <w:rPr>
          <w:rFonts w:cstheme="minorHAnsi"/>
        </w:rPr>
        <w:t xml:space="preserve"> les premiers projets portuaires auront été sélectionnés. L’objectif est de synchroniser en parallèle la construction des usines et l’adaptation des infrastructures portuaires. </w:t>
      </w:r>
    </w:p>
    <w:p w14:paraId="1BF6E3E9" w14:textId="77777777" w:rsidR="00F74F88" w:rsidRDefault="00F74F88" w:rsidP="00F74F88">
      <w:pPr>
        <w:autoSpaceDE w:val="0"/>
        <w:autoSpaceDN w:val="0"/>
        <w:rPr>
          <w:rFonts w:cstheme="minorHAnsi"/>
        </w:rPr>
      </w:pPr>
    </w:p>
    <w:p w14:paraId="69922946" w14:textId="05684631" w:rsidR="00F74F88" w:rsidRDefault="00F74F88" w:rsidP="00F74F88">
      <w:pPr>
        <w:autoSpaceDE w:val="0"/>
        <w:autoSpaceDN w:val="0"/>
        <w:rPr>
          <w:rFonts w:cstheme="minorHAnsi"/>
        </w:rPr>
      </w:pPr>
      <w:r>
        <w:rPr>
          <w:rFonts w:cstheme="minorHAnsi"/>
          <w:b/>
        </w:rPr>
        <w:t>Dès lors, un appel à manifestation d’intérêt</w:t>
      </w:r>
      <w:r w:rsidR="00516147">
        <w:rPr>
          <w:rFonts w:cstheme="minorHAnsi"/>
          <w:b/>
        </w:rPr>
        <w:t>s</w:t>
      </w:r>
      <w:r>
        <w:rPr>
          <w:rFonts w:cstheme="minorHAnsi"/>
          <w:b/>
        </w:rPr>
        <w:t xml:space="preserve"> (AMI) dans le cadre de la stratégie d’accélération est actuellement réalisé au premier trimestre 2022</w:t>
      </w:r>
      <w:r>
        <w:rPr>
          <w:rFonts w:cstheme="minorHAnsi"/>
        </w:rPr>
        <w:t xml:space="preserve"> afin de</w:t>
      </w:r>
      <w:r>
        <w:rPr>
          <w:rFonts w:ascii="Calibri" w:hAnsi="Calibri" w:cs="Calibri"/>
        </w:rPr>
        <w:t> </w:t>
      </w:r>
      <w:r>
        <w:rPr>
          <w:rFonts w:cstheme="minorHAnsi"/>
        </w:rPr>
        <w:t xml:space="preserve">: </w:t>
      </w:r>
    </w:p>
    <w:p w14:paraId="27465526" w14:textId="77777777" w:rsidR="00F74F88" w:rsidRDefault="00F74F88" w:rsidP="00F459D6">
      <w:pPr>
        <w:pStyle w:val="Paragraphedeliste"/>
        <w:numPr>
          <w:ilvl w:val="0"/>
          <w:numId w:val="16"/>
        </w:numPr>
        <w:autoSpaceDE w:val="0"/>
        <w:autoSpaceDN w:val="0"/>
        <w:spacing w:after="0"/>
        <w:rPr>
          <w:rFonts w:cstheme="minorHAnsi"/>
        </w:rPr>
      </w:pPr>
      <w:proofErr w:type="gramStart"/>
      <w:r>
        <w:rPr>
          <w:rFonts w:cstheme="minorHAnsi"/>
        </w:rPr>
        <w:t>faire</w:t>
      </w:r>
      <w:proofErr w:type="gramEnd"/>
      <w:r>
        <w:rPr>
          <w:rFonts w:cstheme="minorHAnsi"/>
        </w:rPr>
        <w:t xml:space="preserve"> émerger une offre adaptée des ports français souhaitant accueillir les industries au sein de leurs enceintes</w:t>
      </w:r>
    </w:p>
    <w:p w14:paraId="503D49CD" w14:textId="77777777" w:rsidR="00F74F88" w:rsidRDefault="00F74F88" w:rsidP="00F459D6">
      <w:pPr>
        <w:pStyle w:val="Paragraphedeliste"/>
        <w:numPr>
          <w:ilvl w:val="0"/>
          <w:numId w:val="16"/>
        </w:numPr>
        <w:autoSpaceDE w:val="0"/>
        <w:autoSpaceDN w:val="0"/>
        <w:spacing w:after="0"/>
        <w:rPr>
          <w:rFonts w:cstheme="minorHAnsi"/>
        </w:rPr>
      </w:pPr>
      <w:proofErr w:type="gramStart"/>
      <w:r>
        <w:rPr>
          <w:rFonts w:cstheme="minorHAnsi"/>
        </w:rPr>
        <w:t>recueillir</w:t>
      </w:r>
      <w:proofErr w:type="gramEnd"/>
      <w:r>
        <w:rPr>
          <w:rFonts w:cstheme="minorHAnsi"/>
        </w:rPr>
        <w:t xml:space="preserve"> les attentes des industriels en termes d’infrastructures portuaires afin qu’ils puissent s’y installer. </w:t>
      </w:r>
    </w:p>
    <w:p w14:paraId="5A4523C0" w14:textId="77777777" w:rsidR="00F74F88" w:rsidRDefault="00F74F88" w:rsidP="00F459D6">
      <w:pPr>
        <w:pStyle w:val="Paragraphedeliste"/>
        <w:numPr>
          <w:ilvl w:val="0"/>
          <w:numId w:val="16"/>
        </w:numPr>
        <w:autoSpaceDE w:val="0"/>
        <w:autoSpaceDN w:val="0"/>
        <w:spacing w:after="0"/>
        <w:rPr>
          <w:rFonts w:cstheme="minorHAnsi"/>
        </w:rPr>
      </w:pPr>
      <w:proofErr w:type="gramStart"/>
      <w:r>
        <w:rPr>
          <w:rFonts w:cstheme="minorHAnsi"/>
        </w:rPr>
        <w:t>prendre</w:t>
      </w:r>
      <w:proofErr w:type="gramEnd"/>
      <w:r>
        <w:rPr>
          <w:rFonts w:cstheme="minorHAnsi"/>
        </w:rPr>
        <w:t xml:space="preserve"> connaissance des avant-projets d’usines, de la structuration de leur future activité avec tous les autres acteurs de la filière, notamment au niveau national et à l’étranger.</w:t>
      </w:r>
    </w:p>
    <w:p w14:paraId="29795445" w14:textId="56519141" w:rsidR="00F74F88" w:rsidRDefault="00F74F88" w:rsidP="00F74F88">
      <w:pPr>
        <w:autoSpaceDE w:val="0"/>
        <w:autoSpaceDN w:val="0"/>
        <w:rPr>
          <w:rFonts w:cstheme="minorHAnsi"/>
        </w:rPr>
      </w:pPr>
      <w:r>
        <w:rPr>
          <w:rFonts w:cstheme="minorHAnsi"/>
        </w:rPr>
        <w:t xml:space="preserve">Cet AMI permettra de sélectionner des ports en prenant en compte la cohérence des projets industriels en leur sein et dans leurs alentours et la cohérence des relations fournisseurs clients entre ces industriels et leur proximité géographique. </w:t>
      </w:r>
      <w:r>
        <w:rPr>
          <w:rFonts w:cstheme="minorHAnsi"/>
          <w:b/>
        </w:rPr>
        <w:t xml:space="preserve">Ces informations des industriels serviront à préciser d’ici la relève de 2023 du présent </w:t>
      </w:r>
      <w:r w:rsidR="007E3E7F">
        <w:rPr>
          <w:rFonts w:cstheme="minorHAnsi"/>
          <w:b/>
        </w:rPr>
        <w:t xml:space="preserve">appel à projets </w:t>
      </w:r>
      <w:r>
        <w:rPr>
          <w:rFonts w:cstheme="minorHAnsi"/>
          <w:b/>
        </w:rPr>
        <w:t>les conditions et le calendrier de soutien financier de l’investissement productif pour les futures usines, qui est prévu dans cet appel à projet</w:t>
      </w:r>
      <w:r w:rsidR="00516147">
        <w:rPr>
          <w:rFonts w:cstheme="minorHAnsi"/>
          <w:b/>
        </w:rPr>
        <w:t>s</w:t>
      </w:r>
      <w:r>
        <w:rPr>
          <w:rFonts w:cstheme="minorHAnsi"/>
          <w:b/>
        </w:rPr>
        <w:t>. Il est attendu des porteurs de projets envisageant de déposer un projet industriel d’ampleur sur la thématique de l’éolien flottant qu’ils déposent un pré-projet à cet AMI et se rapprochent des ports pour que leur projet puisse être intégré dans un projet d’ensemble.</w:t>
      </w:r>
    </w:p>
    <w:p w14:paraId="2EA2948A" w14:textId="77777777" w:rsidR="00F74F88" w:rsidRDefault="00F74F88" w:rsidP="00F74F88">
      <w:pPr>
        <w:autoSpaceDE w:val="0"/>
        <w:autoSpaceDN w:val="0"/>
        <w:rPr>
          <w:rFonts w:cstheme="minorHAnsi"/>
        </w:rPr>
      </w:pPr>
    </w:p>
    <w:p w14:paraId="2E2931D3" w14:textId="77777777" w:rsidR="00F74F88" w:rsidRDefault="00F74F88" w:rsidP="00F74F88">
      <w:pPr>
        <w:autoSpaceDE w:val="0"/>
        <w:autoSpaceDN w:val="0"/>
        <w:rPr>
          <w:rFonts w:cstheme="minorHAnsi"/>
        </w:rPr>
      </w:pPr>
      <w:r>
        <w:rPr>
          <w:rFonts w:cstheme="minorHAnsi"/>
          <w:b/>
        </w:rPr>
        <w:t xml:space="preserve">Les projets particulièrement importants en termes d’envergure (création par exemple d’une usine </w:t>
      </w:r>
      <w:r>
        <w:rPr>
          <w:rFonts w:cstheme="minorHAnsi"/>
          <w:b/>
          <w:i/>
        </w:rPr>
        <w:t>ex nihilo</w:t>
      </w:r>
      <w:r>
        <w:rPr>
          <w:rFonts w:cstheme="minorHAnsi"/>
          <w:b/>
        </w:rPr>
        <w:t>) pour l’éolien flottant seront déposés de préférence en 2023 ou 2024</w:t>
      </w:r>
      <w:r>
        <w:rPr>
          <w:rFonts w:cstheme="minorHAnsi"/>
        </w:rPr>
        <w:t xml:space="preserve"> afin de s’assurer que les futures usines de composants et chantiers d’assemblage soient mis en service selon un calendrier compatible avec celui de la sélection des ports et de la mise en service des futurs parcs éoliens flottants en France voire à l’étranger si elles leur fournissent des équipements.</w:t>
      </w:r>
    </w:p>
    <w:p w14:paraId="7D692E43" w14:textId="77777777" w:rsidR="00F74F88" w:rsidRDefault="00F74F88" w:rsidP="00F74F88">
      <w:pPr>
        <w:autoSpaceDE w:val="0"/>
        <w:autoSpaceDN w:val="0"/>
        <w:rPr>
          <w:rFonts w:cstheme="minorHAnsi"/>
        </w:rPr>
      </w:pPr>
    </w:p>
    <w:p w14:paraId="4720AC89" w14:textId="77777777" w:rsidR="00F74F88" w:rsidRDefault="00F74F88" w:rsidP="00F74F88">
      <w:pPr>
        <w:autoSpaceDE w:val="0"/>
        <w:autoSpaceDN w:val="0"/>
        <w:rPr>
          <w:rFonts w:cstheme="minorHAnsi"/>
        </w:rPr>
      </w:pPr>
      <w:r>
        <w:rPr>
          <w:rFonts w:cstheme="minorHAnsi"/>
          <w:b/>
          <w:u w:val="single"/>
        </w:rPr>
        <w:t xml:space="preserve">Concernant l’intégration des </w:t>
      </w:r>
      <w:proofErr w:type="spellStart"/>
      <w:r>
        <w:rPr>
          <w:rFonts w:cstheme="minorHAnsi"/>
          <w:b/>
          <w:u w:val="single"/>
        </w:rPr>
        <w:t>EnR</w:t>
      </w:r>
      <w:proofErr w:type="spellEnd"/>
      <w:r>
        <w:rPr>
          <w:rFonts w:cstheme="minorHAnsi"/>
          <w:b/>
          <w:u w:val="single"/>
        </w:rPr>
        <w:t xml:space="preserve"> aux réseaux</w:t>
      </w:r>
      <w:r>
        <w:rPr>
          <w:rFonts w:cstheme="minorHAnsi"/>
        </w:rPr>
        <w:t>, qui est également couverte par la stratégie d’accélération, les industriels sont encouragés à proposer l’industrialisation d’équipements et composants d’infrastructures innovants (par exemple câblage à courant continu, dynamique, sous-station, etc.), ou permettant d’optimiser leur supervision ainsi que leur exploitation répondant aux nouveaux besoins, y compris sous l’angle numérique.</w:t>
      </w:r>
    </w:p>
    <w:p w14:paraId="4B87E8B3" w14:textId="77777777" w:rsidR="00F74F88" w:rsidRDefault="00F74F88" w:rsidP="00F74F88">
      <w:pPr>
        <w:autoSpaceDE w:val="0"/>
        <w:autoSpaceDN w:val="0"/>
        <w:rPr>
          <w:rFonts w:cstheme="minorHAnsi"/>
        </w:rPr>
      </w:pPr>
    </w:p>
    <w:p w14:paraId="37F6E834" w14:textId="77777777" w:rsidR="00F74F88" w:rsidRDefault="00F74F88" w:rsidP="00F74F88">
      <w:pPr>
        <w:autoSpaceDE w:val="0"/>
        <w:autoSpaceDN w:val="0"/>
        <w:rPr>
          <w:rFonts w:cstheme="minorHAnsi"/>
        </w:rPr>
      </w:pPr>
      <w:r>
        <w:rPr>
          <w:rFonts w:cstheme="minorHAnsi"/>
          <w:b/>
        </w:rPr>
        <w:t>Les projets de production de solutions de stockage sont a priori exclus de cet appel à projets</w:t>
      </w:r>
      <w:r>
        <w:rPr>
          <w:rFonts w:cstheme="minorHAnsi"/>
        </w:rPr>
        <w:t xml:space="preserve"> sauf s’ils font la démonstration d’une innovation de rupture à haute valeur ajoutée et s’ils ne peuvent être soutenus dans les autres mesures de soutien du Gouvernement.</w:t>
      </w:r>
    </w:p>
    <w:p w14:paraId="5A208855" w14:textId="77777777" w:rsidR="00F74F88" w:rsidRPr="00E33240" w:rsidRDefault="00F74F88" w:rsidP="008D0C1A"/>
    <w:p w14:paraId="1DFDDDB7" w14:textId="6309FA9A" w:rsidR="00545598" w:rsidRPr="00D967D5" w:rsidRDefault="00545598" w:rsidP="00455846">
      <w:pPr>
        <w:pStyle w:val="Titre1"/>
        <w:ind w:left="1134" w:hanging="567"/>
        <w:rPr>
          <w:b/>
        </w:rPr>
      </w:pPr>
      <w:bookmarkStart w:id="19" w:name="_Toc75272584"/>
      <w:bookmarkStart w:id="20" w:name="_Toc95386103"/>
      <w:r w:rsidRPr="00D967D5">
        <w:rPr>
          <w:b/>
        </w:rPr>
        <w:t>Processus de sélection et d’instruction des projets</w:t>
      </w:r>
      <w:bookmarkEnd w:id="19"/>
      <w:bookmarkEnd w:id="20"/>
    </w:p>
    <w:p w14:paraId="0E384F6C" w14:textId="4AA00994" w:rsidR="0055334E" w:rsidRDefault="0055334E" w:rsidP="00E03096"/>
    <w:p w14:paraId="7903B120" w14:textId="3529F4C0" w:rsidR="00C70683" w:rsidRDefault="00C70683" w:rsidP="00C70683">
      <w:pPr>
        <w:spacing w:before="120" w:after="180"/>
      </w:pPr>
      <w:r w:rsidRPr="000078E2">
        <w:t xml:space="preserve">Le processus de traitement d’un dossier comprend plusieurs étapes : le pré-dépôt, le dépôt, la décision de financement et la contractualisation du projet. </w:t>
      </w:r>
    </w:p>
    <w:p w14:paraId="5686BBF7" w14:textId="4FF4A55A" w:rsidR="00A9182C" w:rsidRDefault="00A9182C" w:rsidP="00A9182C">
      <w:pPr>
        <w:spacing w:after="9" w:line="266" w:lineRule="auto"/>
        <w:ind w:right="60"/>
        <w:rPr>
          <w:rFonts w:asciiTheme="minorHAnsi" w:hAnsiTheme="minorHAnsi" w:cstheme="minorHAnsi"/>
        </w:rPr>
      </w:pPr>
      <w:r>
        <w:rPr>
          <w:rFonts w:cstheme="minorHAnsi"/>
        </w:rPr>
        <w:t xml:space="preserve">Les porteurs de projets déposent au fil de l’eau un dossier de candidature complet sur la plateforme de dépôt dédiée. Les projets sont ensuite examinés selon les modalités qui sont en cours de définition dans le cadre de la mise en œuvre du Plan d’investissement France 2030, et lors des relèves dont le calendrier est précisé </w:t>
      </w:r>
      <w:r w:rsidR="00F64ED3">
        <w:rPr>
          <w:rFonts w:cstheme="minorHAnsi"/>
        </w:rPr>
        <w:t>page 1</w:t>
      </w:r>
      <w:r>
        <w:rPr>
          <w:rFonts w:cstheme="minorHAnsi"/>
        </w:rPr>
        <w:t xml:space="preserve">. </w:t>
      </w:r>
    </w:p>
    <w:p w14:paraId="259F4264" w14:textId="77777777" w:rsidR="00A9182C" w:rsidRPr="000078E2" w:rsidRDefault="00A9182C" w:rsidP="00C70683">
      <w:pPr>
        <w:spacing w:before="120" w:after="180"/>
      </w:pPr>
    </w:p>
    <w:p w14:paraId="1DAF00ED" w14:textId="4DC0B35D" w:rsidR="00C70683" w:rsidRDefault="00C70683" w:rsidP="00C70683">
      <w:pPr>
        <w:spacing w:before="120" w:after="180"/>
        <w:jc w:val="center"/>
      </w:pPr>
      <w:r w:rsidRPr="000078E2">
        <w:rPr>
          <w:noProof/>
          <w:lang w:eastAsia="fr-FR"/>
        </w:rPr>
        <w:drawing>
          <wp:inline distT="0" distB="0" distL="0" distR="0" wp14:anchorId="1F513C15" wp14:editId="0A7AAC87">
            <wp:extent cx="5756657" cy="64858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b="32625"/>
                    <a:stretch/>
                  </pic:blipFill>
                  <pic:spPr bwMode="auto">
                    <a:xfrm>
                      <a:off x="0" y="0"/>
                      <a:ext cx="5759450" cy="648901"/>
                    </a:xfrm>
                    <a:prstGeom prst="rect">
                      <a:avLst/>
                    </a:prstGeom>
                    <a:noFill/>
                    <a:ln>
                      <a:noFill/>
                    </a:ln>
                    <a:extLst>
                      <a:ext uri="{53640926-AAD7-44D8-BBD7-CCE9431645EC}">
                        <a14:shadowObscured xmlns:a14="http://schemas.microsoft.com/office/drawing/2010/main"/>
                      </a:ext>
                    </a:extLst>
                  </pic:spPr>
                </pic:pic>
              </a:graphicData>
            </a:graphic>
          </wp:inline>
        </w:drawing>
      </w:r>
    </w:p>
    <w:p w14:paraId="31916ED7" w14:textId="77777777" w:rsidR="00455846" w:rsidRPr="003B307A" w:rsidRDefault="00455846" w:rsidP="00536BEC">
      <w:pPr>
        <w:pStyle w:val="Titre2"/>
        <w:ind w:left="-142" w:firstLine="426"/>
      </w:pPr>
      <w:bookmarkStart w:id="21" w:name="_Toc95386104"/>
      <w:r w:rsidRPr="009955C7">
        <w:t>Critères d’éligibilité</w:t>
      </w:r>
      <w:bookmarkEnd w:id="21"/>
    </w:p>
    <w:p w14:paraId="78535949" w14:textId="77777777" w:rsidR="00C475FC" w:rsidRDefault="00C475FC" w:rsidP="00C475FC">
      <w:pPr>
        <w:rPr>
          <w:rFonts w:cstheme="minorHAnsi"/>
        </w:rPr>
      </w:pPr>
    </w:p>
    <w:p w14:paraId="3D0815F5" w14:textId="77544E78" w:rsidR="00C475FC" w:rsidRDefault="00C475FC" w:rsidP="00C475FC">
      <w:pPr>
        <w:rPr>
          <w:rFonts w:asciiTheme="minorHAnsi" w:hAnsiTheme="minorHAnsi" w:cstheme="minorHAnsi"/>
        </w:rPr>
      </w:pPr>
      <w:r>
        <w:rPr>
          <w:rFonts w:cstheme="minorHAnsi"/>
        </w:rPr>
        <w:t xml:space="preserve">Pour être éligible, le dossier doit : </w:t>
      </w:r>
    </w:p>
    <w:p w14:paraId="7A3F3F67" w14:textId="777840B6" w:rsidR="00C475FC" w:rsidRDefault="00C475FC" w:rsidP="00F459D6">
      <w:pPr>
        <w:pStyle w:val="Paragraphedeliste"/>
        <w:numPr>
          <w:ilvl w:val="0"/>
          <w:numId w:val="20"/>
        </w:numPr>
        <w:spacing w:after="0"/>
        <w:rPr>
          <w:rFonts w:cstheme="minorHAnsi"/>
        </w:rPr>
      </w:pPr>
      <w:r w:rsidRPr="00A9182C">
        <w:rPr>
          <w:rFonts w:cstheme="minorHAnsi"/>
          <w:b/>
        </w:rPr>
        <w:t>Etre complet au sens administratif</w:t>
      </w:r>
      <w:r>
        <w:rPr>
          <w:rFonts w:cstheme="minorHAnsi"/>
        </w:rPr>
        <w:t>, avec annexes, y compris les éléments d’évaluation de la performance environnementale du projet</w:t>
      </w:r>
      <w:r w:rsidR="00A9182C">
        <w:rPr>
          <w:rFonts w:cstheme="minorHAnsi"/>
        </w:rPr>
        <w:t xml:space="preserve"> (cf. annexe </w:t>
      </w:r>
      <w:r w:rsidR="00F64ED3">
        <w:rPr>
          <w:rFonts w:cstheme="minorHAnsi"/>
        </w:rPr>
        <w:t>A</w:t>
      </w:r>
      <w:r w:rsidR="00A9182C">
        <w:rPr>
          <w:rFonts w:cstheme="minorHAnsi"/>
        </w:rPr>
        <w:t>)</w:t>
      </w:r>
      <w:r>
        <w:rPr>
          <w:rFonts w:ascii="Calibri" w:hAnsi="Calibri" w:cs="Calibri"/>
        </w:rPr>
        <w:t> </w:t>
      </w:r>
      <w:r>
        <w:rPr>
          <w:rFonts w:cstheme="minorHAnsi"/>
        </w:rPr>
        <w:t>;</w:t>
      </w:r>
    </w:p>
    <w:p w14:paraId="677045BB" w14:textId="2302ED90" w:rsidR="00C475FC" w:rsidRDefault="00C475FC" w:rsidP="00F459D6">
      <w:pPr>
        <w:pStyle w:val="Paragraphedeliste"/>
        <w:numPr>
          <w:ilvl w:val="0"/>
          <w:numId w:val="20"/>
        </w:numPr>
        <w:spacing w:after="0"/>
        <w:rPr>
          <w:rFonts w:cstheme="minorHAnsi"/>
        </w:rPr>
      </w:pPr>
      <w:r>
        <w:rPr>
          <w:rFonts w:cstheme="minorHAnsi"/>
        </w:rPr>
        <w:t xml:space="preserve">Satisfaire </w:t>
      </w:r>
      <w:r w:rsidR="00B16E22">
        <w:rPr>
          <w:rFonts w:cstheme="minorHAnsi"/>
        </w:rPr>
        <w:t>aux conditions</w:t>
      </w:r>
      <w:r>
        <w:rPr>
          <w:rFonts w:cstheme="minorHAnsi"/>
        </w:rPr>
        <w:t xml:space="preserve"> indiquées au paragraphe </w:t>
      </w:r>
      <w:r>
        <w:rPr>
          <w:rFonts w:cstheme="minorHAnsi"/>
        </w:rPr>
        <w:fldChar w:fldCharType="begin"/>
      </w:r>
      <w:r>
        <w:rPr>
          <w:rFonts w:cstheme="minorHAnsi"/>
        </w:rPr>
        <w:instrText xml:space="preserve"> REF _Ref94197643 \r \h </w:instrText>
      </w:r>
      <w:r>
        <w:rPr>
          <w:rFonts w:cstheme="minorHAnsi"/>
        </w:rPr>
      </w:r>
      <w:r>
        <w:rPr>
          <w:rFonts w:cstheme="minorHAnsi"/>
        </w:rPr>
        <w:fldChar w:fldCharType="separate"/>
      </w:r>
      <w:r>
        <w:rPr>
          <w:rFonts w:cstheme="minorHAnsi"/>
        </w:rPr>
        <w:t>2.1</w:t>
      </w:r>
      <w:r>
        <w:rPr>
          <w:rFonts w:cstheme="minorHAnsi"/>
        </w:rPr>
        <w:fldChar w:fldCharType="end"/>
      </w:r>
      <w:r>
        <w:rPr>
          <w:rFonts w:cstheme="minorHAnsi"/>
        </w:rPr>
        <w:t xml:space="preserve">, notamment en termes de </w:t>
      </w:r>
      <w:r w:rsidRPr="00A9182C">
        <w:rPr>
          <w:rFonts w:cstheme="minorHAnsi"/>
          <w:b/>
        </w:rPr>
        <w:t>montant d’assiettes de dépenses</w:t>
      </w:r>
      <w:r w:rsidRPr="00A9182C">
        <w:rPr>
          <w:rFonts w:ascii="Calibri" w:hAnsi="Calibri" w:cs="Calibri"/>
          <w:b/>
        </w:rPr>
        <w:t> </w:t>
      </w:r>
    </w:p>
    <w:p w14:paraId="593005C0" w14:textId="593706B2" w:rsidR="00C475FC" w:rsidRDefault="00C475FC" w:rsidP="00F459D6">
      <w:pPr>
        <w:pStyle w:val="Paragraphedeliste"/>
        <w:numPr>
          <w:ilvl w:val="0"/>
          <w:numId w:val="20"/>
        </w:numPr>
        <w:spacing w:after="120"/>
        <w:textAlignment w:val="baseline"/>
        <w:rPr>
          <w:rFonts w:cstheme="minorHAnsi"/>
          <w:i/>
        </w:rPr>
      </w:pPr>
      <w:r>
        <w:rPr>
          <w:rFonts w:cstheme="minorHAnsi"/>
        </w:rPr>
        <w:t xml:space="preserve">Etre porté uniquement par des sociétés aptes à recevoir des aides publiques (à jour de leurs obligations fiscales et sociales, ne </w:t>
      </w:r>
      <w:r w:rsidR="008B6B26">
        <w:rPr>
          <w:rFonts w:cstheme="minorHAnsi"/>
        </w:rPr>
        <w:t>faisant pas</w:t>
      </w:r>
      <w:r>
        <w:rPr>
          <w:rFonts w:cstheme="minorHAnsi"/>
        </w:rPr>
        <w:t xml:space="preserve"> l’objet de procédures judiciaires, </w:t>
      </w:r>
      <w:r w:rsidR="008B6B26">
        <w:rPr>
          <w:rFonts w:cstheme="minorHAnsi"/>
          <w:b/>
        </w:rPr>
        <w:t>n’ayant pas</w:t>
      </w:r>
      <w:r w:rsidRPr="00A9182C">
        <w:rPr>
          <w:rFonts w:cstheme="minorHAnsi"/>
          <w:b/>
        </w:rPr>
        <w:t xml:space="preserve"> le statut d’entreprise en difficulté</w:t>
      </w:r>
      <w:r>
        <w:rPr>
          <w:rStyle w:val="Appelnotedebasdep"/>
          <w:rFonts w:cstheme="minorHAnsi"/>
        </w:rPr>
        <w:footnoteReference w:id="5"/>
      </w:r>
      <w:r>
        <w:rPr>
          <w:rFonts w:cstheme="minorHAnsi"/>
        </w:rPr>
        <w:t>)</w:t>
      </w:r>
      <w:r>
        <w:rPr>
          <w:rFonts w:ascii="Calibri" w:hAnsi="Calibri" w:cs="Calibri"/>
        </w:rPr>
        <w:t> </w:t>
      </w:r>
      <w:r>
        <w:rPr>
          <w:rFonts w:cstheme="minorHAnsi"/>
        </w:rPr>
        <w:t>;</w:t>
      </w:r>
    </w:p>
    <w:p w14:paraId="22598964" w14:textId="69A4EC98" w:rsidR="00C475FC" w:rsidRPr="00A9182C" w:rsidRDefault="00C475FC" w:rsidP="00F459D6">
      <w:pPr>
        <w:pStyle w:val="Paragraphedeliste"/>
        <w:numPr>
          <w:ilvl w:val="0"/>
          <w:numId w:val="20"/>
        </w:numPr>
        <w:autoSpaceDE w:val="0"/>
        <w:autoSpaceDN w:val="0"/>
        <w:adjustRightInd w:val="0"/>
        <w:spacing w:after="240"/>
        <w:rPr>
          <w:rFonts w:cstheme="minorHAnsi"/>
          <w:b/>
          <w:bCs/>
          <w:szCs w:val="23"/>
        </w:rPr>
      </w:pPr>
      <w:r>
        <w:rPr>
          <w:rFonts w:cstheme="minorHAnsi"/>
          <w:szCs w:val="23"/>
        </w:rPr>
        <w:t>Dans le cas d’un cumul d’aide, sur une même assiette avec un co-financement qualifié d’aide d’État octroyé dans le cadre d’un dispositif national, régional ou européen, les intensités maximales prévues par les régimes d’aides seront respectées sur chaque assiette</w:t>
      </w:r>
      <w:r w:rsidR="00C318D9">
        <w:rPr>
          <w:rFonts w:cstheme="minorHAnsi"/>
          <w:szCs w:val="23"/>
        </w:rPr>
        <w:t xml:space="preserve"> (précisés au 3.4)</w:t>
      </w:r>
      <w:r>
        <w:rPr>
          <w:rFonts w:cstheme="minorHAnsi"/>
          <w:szCs w:val="23"/>
        </w:rPr>
        <w:t>, compte tenu de toutes les aides</w:t>
      </w:r>
      <w:r w:rsidR="00C318D9">
        <w:rPr>
          <w:rFonts w:cstheme="minorHAnsi"/>
          <w:szCs w:val="23"/>
        </w:rPr>
        <w:t xml:space="preserve"> publiques</w:t>
      </w:r>
      <w:r>
        <w:rPr>
          <w:rFonts w:cstheme="minorHAnsi"/>
          <w:szCs w:val="23"/>
        </w:rPr>
        <w:t xml:space="preserve"> versées à l’entreprise pour réaliser le projet.</w:t>
      </w:r>
    </w:p>
    <w:p w14:paraId="4F8E0682" w14:textId="32FEE3E9" w:rsidR="00A9182C" w:rsidRPr="00547258" w:rsidRDefault="00A9182C" w:rsidP="00F459D6">
      <w:pPr>
        <w:pStyle w:val="Paragraphedeliste"/>
        <w:numPr>
          <w:ilvl w:val="0"/>
          <w:numId w:val="20"/>
        </w:numPr>
        <w:pBdr>
          <w:top w:val="nil"/>
          <w:left w:val="nil"/>
          <w:bottom w:val="nil"/>
          <w:right w:val="nil"/>
          <w:between w:val="nil"/>
        </w:pBdr>
        <w:spacing w:before="120" w:after="0"/>
        <w:rPr>
          <w:b/>
          <w:color w:val="000000"/>
        </w:rPr>
      </w:pPr>
      <w:r>
        <w:rPr>
          <w:rFonts w:ascii="Marianne" w:hAnsi="Marianne"/>
          <w:color w:val="000000"/>
        </w:rPr>
        <w:t>Respecter le critère</w:t>
      </w:r>
      <w:r w:rsidRPr="000B00DF">
        <w:rPr>
          <w:rFonts w:ascii="Marianne" w:hAnsi="Marianne"/>
          <w:color w:val="000000"/>
        </w:rPr>
        <w:t xml:space="preserve"> d’</w:t>
      </w:r>
      <w:proofErr w:type="spellStart"/>
      <w:r w:rsidRPr="000B00DF">
        <w:rPr>
          <w:rFonts w:ascii="Marianne" w:hAnsi="Marianne"/>
          <w:color w:val="000000"/>
        </w:rPr>
        <w:t>incitativité</w:t>
      </w:r>
      <w:proofErr w:type="spellEnd"/>
      <w:r w:rsidRPr="000B00DF">
        <w:rPr>
          <w:rFonts w:ascii="Marianne" w:hAnsi="Marianne"/>
          <w:color w:val="000000"/>
        </w:rPr>
        <w:t xml:space="preserve"> de l’aide</w:t>
      </w:r>
      <w:r w:rsidRPr="000B00DF">
        <w:rPr>
          <w:rFonts w:ascii="Calibri" w:hAnsi="Calibri" w:cs="Calibri"/>
          <w:color w:val="000000"/>
        </w:rPr>
        <w:t> </w:t>
      </w:r>
      <w:r w:rsidRPr="000B00DF">
        <w:rPr>
          <w:rFonts w:ascii="Marianne" w:hAnsi="Marianne"/>
          <w:color w:val="000000"/>
        </w:rPr>
        <w:t>:</w:t>
      </w:r>
      <w:r w:rsidRPr="00547258">
        <w:rPr>
          <w:b/>
          <w:color w:val="000000"/>
        </w:rPr>
        <w:t xml:space="preserve"> </w:t>
      </w:r>
      <w:r w:rsidRPr="00547258">
        <w:rPr>
          <w:color w:val="000000"/>
        </w:rPr>
        <w:t>s</w:t>
      </w:r>
      <w:r w:rsidRPr="000078E2">
        <w:t>elon l’article 6 du RGEC, une aide est réputée avoir un effet incitatif si le bénéficiaire a présenté une demande d'aide</w:t>
      </w:r>
      <w:r w:rsidRPr="000078E2">
        <w:rPr>
          <w:vertAlign w:val="superscript"/>
        </w:rPr>
        <w:footnoteReference w:id="6"/>
      </w:r>
      <w:r w:rsidRPr="000078E2">
        <w:t xml:space="preserve"> écrite à l'État membre concerné avant le début des travaux liés au projet ou à l'activité en question.</w:t>
      </w:r>
      <w:r w:rsidR="00C819BA">
        <w:rPr>
          <w:rStyle w:val="Appelnotedebasdep"/>
        </w:rPr>
        <w:footnoteReference w:id="7"/>
      </w:r>
    </w:p>
    <w:p w14:paraId="65DA5FE6" w14:textId="77777777" w:rsidR="00C819BA" w:rsidRDefault="00C819BA" w:rsidP="00C475FC">
      <w:pPr>
        <w:pStyle w:val="Normal11"/>
        <w:tabs>
          <w:tab w:val="left" w:pos="1335"/>
        </w:tabs>
        <w:spacing w:after="120"/>
        <w:contextualSpacing/>
        <w:jc w:val="both"/>
        <w:rPr>
          <w:rFonts w:ascii="Marianne Thin" w:eastAsiaTheme="minorHAnsi" w:hAnsi="Marianne Thin" w:cstheme="minorHAnsi"/>
          <w:b/>
          <w:color w:val="auto"/>
          <w:sz w:val="22"/>
          <w:szCs w:val="22"/>
          <w:lang w:eastAsia="en-US" w:bidi="ar-SA"/>
        </w:rPr>
      </w:pPr>
    </w:p>
    <w:p w14:paraId="5FF897B8" w14:textId="69EDE0EA" w:rsidR="00C475FC" w:rsidRPr="00C475FC" w:rsidRDefault="00C475FC" w:rsidP="00C475FC">
      <w:pPr>
        <w:pStyle w:val="Normal11"/>
        <w:tabs>
          <w:tab w:val="left" w:pos="1335"/>
        </w:tabs>
        <w:spacing w:after="120"/>
        <w:contextualSpacing/>
        <w:jc w:val="both"/>
        <w:rPr>
          <w:rFonts w:ascii="Marianne Thin" w:eastAsiaTheme="minorHAnsi" w:hAnsi="Marianne Thin" w:cstheme="minorHAnsi"/>
          <w:b/>
          <w:color w:val="auto"/>
          <w:sz w:val="22"/>
          <w:szCs w:val="22"/>
          <w:lang w:eastAsia="en-US" w:bidi="ar-SA"/>
        </w:rPr>
      </w:pPr>
      <w:r w:rsidRPr="00C475FC">
        <w:rPr>
          <w:rFonts w:ascii="Marianne Thin" w:eastAsiaTheme="minorHAnsi" w:hAnsi="Marianne Thin" w:cstheme="minorHAnsi"/>
          <w:b/>
          <w:color w:val="auto"/>
          <w:sz w:val="22"/>
          <w:szCs w:val="22"/>
          <w:lang w:eastAsia="en-US" w:bidi="ar-SA"/>
        </w:rPr>
        <w:t>Les projets ne respectant pas l’un des critères d’éligibilité sont écartés du processus de sélection, sans recours possible.</w:t>
      </w:r>
    </w:p>
    <w:p w14:paraId="7EAE03DB" w14:textId="768B5D0A" w:rsidR="001F5B55" w:rsidRDefault="001F5B55" w:rsidP="00791703">
      <w:pPr>
        <w:spacing w:before="120" w:after="180"/>
        <w:jc w:val="left"/>
      </w:pPr>
    </w:p>
    <w:p w14:paraId="364D4F19" w14:textId="77777777" w:rsidR="00E012A9" w:rsidRPr="009B1444" w:rsidRDefault="00E012A9" w:rsidP="00536BEC">
      <w:pPr>
        <w:pStyle w:val="Titre2"/>
        <w:ind w:left="567" w:right="-2"/>
      </w:pPr>
      <w:bookmarkStart w:id="22" w:name="_Toc95386105"/>
      <w:r w:rsidRPr="009B1444">
        <w:t>Réunion de pré-dépôt</w:t>
      </w:r>
      <w:bookmarkEnd w:id="22"/>
    </w:p>
    <w:p w14:paraId="4EE053F0" w14:textId="77777777" w:rsidR="00E012A9" w:rsidRPr="000078E2" w:rsidRDefault="00E012A9" w:rsidP="00E012A9">
      <w:pPr>
        <w:spacing w:before="120" w:after="120"/>
      </w:pPr>
      <w:r w:rsidRPr="000078E2">
        <w:t>Cette étape</w:t>
      </w:r>
      <w:r>
        <w:t>,</w:t>
      </w:r>
      <w:r w:rsidRPr="000078E2">
        <w:t xml:space="preserve"> nécessaire pour envisager un dépôt, a vocation à orienter et à conseiller le porteur de projet sur</w:t>
      </w:r>
      <w:r>
        <w:rPr>
          <w:rFonts w:ascii="Calibri" w:hAnsi="Calibri" w:cs="Calibri"/>
        </w:rPr>
        <w:t xml:space="preserve"> </w:t>
      </w:r>
      <w:r w:rsidRPr="000078E2">
        <w:t>les points suivants</w:t>
      </w:r>
      <w:r w:rsidRPr="000078E2">
        <w:rPr>
          <w:rFonts w:ascii="Calibri" w:hAnsi="Calibri" w:cs="Calibri"/>
        </w:rPr>
        <w:t> </w:t>
      </w:r>
      <w:r w:rsidRPr="000078E2">
        <w:t>:</w:t>
      </w:r>
    </w:p>
    <w:p w14:paraId="0F010092" w14:textId="673EBA07" w:rsidR="00E012A9" w:rsidRPr="000078E2" w:rsidRDefault="00E012A9" w:rsidP="00E012A9">
      <w:pPr>
        <w:numPr>
          <w:ilvl w:val="0"/>
          <w:numId w:val="6"/>
        </w:numPr>
        <w:spacing w:before="120" w:after="120"/>
        <w:ind w:left="1134" w:hanging="283"/>
        <w:contextualSpacing/>
      </w:pPr>
      <w:r w:rsidRPr="000078E2">
        <w:t>Adéquation du projet avec les attendus du cahier des charges</w:t>
      </w:r>
      <w:r w:rsidR="00554981">
        <w:t>,</w:t>
      </w:r>
    </w:p>
    <w:p w14:paraId="347FA779" w14:textId="77777777" w:rsidR="00E012A9" w:rsidRPr="000078E2" w:rsidRDefault="00E012A9" w:rsidP="00E012A9">
      <w:pPr>
        <w:numPr>
          <w:ilvl w:val="0"/>
          <w:numId w:val="6"/>
        </w:numPr>
        <w:spacing w:before="120" w:after="120"/>
        <w:ind w:left="1134" w:hanging="283"/>
        <w:contextualSpacing/>
      </w:pPr>
      <w:r w:rsidRPr="000078E2">
        <w:t xml:space="preserve">Caractère impactant et </w:t>
      </w:r>
      <w:r>
        <w:t>structurant</w:t>
      </w:r>
      <w:r w:rsidRPr="000078E2">
        <w:t xml:space="preserve"> du projet proposé dans le </w:t>
      </w:r>
      <w:r>
        <w:t>secteur</w:t>
      </w:r>
      <w:r w:rsidRPr="000078E2">
        <w:t xml:space="preserve"> de </w:t>
      </w:r>
      <w:r>
        <w:t>l’offre des énergies renouvelables</w:t>
      </w:r>
      <w:r w:rsidRPr="000078E2">
        <w:t xml:space="preserve"> </w:t>
      </w:r>
      <w:r>
        <w:t>pour favoriser le développement de l’économie française.</w:t>
      </w:r>
    </w:p>
    <w:p w14:paraId="20489CE8" w14:textId="77777777" w:rsidR="00E012A9" w:rsidRPr="000078E2" w:rsidRDefault="00E012A9" w:rsidP="00E012A9">
      <w:pPr>
        <w:spacing w:before="120" w:after="120"/>
      </w:pPr>
    </w:p>
    <w:p w14:paraId="63E9857A" w14:textId="77777777" w:rsidR="00E012A9" w:rsidRPr="001D1063" w:rsidRDefault="00E012A9" w:rsidP="00E012A9">
      <w:pPr>
        <w:spacing w:before="120" w:after="180"/>
        <w:rPr>
          <w:b/>
        </w:rPr>
      </w:pPr>
      <w:r w:rsidRPr="000078E2">
        <w:t xml:space="preserve">Le porteur doit contacter l’ADEME pour organiser </w:t>
      </w:r>
      <w:r>
        <w:t>cette</w:t>
      </w:r>
      <w:r w:rsidRPr="000078E2">
        <w:t xml:space="preserve"> réunion de pré-dépôt, à l’adresse suivante</w:t>
      </w:r>
      <w:r w:rsidRPr="000078E2">
        <w:rPr>
          <w:rFonts w:ascii="Calibri" w:hAnsi="Calibri" w:cs="Calibri"/>
        </w:rPr>
        <w:t> </w:t>
      </w:r>
      <w:r w:rsidRPr="000078E2">
        <w:t xml:space="preserve">: </w:t>
      </w:r>
      <w:hyperlink r:id="rId15" w:history="1">
        <w:r w:rsidRPr="00D44B4A">
          <w:rPr>
            <w:rStyle w:val="Lienhypertexte"/>
            <w:b/>
          </w:rPr>
          <w:t>industrieenr@ademe.fr</w:t>
        </w:r>
      </w:hyperlink>
      <w:r w:rsidRPr="001D1063">
        <w:rPr>
          <w:b/>
          <w:u w:val="single"/>
        </w:rPr>
        <w:t>.</w:t>
      </w:r>
      <w:r w:rsidRPr="001D1063">
        <w:rPr>
          <w:b/>
        </w:rPr>
        <w:t xml:space="preserve"> Il devra transmettre à l’ADEME une version complétée de l’annexe 1 avant la réunion de pré-dépôt.</w:t>
      </w:r>
    </w:p>
    <w:p w14:paraId="10B282D3" w14:textId="77777777" w:rsidR="00E012A9" w:rsidRDefault="00E012A9" w:rsidP="00E012A9">
      <w:pPr>
        <w:spacing w:before="120" w:after="180"/>
      </w:pPr>
    </w:p>
    <w:p w14:paraId="2B51828A" w14:textId="77777777" w:rsidR="00E012A9" w:rsidRPr="009B1444" w:rsidRDefault="00E012A9" w:rsidP="00536BEC">
      <w:pPr>
        <w:pStyle w:val="Titre2"/>
        <w:ind w:left="426" w:right="-2"/>
      </w:pPr>
      <w:bookmarkStart w:id="23" w:name="_Toc95386106"/>
      <w:r w:rsidRPr="009B1444">
        <w:t>Dépôt</w:t>
      </w:r>
      <w:bookmarkEnd w:id="23"/>
      <w:r w:rsidRPr="009B1444">
        <w:t xml:space="preserve"> </w:t>
      </w:r>
    </w:p>
    <w:p w14:paraId="7109B036" w14:textId="4AEA30AB" w:rsidR="00E012A9" w:rsidRPr="000078E2" w:rsidRDefault="00E012A9" w:rsidP="00E012A9">
      <w:pPr>
        <w:spacing w:before="120" w:after="120"/>
        <w:rPr>
          <w:color w:val="000000"/>
        </w:rPr>
      </w:pPr>
      <w:r w:rsidRPr="000078E2">
        <w:rPr>
          <w:color w:val="000000"/>
        </w:rPr>
        <w:t>Les projets doivent être adressés</w:t>
      </w:r>
      <w:r w:rsidR="00CB3A08">
        <w:rPr>
          <w:color w:val="000000"/>
        </w:rPr>
        <w:t xml:space="preserve"> au fil de l’eau</w:t>
      </w:r>
      <w:r w:rsidRPr="000078E2">
        <w:rPr>
          <w:color w:val="000000"/>
        </w:rPr>
        <w:t xml:space="preserve"> sous forme électronique via la plateforme de l’ADEME :</w:t>
      </w:r>
    </w:p>
    <w:p w14:paraId="1BB9FDC8" w14:textId="77777777" w:rsidR="00E012A9" w:rsidRDefault="00427F01" w:rsidP="00E012A9">
      <w:pPr>
        <w:spacing w:before="120" w:after="180"/>
        <w:jc w:val="center"/>
      </w:pPr>
      <w:hyperlink r:id="rId16" w:history="1">
        <w:r w:rsidR="00E012A9" w:rsidRPr="000078E2">
          <w:rPr>
            <w:color w:val="0563C1" w:themeColor="hyperlink"/>
            <w:u w:val="single"/>
          </w:rPr>
          <w:t>https://agirpourlatransition.ademe.fr/</w:t>
        </w:r>
      </w:hyperlink>
      <w:r w:rsidR="00E012A9" w:rsidRPr="000078E2">
        <w:t xml:space="preserve"> </w:t>
      </w:r>
    </w:p>
    <w:p w14:paraId="4949A65E" w14:textId="058486F2" w:rsidR="00E012A9" w:rsidRPr="00D967D5" w:rsidRDefault="00E012A9" w:rsidP="00E012A9">
      <w:pPr>
        <w:spacing w:before="120" w:after="180"/>
      </w:pPr>
      <w:r w:rsidRPr="00D967D5">
        <w:t>Attention, en cas de projet collaboratif</w:t>
      </w:r>
      <w:r w:rsidR="00C819BA">
        <w:rPr>
          <w:rStyle w:val="Appelnotedebasdep"/>
        </w:rPr>
        <w:footnoteReference w:id="8"/>
      </w:r>
      <w:r w:rsidRPr="00D967D5">
        <w:t xml:space="preserve">, seul le coordonnateur du projet est habilité à déposer le dossier sur la plateforme. Cependant, le dépôt engendre une demande de validation adressée à tous les partenaires via un mail généré à partir de la plateforme. </w:t>
      </w:r>
    </w:p>
    <w:p w14:paraId="3555E16C" w14:textId="26FD5E3F" w:rsidR="00E012A9" w:rsidRDefault="00E012A9" w:rsidP="00E012A9">
      <w:pPr>
        <w:spacing w:before="120" w:after="120"/>
      </w:pPr>
    </w:p>
    <w:p w14:paraId="61155274" w14:textId="20C4AD79" w:rsidR="00C819BA" w:rsidRDefault="00C819BA" w:rsidP="00E012A9">
      <w:pPr>
        <w:spacing w:before="120" w:after="120"/>
      </w:pPr>
    </w:p>
    <w:p w14:paraId="343FC6DC" w14:textId="77777777" w:rsidR="00C819BA" w:rsidRPr="000078E2" w:rsidRDefault="00C819BA" w:rsidP="00E012A9">
      <w:pPr>
        <w:spacing w:before="120" w:after="120"/>
      </w:pPr>
    </w:p>
    <w:p w14:paraId="3AB5C3E7" w14:textId="1B409E6E" w:rsidR="00E012A9" w:rsidRPr="009B1444" w:rsidRDefault="00E2085B" w:rsidP="00536BEC">
      <w:pPr>
        <w:pStyle w:val="Titre2"/>
        <w:ind w:left="426"/>
      </w:pPr>
      <w:bookmarkStart w:id="24" w:name="_Toc95386107"/>
      <w:r>
        <w:t xml:space="preserve">Processus de </w:t>
      </w:r>
      <w:r w:rsidR="004947CF">
        <w:t>sélection</w:t>
      </w:r>
      <w:bookmarkEnd w:id="24"/>
    </w:p>
    <w:p w14:paraId="072C48C5" w14:textId="77777777" w:rsidR="004947CF" w:rsidRPr="004947CF" w:rsidRDefault="004947CF" w:rsidP="004947CF">
      <w:pPr>
        <w:pStyle w:val="Normal11"/>
        <w:spacing w:line="276" w:lineRule="auto"/>
        <w:jc w:val="both"/>
        <w:rPr>
          <w:rFonts w:ascii="Marianne Thin" w:eastAsiaTheme="minorHAnsi" w:hAnsi="Marianne Thin" w:cstheme="minorBidi"/>
          <w:color w:val="auto"/>
          <w:sz w:val="22"/>
          <w:szCs w:val="22"/>
          <w:lang w:eastAsia="en-US" w:bidi="ar-SA"/>
        </w:rPr>
      </w:pPr>
      <w:proofErr w:type="gramStart"/>
      <w:r w:rsidRPr="004947CF">
        <w:rPr>
          <w:rFonts w:ascii="Marianne Thin" w:eastAsiaTheme="minorHAnsi" w:hAnsi="Marianne Thin" w:cstheme="minorBidi"/>
          <w:color w:val="auto"/>
          <w:sz w:val="22"/>
          <w:szCs w:val="22"/>
          <w:lang w:eastAsia="en-US" w:bidi="ar-SA"/>
        </w:rPr>
        <w:t>l’ADEME</w:t>
      </w:r>
      <w:proofErr w:type="gramEnd"/>
      <w:r w:rsidRPr="004947CF">
        <w:rPr>
          <w:rFonts w:ascii="Marianne Thin" w:eastAsiaTheme="minorHAnsi" w:hAnsi="Marianne Thin" w:cstheme="minorBidi"/>
          <w:color w:val="auto"/>
          <w:sz w:val="22"/>
          <w:szCs w:val="22"/>
          <w:lang w:eastAsia="en-US" w:bidi="ar-SA"/>
        </w:rPr>
        <w:t xml:space="preserve"> conduit une première analyse d’éligibilité. </w:t>
      </w:r>
    </w:p>
    <w:p w14:paraId="48F073ED" w14:textId="77777777" w:rsidR="004947CF" w:rsidRPr="004947CF" w:rsidRDefault="004947CF" w:rsidP="004947CF">
      <w:pPr>
        <w:pStyle w:val="Normal11"/>
        <w:spacing w:line="276" w:lineRule="auto"/>
        <w:jc w:val="both"/>
        <w:rPr>
          <w:rFonts w:ascii="Marianne Thin" w:eastAsiaTheme="minorHAnsi" w:hAnsi="Marianne Thin" w:cstheme="minorBidi"/>
          <w:color w:val="auto"/>
          <w:sz w:val="22"/>
          <w:szCs w:val="22"/>
          <w:lang w:eastAsia="en-US" w:bidi="ar-SA"/>
        </w:rPr>
      </w:pPr>
      <w:r w:rsidRPr="004947CF">
        <w:rPr>
          <w:rFonts w:ascii="Marianne Thin" w:eastAsiaTheme="minorHAnsi" w:hAnsi="Marianne Thin" w:cstheme="minorBidi"/>
          <w:color w:val="auto"/>
          <w:sz w:val="22"/>
          <w:szCs w:val="22"/>
          <w:lang w:eastAsia="en-US" w:bidi="ar-SA"/>
        </w:rPr>
        <w:t xml:space="preserve">La procédure de sélection est définie dans le cadre de la mise en œuvre du Plan d’investissement France 2030 et donne lieu à une gouvernance réunissant les représentants des ministères concernés. </w:t>
      </w:r>
    </w:p>
    <w:p w14:paraId="4B9C1414" w14:textId="57B99719" w:rsidR="004947CF" w:rsidRPr="004947CF" w:rsidRDefault="004947CF" w:rsidP="004947CF">
      <w:pPr>
        <w:pStyle w:val="Normal11"/>
        <w:spacing w:after="120" w:line="276" w:lineRule="auto"/>
        <w:jc w:val="both"/>
        <w:rPr>
          <w:rFonts w:ascii="Marianne Thin" w:eastAsiaTheme="minorHAnsi" w:hAnsi="Marianne Thin" w:cstheme="minorBidi"/>
          <w:color w:val="auto"/>
          <w:sz w:val="22"/>
          <w:szCs w:val="22"/>
          <w:lang w:eastAsia="en-US" w:bidi="ar-SA"/>
        </w:rPr>
      </w:pPr>
      <w:r w:rsidRPr="004947CF">
        <w:rPr>
          <w:rFonts w:ascii="Marianne Thin" w:eastAsiaTheme="minorHAnsi" w:hAnsi="Marianne Thin" w:cstheme="minorBidi"/>
          <w:color w:val="auto"/>
          <w:sz w:val="22"/>
          <w:szCs w:val="22"/>
          <w:lang w:eastAsia="en-US" w:bidi="ar-SA"/>
        </w:rPr>
        <w:t>La décision d’octroi de l’aide financière est prise par le Premier ministre et intervient, dans le cas général, sous un délai de 3 mois.</w:t>
      </w:r>
    </w:p>
    <w:p w14:paraId="447CDC17" w14:textId="3DC501AE" w:rsidR="00E012A9" w:rsidRPr="00D967D5" w:rsidRDefault="00E012A9" w:rsidP="00E012A9">
      <w:pPr>
        <w:spacing w:before="240"/>
      </w:pPr>
    </w:p>
    <w:p w14:paraId="05144383" w14:textId="77777777" w:rsidR="00E012A9" w:rsidRPr="000078E2" w:rsidRDefault="00E012A9" w:rsidP="00E012A9">
      <w:pPr>
        <w:rPr>
          <w:b/>
        </w:rPr>
      </w:pPr>
    </w:p>
    <w:p w14:paraId="756EB44E" w14:textId="77777777" w:rsidR="00E012A9" w:rsidRPr="00F656EC" w:rsidRDefault="00E012A9" w:rsidP="00536BEC">
      <w:pPr>
        <w:pStyle w:val="Titre2"/>
        <w:spacing w:before="280" w:after="240"/>
        <w:ind w:left="567" w:hanging="567"/>
        <w:jc w:val="left"/>
      </w:pPr>
      <w:bookmarkStart w:id="25" w:name="_Toc95386108"/>
      <w:r w:rsidRPr="00F656EC">
        <w:t>Contractualisation</w:t>
      </w:r>
      <w:bookmarkEnd w:id="25"/>
    </w:p>
    <w:p w14:paraId="33080B9F" w14:textId="77777777" w:rsidR="00E012A9" w:rsidRDefault="00E012A9" w:rsidP="00E012A9">
      <w:pPr>
        <w:spacing w:before="120" w:after="120"/>
      </w:pPr>
      <w:r w:rsidRPr="00D967D5">
        <w:t xml:space="preserve">En cas de projet collaboratif, l’ADEME contractualise avec chacun des partenaires du projet bénéficiant d’une aide; la convention est </w:t>
      </w:r>
      <w:r w:rsidRPr="00D967D5">
        <w:rPr>
          <w:rFonts w:cs="Marianne"/>
        </w:rPr>
        <w:t>é</w:t>
      </w:r>
      <w:r w:rsidRPr="00D967D5">
        <w:t>tablie entre l</w:t>
      </w:r>
      <w:r w:rsidRPr="00D967D5">
        <w:rPr>
          <w:rFonts w:cs="Marianne"/>
        </w:rPr>
        <w:t>’</w:t>
      </w:r>
      <w:r w:rsidRPr="00D967D5">
        <w:t>ADEME et chaque entit</w:t>
      </w:r>
      <w:r w:rsidRPr="00D967D5">
        <w:rPr>
          <w:rFonts w:cs="Marianne"/>
        </w:rPr>
        <w:t>é</w:t>
      </w:r>
      <w:r w:rsidRPr="00D967D5">
        <w:t xml:space="preserve"> juridique (déterminée par le numéro de SIRET du </w:t>
      </w:r>
      <w:r>
        <w:t xml:space="preserve">siège social du </w:t>
      </w:r>
      <w:r w:rsidRPr="00D967D5">
        <w:t>bénéficiaire) qui réalise les dépenses du projet.</w:t>
      </w:r>
    </w:p>
    <w:p w14:paraId="56B2B332" w14:textId="2D2ED88A" w:rsidR="00E012A9" w:rsidRDefault="00E012A9" w:rsidP="00E012A9">
      <w:pPr>
        <w:spacing w:after="9" w:line="268" w:lineRule="auto"/>
        <w:ind w:right="60"/>
        <w:rPr>
          <w:rFonts w:cstheme="minorHAnsi"/>
        </w:rPr>
      </w:pPr>
      <w:r>
        <w:rPr>
          <w:rFonts w:cstheme="minorHAnsi"/>
        </w:rPr>
        <w:t>Cette convention précise notamment l’utilisation des crédits, le contenu du projet, le calendrier de réalisation, les modalités de pilotage du projet, le montant des tranches et les critères de déclenchement des tranches successives, les modalités de restitution des données nécessaires au suivi et à l’évaluation des investissements,</w:t>
      </w:r>
      <w:r w:rsidR="00554981">
        <w:rPr>
          <w:rFonts w:cstheme="minorHAnsi"/>
        </w:rPr>
        <w:t xml:space="preserve"> les modalités de retours financiers dans le cas d’avances rembou</w:t>
      </w:r>
      <w:r w:rsidR="00CB3A08">
        <w:rPr>
          <w:rFonts w:cstheme="minorHAnsi"/>
        </w:rPr>
        <w:t>r</w:t>
      </w:r>
      <w:r w:rsidR="00554981">
        <w:rPr>
          <w:rFonts w:cstheme="minorHAnsi"/>
        </w:rPr>
        <w:t>sables</w:t>
      </w:r>
      <w:r>
        <w:rPr>
          <w:rFonts w:cstheme="minorHAnsi"/>
        </w:rPr>
        <w:t xml:space="preserve"> et les modalités de communication. </w:t>
      </w:r>
    </w:p>
    <w:p w14:paraId="2091563D" w14:textId="77777777" w:rsidR="00E012A9" w:rsidRDefault="00E012A9" w:rsidP="00E012A9">
      <w:pPr>
        <w:spacing w:after="9" w:line="268" w:lineRule="auto"/>
        <w:ind w:right="60"/>
        <w:rPr>
          <w:rFonts w:asciiTheme="minorHAnsi" w:hAnsiTheme="minorHAnsi" w:cstheme="minorHAnsi"/>
        </w:rPr>
      </w:pPr>
      <w:r>
        <w:rPr>
          <w:rFonts w:cstheme="minorHAnsi"/>
        </w:rPr>
        <w:t>La convention d’aide est signée dans le cas général dans un délai de 3 mois à compter de la décision ministérielle, sous peine de perte du bénéfice de la décision d’aide.</w:t>
      </w:r>
    </w:p>
    <w:p w14:paraId="02A62A2C" w14:textId="77777777" w:rsidR="00E012A9" w:rsidRPr="00F656EC" w:rsidRDefault="00E012A9" w:rsidP="00E012A9">
      <w:pPr>
        <w:spacing w:before="120" w:after="120"/>
        <w:rPr>
          <w:rFonts w:ascii="Marianne" w:hAnsi="Marianne"/>
        </w:rPr>
      </w:pPr>
    </w:p>
    <w:p w14:paraId="3BAC7C74" w14:textId="77777777" w:rsidR="00E012A9" w:rsidRPr="00D531E6" w:rsidRDefault="00E012A9" w:rsidP="00536BEC">
      <w:pPr>
        <w:pStyle w:val="Titre2"/>
        <w:ind w:left="426"/>
      </w:pPr>
      <w:bookmarkStart w:id="26" w:name="_Toc95386109"/>
      <w:r w:rsidRPr="00D531E6">
        <w:t>Suivi des projets et versement des aides</w:t>
      </w:r>
      <w:bookmarkEnd w:id="26"/>
    </w:p>
    <w:p w14:paraId="632F36E6" w14:textId="77777777" w:rsidR="00E012A9" w:rsidRDefault="00E012A9" w:rsidP="00E012A9">
      <w:pPr>
        <w:spacing w:after="9" w:line="268" w:lineRule="auto"/>
        <w:ind w:right="60"/>
        <w:rPr>
          <w:rFonts w:cstheme="minorHAnsi"/>
        </w:rPr>
      </w:pPr>
    </w:p>
    <w:p w14:paraId="2559EE59" w14:textId="445A43CE" w:rsidR="00E012A9" w:rsidRDefault="00E012A9" w:rsidP="00E012A9">
      <w:pPr>
        <w:spacing w:after="9" w:line="268" w:lineRule="auto"/>
        <w:ind w:right="60"/>
        <w:rPr>
          <w:rFonts w:asciiTheme="minorHAnsi" w:hAnsiTheme="minorHAnsi" w:cstheme="minorHAnsi"/>
        </w:rPr>
      </w:pPr>
      <w:r>
        <w:rPr>
          <w:rFonts w:cstheme="minorHAnsi"/>
        </w:rPr>
        <w:t xml:space="preserve">Le bénéficiaire met en place un tableau de bord comportant des indicateurs de suivi de l’avancement des projets et des résultats obtenus. La convention définira les modalités de suivi du </w:t>
      </w:r>
      <w:r w:rsidR="00184384">
        <w:rPr>
          <w:rFonts w:cstheme="minorHAnsi"/>
        </w:rPr>
        <w:t>projet et d’échange avec l’ADEME</w:t>
      </w:r>
      <w:r>
        <w:rPr>
          <w:rFonts w:cstheme="minorHAnsi"/>
        </w:rPr>
        <w:t>.</w:t>
      </w:r>
    </w:p>
    <w:p w14:paraId="0619892D" w14:textId="77777777" w:rsidR="00E012A9" w:rsidRDefault="00E012A9" w:rsidP="00E012A9">
      <w:pPr>
        <w:spacing w:after="9" w:line="268" w:lineRule="auto"/>
        <w:ind w:right="60"/>
        <w:rPr>
          <w:rFonts w:cstheme="minorHAnsi"/>
        </w:rPr>
      </w:pPr>
    </w:p>
    <w:p w14:paraId="1CB049B5" w14:textId="77777777" w:rsidR="00E012A9" w:rsidRDefault="00E012A9" w:rsidP="00E012A9">
      <w:pPr>
        <w:spacing w:after="9" w:line="268" w:lineRule="auto"/>
        <w:ind w:right="60"/>
        <w:rPr>
          <w:rFonts w:cstheme="minorHAnsi"/>
        </w:rPr>
      </w:pPr>
      <w:r>
        <w:rPr>
          <w:rFonts w:cstheme="minorHAnsi"/>
        </w:rPr>
        <w:t xml:space="preserve">L’aide sera versée en plusieurs tranches, comprenant une avance à la signature de la convention, un ou plusieurs versements intermédiaires en fonction de l’atteinte de niveau de dépenses et un solde à la fin du programme d’investissements. Les versements, y compris le versement initial, pourront être conditionnés au respect de certains des principaux engagements décrits dans le dossier de candidature, notamment en termes d’investissement industriel et d’emploi. </w:t>
      </w:r>
    </w:p>
    <w:p w14:paraId="32086DBC" w14:textId="77777777" w:rsidR="00E012A9" w:rsidRDefault="00E012A9" w:rsidP="00E012A9">
      <w:pPr>
        <w:spacing w:after="9" w:line="268" w:lineRule="auto"/>
        <w:ind w:right="60"/>
        <w:rPr>
          <w:rFonts w:cstheme="minorHAnsi"/>
        </w:rPr>
      </w:pPr>
    </w:p>
    <w:p w14:paraId="08669BFE" w14:textId="526B64E9" w:rsidR="00E012A9" w:rsidRDefault="00E012A9" w:rsidP="00E012A9">
      <w:pPr>
        <w:spacing w:after="9" w:line="268" w:lineRule="auto"/>
        <w:ind w:right="60"/>
        <w:rPr>
          <w:rFonts w:cstheme="minorHAnsi"/>
        </w:rPr>
      </w:pPr>
      <w:r>
        <w:rPr>
          <w:rFonts w:cstheme="minorHAnsi"/>
        </w:rPr>
        <w:t xml:space="preserve">Les biens matériels objets d’une aide dans le cadre de cet </w:t>
      </w:r>
      <w:r w:rsidR="007E3E7F">
        <w:rPr>
          <w:rFonts w:cstheme="minorHAnsi"/>
        </w:rPr>
        <w:t xml:space="preserve">appel à projets </w:t>
      </w:r>
      <w:r>
        <w:rPr>
          <w:rFonts w:cstheme="minorHAnsi"/>
        </w:rPr>
        <w:t>doivent être conservés à l’actif de l’entreprise et positionnés sur le territoire français pendant une durée d’au moins 3 ans à compter de la date de dépôt de dossier auprès de l’</w:t>
      </w:r>
      <w:r w:rsidR="00184384">
        <w:rPr>
          <w:rFonts w:cstheme="minorHAnsi"/>
        </w:rPr>
        <w:t>ADEME</w:t>
      </w:r>
      <w:r>
        <w:rPr>
          <w:rFonts w:cstheme="minorHAnsi"/>
        </w:rPr>
        <w:t>.</w:t>
      </w:r>
    </w:p>
    <w:p w14:paraId="6FD586C4" w14:textId="20CAF141" w:rsidR="00E012A9" w:rsidRDefault="00E012A9" w:rsidP="00E012A9"/>
    <w:p w14:paraId="2495FEFD" w14:textId="77777777" w:rsidR="00DA0DB5" w:rsidRDefault="00DA0DB5" w:rsidP="00E012A9"/>
    <w:p w14:paraId="6D9FF9C6" w14:textId="77777777" w:rsidR="00E012A9" w:rsidRPr="00D531E6" w:rsidRDefault="00E012A9" w:rsidP="00536BEC">
      <w:pPr>
        <w:pStyle w:val="Titre2"/>
        <w:ind w:left="426"/>
      </w:pPr>
      <w:bookmarkStart w:id="27" w:name="_Toc95386110"/>
      <w:r w:rsidRPr="00D531E6">
        <w:t>Communication</w:t>
      </w:r>
      <w:bookmarkEnd w:id="27"/>
    </w:p>
    <w:p w14:paraId="2D3E026A" w14:textId="77777777" w:rsidR="00E012A9" w:rsidRDefault="00E012A9" w:rsidP="00E012A9">
      <w:pPr>
        <w:rPr>
          <w:rFonts w:asciiTheme="minorHAnsi" w:hAnsiTheme="minorHAnsi"/>
        </w:rPr>
      </w:pPr>
    </w:p>
    <w:p w14:paraId="3EEF5C1F" w14:textId="77777777" w:rsidR="00E012A9" w:rsidRDefault="00E012A9" w:rsidP="00E012A9">
      <w:pPr>
        <w:spacing w:after="9" w:line="268" w:lineRule="auto"/>
        <w:ind w:right="60"/>
        <w:rPr>
          <w:rFonts w:cstheme="minorHAnsi"/>
        </w:rPr>
      </w:pPr>
      <w:r>
        <w:rPr>
          <w:rFonts w:cstheme="minorHAnsi"/>
        </w:rPr>
        <w:t xml:space="preserve">Une fois le projet sélectionné, chaque bénéficiaire soutenu est tenu de mentionner ce soutien dans ses actions de communication, ou la publication des résultats du projet, avec la mention unique : « Ce projet a été financé par l’État dans le cadre du plan France 2030 ». L’État se réserve le droit de communiquer sur les objectifs généraux de l’action, ses enjeux et ses résultats, le cas échéant à base d’exemples </w:t>
      </w:r>
      <w:proofErr w:type="spellStart"/>
      <w:r>
        <w:rPr>
          <w:rFonts w:cstheme="minorHAnsi"/>
        </w:rPr>
        <w:t>anonymisés</w:t>
      </w:r>
      <w:proofErr w:type="spellEnd"/>
      <w:r>
        <w:rPr>
          <w:rFonts w:cstheme="minorHAnsi"/>
        </w:rPr>
        <w:t xml:space="preserve"> et dans le respect du secret des affaires. Toute autre communication est soumise à l’accord préalable du bénéficiaire.</w:t>
      </w:r>
    </w:p>
    <w:p w14:paraId="7FADF344" w14:textId="77777777" w:rsidR="00E012A9" w:rsidRDefault="00E012A9" w:rsidP="00E012A9">
      <w:pPr>
        <w:spacing w:after="9" w:line="268" w:lineRule="auto"/>
        <w:ind w:right="60"/>
        <w:rPr>
          <w:rFonts w:cstheme="minorHAnsi"/>
        </w:rPr>
      </w:pPr>
    </w:p>
    <w:p w14:paraId="4F5A6805" w14:textId="5708C5C2" w:rsidR="00E012A9" w:rsidRDefault="00E012A9" w:rsidP="00E012A9">
      <w:pPr>
        <w:spacing w:after="9" w:line="268" w:lineRule="auto"/>
        <w:ind w:right="60"/>
        <w:rPr>
          <w:rFonts w:cstheme="minorHAnsi"/>
        </w:rPr>
      </w:pPr>
      <w:r>
        <w:rPr>
          <w:rFonts w:cstheme="minorHAnsi"/>
        </w:rPr>
        <w:t>L’</w:t>
      </w:r>
      <w:r w:rsidR="00184384">
        <w:rPr>
          <w:rFonts w:cstheme="minorHAnsi"/>
        </w:rPr>
        <w:t>ADEME</w:t>
      </w:r>
      <w:r>
        <w:rPr>
          <w:rFonts w:cstheme="minorHAnsi"/>
        </w:rPr>
        <w:t xml:space="preserve"> fournira aux bénéficiaires un « kit de communication » France 2030, présentant les éléments obligatoirement à communiquer numériquement, comme les logos.</w:t>
      </w:r>
    </w:p>
    <w:p w14:paraId="4F16425F" w14:textId="77777777" w:rsidR="00DA0DB5" w:rsidRDefault="00DA0DB5" w:rsidP="00E012A9">
      <w:pPr>
        <w:spacing w:after="9" w:line="268" w:lineRule="auto"/>
        <w:ind w:right="60"/>
        <w:rPr>
          <w:rFonts w:cstheme="minorHAnsi"/>
        </w:rPr>
      </w:pPr>
    </w:p>
    <w:p w14:paraId="1A2E2915" w14:textId="77777777" w:rsidR="00E012A9" w:rsidRPr="00D531E6" w:rsidRDefault="00E012A9" w:rsidP="00536BEC">
      <w:pPr>
        <w:pStyle w:val="Titre2"/>
        <w:ind w:left="426"/>
      </w:pPr>
      <w:bookmarkStart w:id="28" w:name="_Toc95386111"/>
      <w:r w:rsidRPr="00D531E6">
        <w:t xml:space="preserve">Conditions de </w:t>
      </w:r>
      <w:proofErr w:type="spellStart"/>
      <w:r w:rsidRPr="00D531E6">
        <w:t>reporting</w:t>
      </w:r>
      <w:bookmarkEnd w:id="28"/>
      <w:proofErr w:type="spellEnd"/>
    </w:p>
    <w:p w14:paraId="77EAD208" w14:textId="77777777" w:rsidR="00E012A9" w:rsidRDefault="00E012A9" w:rsidP="00E012A9">
      <w:pPr>
        <w:rPr>
          <w:rFonts w:asciiTheme="minorHAnsi" w:hAnsiTheme="minorHAnsi"/>
        </w:rPr>
      </w:pPr>
    </w:p>
    <w:p w14:paraId="06888115" w14:textId="18A1BD28" w:rsidR="00E012A9" w:rsidRDefault="00E012A9" w:rsidP="00E012A9">
      <w:pPr>
        <w:spacing w:after="161"/>
        <w:ind w:left="-5" w:right="60"/>
        <w:rPr>
          <w:rFonts w:cstheme="minorHAnsi"/>
        </w:rPr>
      </w:pPr>
      <w:r>
        <w:rPr>
          <w:rFonts w:cstheme="minorHAnsi"/>
        </w:rPr>
        <w:t>Le bénéficiaire est tenu de communiquer tout au long du projet à l’</w:t>
      </w:r>
      <w:r w:rsidR="00184384">
        <w:rPr>
          <w:rFonts w:cstheme="minorHAnsi"/>
        </w:rPr>
        <w:t xml:space="preserve">ADEME </w:t>
      </w:r>
      <w:r>
        <w:rPr>
          <w:rFonts w:cstheme="minorHAnsi"/>
        </w:rPr>
        <w:t>et à l’État les éléments d’informations nécessaires à l’évaluation du projet (performance commerciale ou chiffre d’affaires potentiellement généré, emplois créés et horizon temporel associé, brevets, publication ou licence déposés, effets environnementaux, objectifs de mise sur le marché). Ces éléments, et leurs évolutions, sont précisés dans conditions générales de la convention d’aide entre l’</w:t>
      </w:r>
      <w:r w:rsidR="00184384">
        <w:rPr>
          <w:rFonts w:cstheme="minorHAnsi"/>
        </w:rPr>
        <w:t>ADEME</w:t>
      </w:r>
      <w:r>
        <w:rPr>
          <w:rFonts w:cstheme="minorHAnsi"/>
        </w:rPr>
        <w:t xml:space="preserve"> et le bénéficiaire.</w:t>
      </w:r>
    </w:p>
    <w:p w14:paraId="3DCCC5FD" w14:textId="4F6FEE5A" w:rsidR="00E012A9" w:rsidRDefault="00E012A9" w:rsidP="00E012A9">
      <w:pPr>
        <w:spacing w:after="161"/>
        <w:ind w:left="-5" w:right="60"/>
        <w:rPr>
          <w:rFonts w:cstheme="minorHAnsi"/>
        </w:rPr>
      </w:pPr>
      <w:r>
        <w:rPr>
          <w:rFonts w:cstheme="minorHAnsi"/>
        </w:rPr>
        <w:t xml:space="preserve">Ces conditions de </w:t>
      </w:r>
      <w:proofErr w:type="spellStart"/>
      <w:r>
        <w:rPr>
          <w:rFonts w:cstheme="minorHAnsi"/>
        </w:rPr>
        <w:t>reporting</w:t>
      </w:r>
      <w:proofErr w:type="spellEnd"/>
      <w:r>
        <w:rPr>
          <w:rFonts w:cstheme="minorHAnsi"/>
        </w:rPr>
        <w:t xml:space="preserve"> doivent permettre de réaliser des évaluations </w:t>
      </w:r>
      <w:r>
        <w:rPr>
          <w:rFonts w:cstheme="minorHAnsi"/>
          <w:i/>
        </w:rPr>
        <w:t xml:space="preserve">in </w:t>
      </w:r>
      <w:proofErr w:type="spellStart"/>
      <w:r>
        <w:rPr>
          <w:rFonts w:cstheme="minorHAnsi"/>
          <w:i/>
        </w:rPr>
        <w:t>itinere</w:t>
      </w:r>
      <w:proofErr w:type="spellEnd"/>
      <w:r>
        <w:rPr>
          <w:rFonts w:cstheme="minorHAnsi"/>
        </w:rPr>
        <w:t xml:space="preserve"> afin de renforcer la capacité de l’</w:t>
      </w:r>
      <w:r w:rsidR="00184384">
        <w:rPr>
          <w:rFonts w:cstheme="minorHAnsi"/>
        </w:rPr>
        <w:t>ADEME</w:t>
      </w:r>
      <w:r>
        <w:rPr>
          <w:rFonts w:cstheme="minorHAnsi"/>
        </w:rPr>
        <w:t xml:space="preserve"> et de l’État à mettre en œuvre le cas échéant, si la majorité des projets ne répond pas aux attendus, à une stratégie de correction et de réorientation de cet </w:t>
      </w:r>
      <w:r w:rsidR="00B356E4">
        <w:rPr>
          <w:rFonts w:cstheme="minorHAnsi"/>
        </w:rPr>
        <w:t xml:space="preserve">appel à projets. </w:t>
      </w:r>
    </w:p>
    <w:p w14:paraId="73D4600F" w14:textId="77777777" w:rsidR="00E012A9" w:rsidRDefault="00E012A9" w:rsidP="00E012A9">
      <w:pPr>
        <w:spacing w:after="161"/>
        <w:ind w:left="-5" w:right="60"/>
        <w:rPr>
          <w:rFonts w:cstheme="minorHAnsi"/>
        </w:rPr>
      </w:pPr>
    </w:p>
    <w:p w14:paraId="357627E5" w14:textId="77777777" w:rsidR="00E012A9" w:rsidRPr="00E012A9" w:rsidRDefault="00E012A9" w:rsidP="00536BEC">
      <w:pPr>
        <w:pStyle w:val="Titre2"/>
        <w:ind w:left="426"/>
      </w:pPr>
      <w:bookmarkStart w:id="29" w:name="_Toc95386112"/>
      <w:r w:rsidRPr="00E012A9">
        <w:t>Règles de confidentialité</w:t>
      </w:r>
      <w:bookmarkEnd w:id="29"/>
    </w:p>
    <w:p w14:paraId="10E54D31" w14:textId="26C0789C" w:rsidR="00E012A9" w:rsidRDefault="00E012A9" w:rsidP="00E012A9">
      <w:pPr>
        <w:spacing w:before="120"/>
        <w:rPr>
          <w:rFonts w:asciiTheme="minorHAnsi" w:hAnsiTheme="minorHAnsi" w:cstheme="minorHAnsi"/>
        </w:rPr>
      </w:pPr>
      <w:r>
        <w:rPr>
          <w:rFonts w:cstheme="minorHAnsi"/>
        </w:rPr>
        <w:t xml:space="preserve">Les projets bénéficiaires de cet appel à projets </w:t>
      </w:r>
      <w:r w:rsidR="00B16E22">
        <w:rPr>
          <w:rFonts w:cstheme="minorHAnsi"/>
        </w:rPr>
        <w:t xml:space="preserve">pourront faire </w:t>
      </w:r>
      <w:r>
        <w:rPr>
          <w:rFonts w:cstheme="minorHAnsi"/>
        </w:rPr>
        <w:t>l’objet d’une publication sur le</w:t>
      </w:r>
      <w:r w:rsidR="00B16E22">
        <w:rPr>
          <w:rFonts w:cstheme="minorHAnsi"/>
        </w:rPr>
        <w:t>s</w:t>
      </w:r>
      <w:r>
        <w:rPr>
          <w:rFonts w:cstheme="minorHAnsi"/>
        </w:rPr>
        <w:t xml:space="preserve"> site</w:t>
      </w:r>
      <w:r w:rsidR="00B16E22">
        <w:rPr>
          <w:rFonts w:cstheme="minorHAnsi"/>
        </w:rPr>
        <w:t>s</w:t>
      </w:r>
      <w:r>
        <w:rPr>
          <w:rFonts w:cstheme="minorHAnsi"/>
        </w:rPr>
        <w:t xml:space="preserve"> internet </w:t>
      </w:r>
      <w:hyperlink r:id="rId17" w:history="1">
        <w:r w:rsidR="00B16E22">
          <w:rPr>
            <w:rStyle w:val="Lienhypertexte"/>
            <w:rFonts w:cstheme="minorHAnsi"/>
            <w:color w:val="auto"/>
          </w:rPr>
          <w:t>des</w:t>
        </w:r>
      </w:hyperlink>
      <w:r w:rsidR="00B16E22">
        <w:rPr>
          <w:rStyle w:val="Lienhypertexte"/>
          <w:rFonts w:cstheme="minorHAnsi"/>
          <w:color w:val="auto"/>
        </w:rPr>
        <w:t xml:space="preserve"> ministères et de l’ADEME</w:t>
      </w:r>
      <w:r>
        <w:rPr>
          <w:rFonts w:cstheme="minorHAnsi"/>
        </w:rPr>
        <w:t>. Les documents transmis dans le cadre de cet appel à projets sont soumis à la plus stricte confidentialité et ne sont communiqués que dans le cadre du comité de pilotage de l'appel à projets et de l’expertise. L’ensemble des personnes ayant accès aux dossiers de candidatures est tenu à la plus stricte confidentialité.</w:t>
      </w:r>
    </w:p>
    <w:p w14:paraId="5B7D3A26" w14:textId="77777777" w:rsidR="00E012A9" w:rsidRDefault="00E012A9" w:rsidP="00791703">
      <w:pPr>
        <w:spacing w:before="120" w:after="180"/>
        <w:jc w:val="left"/>
      </w:pPr>
    </w:p>
    <w:p w14:paraId="3DFA0392" w14:textId="76A618C6" w:rsidR="00791703" w:rsidRPr="00DB31CB" w:rsidRDefault="00791703" w:rsidP="00886F25">
      <w:pPr>
        <w:pStyle w:val="Titre1"/>
        <w:ind w:left="1134" w:hanging="567"/>
      </w:pPr>
      <w:bookmarkStart w:id="30" w:name="_Toc94546304"/>
      <w:bookmarkStart w:id="31" w:name="_Toc95386113"/>
      <w:r w:rsidRPr="00DB31CB">
        <w:t>Critères de sélection</w:t>
      </w:r>
      <w:bookmarkEnd w:id="30"/>
      <w:bookmarkEnd w:id="31"/>
    </w:p>
    <w:p w14:paraId="3B67BCF9" w14:textId="6B56A72C" w:rsidR="00791703" w:rsidRDefault="00791703" w:rsidP="009B1444"/>
    <w:p w14:paraId="15C97A7F" w14:textId="77777777" w:rsidR="00791703" w:rsidRDefault="00791703" w:rsidP="00791703">
      <w:pPr>
        <w:spacing w:after="9" w:line="268" w:lineRule="auto"/>
        <w:ind w:right="60"/>
        <w:rPr>
          <w:rFonts w:asciiTheme="minorHAnsi" w:eastAsia="Calibri" w:hAnsiTheme="minorHAnsi" w:cstheme="minorHAnsi"/>
        </w:rPr>
      </w:pPr>
      <w:r>
        <w:rPr>
          <w:rFonts w:eastAsia="Calibri" w:cstheme="minorHAnsi"/>
        </w:rPr>
        <w:t xml:space="preserve">De manière générale, les projets portés par des acteurs émergents seront prioritaires, de même que les projets </w:t>
      </w:r>
      <w:proofErr w:type="spellStart"/>
      <w:r>
        <w:rPr>
          <w:rFonts w:eastAsia="Calibri" w:cstheme="minorHAnsi"/>
        </w:rPr>
        <w:t>différenciants</w:t>
      </w:r>
      <w:proofErr w:type="spellEnd"/>
      <w:r>
        <w:rPr>
          <w:rFonts w:eastAsia="Calibri" w:cstheme="minorHAnsi"/>
        </w:rPr>
        <w:t xml:space="preserve">, qui peuvent présenter un niveau de risque important mais susceptibles de connaître une forte croissance, sont recherchés. Les projets éligibles sont instruits et sélectionnés notamment sur la base des critères suivants : </w:t>
      </w:r>
    </w:p>
    <w:p w14:paraId="6D6D0C09" w14:textId="13ACD889" w:rsidR="00791703" w:rsidRDefault="00791703" w:rsidP="00F459D6">
      <w:pPr>
        <w:numPr>
          <w:ilvl w:val="0"/>
          <w:numId w:val="21"/>
        </w:numPr>
        <w:spacing w:after="9" w:line="268" w:lineRule="auto"/>
        <w:ind w:right="60" w:hanging="360"/>
        <w:rPr>
          <w:rFonts w:eastAsia="Calibri" w:cstheme="minorHAnsi"/>
          <w:b/>
        </w:rPr>
      </w:pPr>
      <w:r>
        <w:rPr>
          <w:rFonts w:cstheme="minorHAnsi"/>
        </w:rPr>
        <w:t xml:space="preserve">L’adéquation du projet au regard des objectifs mentionnés dans cet appel à projets, </w:t>
      </w:r>
      <w:r w:rsidR="00B16E22">
        <w:rPr>
          <w:rFonts w:cstheme="minorHAnsi"/>
        </w:rPr>
        <w:t xml:space="preserve">notamment </w:t>
      </w:r>
      <w:r>
        <w:rPr>
          <w:rFonts w:cstheme="minorHAnsi"/>
        </w:rPr>
        <w:t>la plus-value</w:t>
      </w:r>
      <w:r w:rsidR="00DA47C8">
        <w:rPr>
          <w:rFonts w:cstheme="minorHAnsi"/>
        </w:rPr>
        <w:t xml:space="preserve"> </w:t>
      </w:r>
      <w:r w:rsidR="008D69DD">
        <w:rPr>
          <w:rFonts w:cstheme="minorHAnsi"/>
        </w:rPr>
        <w:t>industrielle</w:t>
      </w:r>
      <w:r w:rsidR="00DA47C8">
        <w:rPr>
          <w:rFonts w:cstheme="minorHAnsi"/>
        </w:rPr>
        <w:t xml:space="preserve"> et commerciale</w:t>
      </w:r>
      <w:r>
        <w:rPr>
          <w:rFonts w:cstheme="minorHAnsi"/>
        </w:rPr>
        <w:t>, la qualité, la maturité et la faisabilité du projet au niveau industriel par rapport à la capacité de l’entreprise à mener le projet</w:t>
      </w:r>
      <w:r>
        <w:rPr>
          <w:rFonts w:ascii="Calibri" w:hAnsi="Calibri" w:cs="Calibri"/>
        </w:rPr>
        <w:t> </w:t>
      </w:r>
      <w:r>
        <w:rPr>
          <w:rFonts w:cstheme="minorHAnsi"/>
        </w:rPr>
        <w:t>;</w:t>
      </w:r>
    </w:p>
    <w:p w14:paraId="0B73B46D" w14:textId="77777777" w:rsidR="00791703" w:rsidRDefault="00791703" w:rsidP="00F459D6">
      <w:pPr>
        <w:numPr>
          <w:ilvl w:val="0"/>
          <w:numId w:val="21"/>
        </w:numPr>
        <w:spacing w:after="9" w:line="268" w:lineRule="auto"/>
        <w:ind w:right="60" w:hanging="360"/>
        <w:rPr>
          <w:rFonts w:cstheme="minorHAnsi"/>
        </w:rPr>
      </w:pPr>
      <w:r>
        <w:rPr>
          <w:rFonts w:cstheme="minorHAnsi"/>
        </w:rPr>
        <w:t xml:space="preserve">Le caractère innovant du projet ainsi que du porteur, la rupture de marché pouvant découler du projet ; </w:t>
      </w:r>
    </w:p>
    <w:p w14:paraId="70DD7683" w14:textId="77777777" w:rsidR="00791703" w:rsidRDefault="00791703" w:rsidP="00F459D6">
      <w:pPr>
        <w:numPr>
          <w:ilvl w:val="0"/>
          <w:numId w:val="21"/>
        </w:numPr>
        <w:spacing w:after="9" w:line="268" w:lineRule="auto"/>
        <w:ind w:right="60" w:hanging="360"/>
        <w:rPr>
          <w:rFonts w:cstheme="minorHAnsi"/>
        </w:rPr>
      </w:pPr>
      <w:r>
        <w:rPr>
          <w:rFonts w:cstheme="minorHAnsi"/>
        </w:rPr>
        <w:t>La diminution de la dépendance nationale ou européenne qu’il permet, au regard des perspectives de marché et de production aux niveaux européen et mondial ;</w:t>
      </w:r>
    </w:p>
    <w:p w14:paraId="7B187347" w14:textId="77777777" w:rsidR="00791703" w:rsidRDefault="00791703" w:rsidP="00F459D6">
      <w:pPr>
        <w:numPr>
          <w:ilvl w:val="0"/>
          <w:numId w:val="21"/>
        </w:numPr>
        <w:spacing w:after="6" w:line="268" w:lineRule="auto"/>
        <w:ind w:right="60" w:hanging="360"/>
        <w:rPr>
          <w:rFonts w:cstheme="minorHAnsi"/>
        </w:rPr>
      </w:pPr>
      <w:r>
        <w:rPr>
          <w:rFonts w:cstheme="minorHAnsi"/>
        </w:rPr>
        <w:t>Les retombées économiques pour le t</w:t>
      </w:r>
      <w:r>
        <w:rPr>
          <w:rFonts w:eastAsia="Calibri" w:cstheme="minorHAnsi"/>
        </w:rPr>
        <w:t xml:space="preserve">erritoire national, chiffrées et étayées en termes d’emplois directs, indirects et induits </w:t>
      </w:r>
      <w:r>
        <w:rPr>
          <w:rFonts w:cstheme="minorHAnsi"/>
        </w:rPr>
        <w:t xml:space="preserve">(accroissement, maintien de compétences, etc.), </w:t>
      </w:r>
      <w:r>
        <w:rPr>
          <w:rFonts w:eastAsia="Calibri" w:cstheme="minorHAnsi"/>
        </w:rPr>
        <w:t xml:space="preserve">d’investissements (renforcement de sites industriels, accroissement de la R&amp;D, etc.), </w:t>
      </w:r>
      <w:r>
        <w:rPr>
          <w:rFonts w:cstheme="minorHAnsi"/>
        </w:rPr>
        <w:t xml:space="preserve">de </w:t>
      </w:r>
      <w:r>
        <w:rPr>
          <w:rFonts w:eastAsia="Calibri" w:cstheme="minorHAnsi"/>
        </w:rPr>
        <w:t xml:space="preserve">valorisation d’acquis technologiques (brevet, propriété intellectuelle…) </w:t>
      </w:r>
      <w:r>
        <w:rPr>
          <w:rFonts w:cstheme="minorHAnsi"/>
        </w:rPr>
        <w:t xml:space="preserve">; </w:t>
      </w:r>
    </w:p>
    <w:p w14:paraId="740B5603" w14:textId="2F08AFDC" w:rsidR="00791703" w:rsidRDefault="00791703" w:rsidP="00F459D6">
      <w:pPr>
        <w:numPr>
          <w:ilvl w:val="0"/>
          <w:numId w:val="21"/>
        </w:numPr>
        <w:spacing w:after="186" w:line="268" w:lineRule="auto"/>
        <w:ind w:right="60" w:hanging="360"/>
        <w:rPr>
          <w:rFonts w:cstheme="minorHAnsi"/>
        </w:rPr>
      </w:pPr>
      <w:r>
        <w:rPr>
          <w:rFonts w:eastAsia="Calibri" w:cstheme="minorHAnsi"/>
        </w:rPr>
        <w:t xml:space="preserve">L’existence d’une collaboration structurée </w:t>
      </w:r>
      <w:r>
        <w:rPr>
          <w:rFonts w:cstheme="minorHAnsi"/>
        </w:rPr>
        <w:t xml:space="preserve">ou </w:t>
      </w:r>
      <w:r>
        <w:rPr>
          <w:rFonts w:eastAsia="Calibri" w:cstheme="minorHAnsi"/>
        </w:rPr>
        <w:t>d’un effet structurant au sein d’une filière</w:t>
      </w:r>
      <w:r>
        <w:rPr>
          <w:rFonts w:cstheme="minorHAnsi"/>
        </w:rPr>
        <w:t xml:space="preserve"> en particulier pour les entreprises impliquées ; le porteur documentera ces aspects en identifiant les différents fournisseurs, sous-traitants auxquels il a recour</w:t>
      </w:r>
      <w:r w:rsidR="009B1444">
        <w:rPr>
          <w:rFonts w:cstheme="minorHAnsi"/>
        </w:rPr>
        <w:t>s</w:t>
      </w:r>
      <w:r>
        <w:rPr>
          <w:rFonts w:cstheme="minorHAnsi"/>
        </w:rPr>
        <w:t xml:space="preserve"> et précisera la part française et européenne de la production ainsi que les actions qui auront été menées auprès de la filière pour donner accès aux commandes commerciales aux fournisseurs français et européens</w:t>
      </w:r>
      <w:r>
        <w:rPr>
          <w:rFonts w:ascii="Calibri" w:hAnsi="Calibri" w:cs="Calibri"/>
        </w:rPr>
        <w:t> </w:t>
      </w:r>
      <w:r>
        <w:rPr>
          <w:rFonts w:cstheme="minorHAnsi"/>
        </w:rPr>
        <w:t>;</w:t>
      </w:r>
    </w:p>
    <w:p w14:paraId="71EFAE98" w14:textId="77777777" w:rsidR="00791703" w:rsidRDefault="00791703" w:rsidP="00F459D6">
      <w:pPr>
        <w:numPr>
          <w:ilvl w:val="0"/>
          <w:numId w:val="21"/>
        </w:numPr>
        <w:spacing w:after="9" w:line="268" w:lineRule="auto"/>
        <w:ind w:right="60" w:hanging="360"/>
        <w:rPr>
          <w:rFonts w:cstheme="minorHAnsi"/>
        </w:rPr>
      </w:pPr>
      <w:r>
        <w:rPr>
          <w:rFonts w:eastAsia="Calibri" w:cstheme="minorHAnsi"/>
        </w:rPr>
        <w:t xml:space="preserve">S’il s’agit d’un </w:t>
      </w:r>
      <w:r>
        <w:rPr>
          <w:rFonts w:cstheme="minorHAnsi"/>
        </w:rPr>
        <w:t xml:space="preserve">projet de fabrication de produits moins innovants, qui est indispensable pour réduire le niveau de dépendance vis-à-vis de la concurrence étrangère, accompagner la </w:t>
      </w:r>
      <w:proofErr w:type="spellStart"/>
      <w:r>
        <w:rPr>
          <w:rFonts w:cstheme="minorHAnsi"/>
        </w:rPr>
        <w:t>ré-industrialisation</w:t>
      </w:r>
      <w:proofErr w:type="spellEnd"/>
      <w:r>
        <w:rPr>
          <w:rFonts w:cstheme="minorHAnsi"/>
        </w:rPr>
        <w:t xml:space="preserve"> et/ou tenir les engagements climatiques nationaux, et structurant pour la filière, le porteur veillera documenter précisément ces différents aspects. Ces projets seront retenus de façon très sélective sur la base de ces critères</w:t>
      </w:r>
      <w:r>
        <w:rPr>
          <w:rFonts w:ascii="Calibri" w:hAnsi="Calibri" w:cs="Calibri"/>
        </w:rPr>
        <w:t> </w:t>
      </w:r>
      <w:r>
        <w:rPr>
          <w:rFonts w:cstheme="minorHAnsi"/>
        </w:rPr>
        <w:t>;</w:t>
      </w:r>
    </w:p>
    <w:p w14:paraId="1309E0A7" w14:textId="77777777" w:rsidR="00791703" w:rsidRDefault="00791703" w:rsidP="00F459D6">
      <w:pPr>
        <w:numPr>
          <w:ilvl w:val="0"/>
          <w:numId w:val="21"/>
        </w:numPr>
        <w:spacing w:after="9" w:line="268" w:lineRule="auto"/>
        <w:ind w:right="60" w:hanging="360"/>
        <w:rPr>
          <w:rFonts w:cstheme="minorHAnsi"/>
        </w:rPr>
      </w:pPr>
      <w:r>
        <w:rPr>
          <w:rFonts w:eastAsia="Calibri" w:cstheme="minorHAnsi"/>
        </w:rPr>
        <w:t>La cohérence et/ou la complémentarité, le cas échéant, avec les priorités de la stratégie d’accélération des technologies avancées des systèmes énergétiques</w:t>
      </w:r>
      <w:r>
        <w:rPr>
          <w:rFonts w:ascii="Calibri" w:eastAsia="Calibri" w:hAnsi="Calibri" w:cs="Calibri"/>
        </w:rPr>
        <w:t> </w:t>
      </w:r>
      <w:r>
        <w:rPr>
          <w:rFonts w:eastAsia="Calibri" w:cstheme="minorHAnsi"/>
        </w:rPr>
        <w:t xml:space="preserve">; </w:t>
      </w:r>
    </w:p>
    <w:p w14:paraId="7CFC1BA4" w14:textId="77777777" w:rsidR="00791703" w:rsidRDefault="00791703" w:rsidP="00F459D6">
      <w:pPr>
        <w:numPr>
          <w:ilvl w:val="0"/>
          <w:numId w:val="21"/>
        </w:numPr>
        <w:spacing w:after="9" w:line="268" w:lineRule="auto"/>
        <w:ind w:right="60" w:hanging="360"/>
        <w:rPr>
          <w:rFonts w:cstheme="minorHAnsi"/>
        </w:rPr>
      </w:pPr>
      <w:r>
        <w:rPr>
          <w:rFonts w:cstheme="minorHAnsi"/>
        </w:rPr>
        <w:t>La performance environnementale</w:t>
      </w:r>
      <w:r>
        <w:rPr>
          <w:rFonts w:ascii="Calibri" w:hAnsi="Calibri" w:cs="Calibri"/>
        </w:rPr>
        <w:t> </w:t>
      </w:r>
      <w:r>
        <w:rPr>
          <w:rFonts w:cstheme="minorHAnsi"/>
        </w:rPr>
        <w:t>: France 2030 prend en compte la transition environnementale</w:t>
      </w:r>
      <w:r>
        <w:rPr>
          <w:rFonts w:ascii="Calibri" w:hAnsi="Calibri" w:cs="Calibri"/>
        </w:rPr>
        <w:t> </w:t>
      </w:r>
      <w:r>
        <w:rPr>
          <w:rFonts w:cstheme="minorHAnsi"/>
        </w:rPr>
        <w:t xml:space="preserve">: les effets positifs des projets, du point de vue </w:t>
      </w:r>
      <w:r>
        <w:rPr>
          <w:rFonts w:cs="Marianne Thin"/>
        </w:rPr>
        <w:t>é</w:t>
      </w:r>
      <w:r>
        <w:rPr>
          <w:rFonts w:cstheme="minorHAnsi"/>
        </w:rPr>
        <w:t xml:space="preserve">cologique et </w:t>
      </w:r>
      <w:r>
        <w:rPr>
          <w:rFonts w:cs="Marianne Thin"/>
        </w:rPr>
        <w:t>é</w:t>
      </w:r>
      <w:r>
        <w:rPr>
          <w:rFonts w:cstheme="minorHAnsi"/>
        </w:rPr>
        <w:t>nerg</w:t>
      </w:r>
      <w:r>
        <w:rPr>
          <w:rFonts w:cs="Marianne Thin"/>
        </w:rPr>
        <w:t>é</w:t>
      </w:r>
      <w:r>
        <w:rPr>
          <w:rFonts w:cstheme="minorHAnsi"/>
        </w:rPr>
        <w:t>tique, de m</w:t>
      </w:r>
      <w:r>
        <w:rPr>
          <w:rFonts w:cs="Marianne Thin"/>
        </w:rPr>
        <w:t>ê</w:t>
      </w:r>
      <w:r>
        <w:rPr>
          <w:rFonts w:cstheme="minorHAnsi"/>
        </w:rPr>
        <w:t>me que les risques d</w:t>
      </w:r>
      <w:r>
        <w:rPr>
          <w:rFonts w:cs="Marianne Thin"/>
        </w:rPr>
        <w:t>’</w:t>
      </w:r>
      <w:r>
        <w:rPr>
          <w:rFonts w:cstheme="minorHAnsi"/>
        </w:rPr>
        <w:t>impact n</w:t>
      </w:r>
      <w:r>
        <w:rPr>
          <w:rFonts w:cs="Marianne Thin"/>
        </w:rPr>
        <w:t>é</w:t>
      </w:r>
      <w:r>
        <w:rPr>
          <w:rFonts w:cstheme="minorHAnsi"/>
        </w:rPr>
        <w:t>gatif, sont utilis</w:t>
      </w:r>
      <w:r>
        <w:rPr>
          <w:rFonts w:cs="Marianne Thin"/>
        </w:rPr>
        <w:t>é</w:t>
      </w:r>
      <w:r>
        <w:rPr>
          <w:rFonts w:cstheme="minorHAnsi"/>
        </w:rPr>
        <w:t>s pour s</w:t>
      </w:r>
      <w:r>
        <w:rPr>
          <w:rFonts w:cs="Marianne Thin"/>
        </w:rPr>
        <w:t>é</w:t>
      </w:r>
      <w:r>
        <w:rPr>
          <w:rFonts w:cstheme="minorHAnsi"/>
        </w:rPr>
        <w:t>lectionner les meilleurs projets parmi ceux pr</w:t>
      </w:r>
      <w:r>
        <w:rPr>
          <w:rFonts w:cs="Marianne Thin"/>
        </w:rPr>
        <w:t>é</w:t>
      </w:r>
      <w:r>
        <w:rPr>
          <w:rFonts w:cstheme="minorHAnsi"/>
        </w:rPr>
        <w:t>sent</w:t>
      </w:r>
      <w:r>
        <w:rPr>
          <w:rFonts w:cs="Marianne Thin"/>
        </w:rPr>
        <w:t>é</w:t>
      </w:r>
      <w:r>
        <w:rPr>
          <w:rFonts w:cstheme="minorHAnsi"/>
        </w:rPr>
        <w:t>s. Chaque projet doit expliciter sa contribution au développement durable, en présentant les effets, quantifiés autant que faire se peut, directs ou indirects, positifs ou négatifs, estimés pour les axes ci-dessous</w:t>
      </w:r>
      <w:r>
        <w:rPr>
          <w:rFonts w:ascii="Calibri" w:hAnsi="Calibri" w:cs="Calibri"/>
        </w:rPr>
        <w:t> </w:t>
      </w:r>
      <w:r>
        <w:rPr>
          <w:rFonts w:cstheme="minorHAnsi"/>
        </w:rPr>
        <w:t>:</w:t>
      </w:r>
    </w:p>
    <w:p w14:paraId="6EBD4C86" w14:textId="77777777" w:rsidR="00791703" w:rsidRPr="00111359" w:rsidRDefault="00791703" w:rsidP="00F459D6">
      <w:pPr>
        <w:pStyle w:val="Default"/>
        <w:numPr>
          <w:ilvl w:val="0"/>
          <w:numId w:val="2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Atténuation du changement climatique</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6F2DAAE3" w14:textId="77777777" w:rsidR="00791703" w:rsidRPr="00111359" w:rsidRDefault="00791703" w:rsidP="00F459D6">
      <w:pPr>
        <w:pStyle w:val="Default"/>
        <w:numPr>
          <w:ilvl w:val="0"/>
          <w:numId w:val="2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Adaptation au changement climatique</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4601AA32" w14:textId="77777777" w:rsidR="00791703" w:rsidRPr="00111359" w:rsidRDefault="00791703" w:rsidP="00F459D6">
      <w:pPr>
        <w:pStyle w:val="Default"/>
        <w:numPr>
          <w:ilvl w:val="0"/>
          <w:numId w:val="2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Utilisation durable et protection des ressources aquatiques et marines</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48EB1103" w14:textId="77777777" w:rsidR="00791703" w:rsidRPr="00111359" w:rsidRDefault="00791703" w:rsidP="00F459D6">
      <w:pPr>
        <w:pStyle w:val="Default"/>
        <w:numPr>
          <w:ilvl w:val="0"/>
          <w:numId w:val="2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Transition vers une économie circulaire</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7CF8798D" w14:textId="77777777" w:rsidR="00791703" w:rsidRPr="00111359" w:rsidRDefault="00791703" w:rsidP="00F459D6">
      <w:pPr>
        <w:pStyle w:val="Default"/>
        <w:numPr>
          <w:ilvl w:val="0"/>
          <w:numId w:val="2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Prévention et réduction de la pollution</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 xml:space="preserve">; </w:t>
      </w:r>
    </w:p>
    <w:p w14:paraId="635C11C7" w14:textId="77777777" w:rsidR="00791703" w:rsidRPr="00111359" w:rsidRDefault="00791703" w:rsidP="00F459D6">
      <w:pPr>
        <w:pStyle w:val="Default"/>
        <w:numPr>
          <w:ilvl w:val="0"/>
          <w:numId w:val="2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Protection et restauration de la biodiversité et des écosystèmes</w:t>
      </w:r>
      <w:r w:rsidRPr="00111359">
        <w:rPr>
          <w:rFonts w:ascii="Calibri" w:eastAsiaTheme="minorHAnsi" w:hAnsi="Calibri" w:cs="Calibri"/>
          <w:color w:val="auto"/>
          <w:sz w:val="22"/>
          <w:szCs w:val="22"/>
          <w:lang w:eastAsia="en-US"/>
        </w:rPr>
        <w:t> </w:t>
      </w:r>
      <w:r w:rsidRPr="00111359">
        <w:rPr>
          <w:rFonts w:ascii="Marianne Thin" w:eastAsiaTheme="minorHAnsi" w:hAnsi="Marianne Thin" w:cstheme="minorHAnsi"/>
          <w:color w:val="auto"/>
          <w:sz w:val="22"/>
          <w:szCs w:val="22"/>
          <w:lang w:eastAsia="en-US"/>
        </w:rPr>
        <w:t>;</w:t>
      </w:r>
    </w:p>
    <w:p w14:paraId="5E22ED5C" w14:textId="77777777" w:rsidR="00791703" w:rsidRPr="00111359" w:rsidRDefault="00791703" w:rsidP="00F459D6">
      <w:pPr>
        <w:pStyle w:val="Default"/>
        <w:numPr>
          <w:ilvl w:val="0"/>
          <w:numId w:val="22"/>
        </w:numPr>
        <w:ind w:left="1560" w:hanging="567"/>
        <w:jc w:val="both"/>
        <w:rPr>
          <w:rFonts w:ascii="Marianne Thin" w:eastAsiaTheme="minorHAnsi" w:hAnsi="Marianne Thin" w:cstheme="minorHAnsi"/>
          <w:color w:val="auto"/>
          <w:sz w:val="22"/>
          <w:szCs w:val="22"/>
          <w:lang w:eastAsia="en-US"/>
        </w:rPr>
      </w:pPr>
      <w:r w:rsidRPr="00111359">
        <w:rPr>
          <w:rFonts w:ascii="Marianne Thin" w:eastAsiaTheme="minorHAnsi" w:hAnsi="Marianne Thin" w:cstheme="minorHAnsi"/>
          <w:color w:val="auto"/>
          <w:sz w:val="22"/>
          <w:szCs w:val="22"/>
          <w:lang w:eastAsia="en-US"/>
        </w:rPr>
        <w:t xml:space="preserve">Impact sociétal. </w:t>
      </w:r>
    </w:p>
    <w:p w14:paraId="13F296F5" w14:textId="77777777" w:rsidR="00791703" w:rsidRDefault="00791703" w:rsidP="00791703">
      <w:pPr>
        <w:spacing w:before="120" w:after="180"/>
        <w:jc w:val="left"/>
      </w:pPr>
    </w:p>
    <w:p w14:paraId="40CA5044" w14:textId="77777777" w:rsidR="00791703" w:rsidRPr="000078E2" w:rsidRDefault="00791703" w:rsidP="00C70683">
      <w:pPr>
        <w:spacing w:before="120" w:after="180"/>
        <w:jc w:val="center"/>
      </w:pPr>
    </w:p>
    <w:p w14:paraId="45026D05" w14:textId="51A9BC35" w:rsidR="00111359" w:rsidRDefault="00111359">
      <w:pPr>
        <w:jc w:val="left"/>
        <w:rPr>
          <w:rFonts w:cstheme="minorHAnsi"/>
        </w:rPr>
      </w:pPr>
      <w:bookmarkStart w:id="32" w:name="_Toc90473884"/>
      <w:bookmarkStart w:id="33" w:name="_Toc90473951"/>
      <w:bookmarkStart w:id="34" w:name="_Toc90474078"/>
      <w:bookmarkStart w:id="35" w:name="_Toc90391879"/>
      <w:bookmarkStart w:id="36" w:name="_Toc10712178"/>
      <w:bookmarkStart w:id="37" w:name="_Toc74823237"/>
      <w:bookmarkStart w:id="38" w:name="_Toc75875333"/>
      <w:bookmarkStart w:id="39" w:name="_Toc88472402"/>
      <w:bookmarkEnd w:id="32"/>
      <w:bookmarkEnd w:id="33"/>
      <w:bookmarkEnd w:id="34"/>
      <w:bookmarkEnd w:id="35"/>
    </w:p>
    <w:p w14:paraId="67D41EBC" w14:textId="77777777" w:rsidR="00B47232" w:rsidRDefault="00B47232" w:rsidP="00B47232">
      <w:pPr>
        <w:jc w:val="center"/>
        <w:rPr>
          <w:rFonts w:cstheme="minorHAnsi"/>
        </w:rPr>
      </w:pPr>
    </w:p>
    <w:p w14:paraId="1585887A" w14:textId="09502B1C" w:rsidR="00D20F3F" w:rsidRPr="00D20F3F" w:rsidRDefault="00E012A9" w:rsidP="00455846">
      <w:pPr>
        <w:pStyle w:val="Titre1"/>
        <w:ind w:left="1134" w:hanging="567"/>
      </w:pPr>
      <w:bookmarkStart w:id="40" w:name="_Toc95386114"/>
      <w:bookmarkEnd w:id="36"/>
      <w:bookmarkEnd w:id="37"/>
      <w:bookmarkEnd w:id="38"/>
      <w:bookmarkEnd w:id="39"/>
      <w:r>
        <w:t>Régimes d’aide et</w:t>
      </w:r>
      <w:r w:rsidRPr="00D20F3F">
        <w:t xml:space="preserve"> </w:t>
      </w:r>
      <w:r w:rsidR="00D20F3F" w:rsidRPr="00D20F3F">
        <w:t xml:space="preserve">modalités </w:t>
      </w:r>
      <w:r>
        <w:t>de financement</w:t>
      </w:r>
      <w:bookmarkEnd w:id="40"/>
    </w:p>
    <w:p w14:paraId="5046329C" w14:textId="772A3D75" w:rsidR="00926DF1" w:rsidRDefault="00926DF1" w:rsidP="00926DF1"/>
    <w:p w14:paraId="2B101D68" w14:textId="77777777" w:rsidR="00C32530" w:rsidRDefault="00C32530" w:rsidP="00C32530">
      <w:pPr>
        <w:autoSpaceDE w:val="0"/>
        <w:autoSpaceDN w:val="0"/>
        <w:adjustRightInd w:val="0"/>
        <w:rPr>
          <w:rFonts w:asciiTheme="minorHAnsi" w:hAnsiTheme="minorHAnsi" w:cstheme="minorHAnsi"/>
        </w:rPr>
      </w:pPr>
      <w:r>
        <w:rPr>
          <w:rFonts w:cstheme="minorHAnsi"/>
        </w:rPr>
        <w:t>L’intervention publique s’effectue dans le respect de la réglementation communautaire en matière d'aides d'État (articles 107 et 108 du Traité sur le fonctionnement de l’Union européenne). Il est tenu compte, pour apprécier la compatibilité des aides d’État avec le marché intérieur, des régimes cadres d’aides d’État suivants</w:t>
      </w:r>
      <w:r>
        <w:rPr>
          <w:rFonts w:ascii="Calibri" w:hAnsi="Calibri" w:cs="Calibri"/>
        </w:rPr>
        <w:t> </w:t>
      </w:r>
      <w:r>
        <w:rPr>
          <w:rFonts w:cstheme="minorHAnsi"/>
        </w:rPr>
        <w:t>:</w:t>
      </w:r>
    </w:p>
    <w:p w14:paraId="2444EC69" w14:textId="77777777" w:rsidR="00C32530" w:rsidRDefault="00C32530" w:rsidP="00C32530">
      <w:pPr>
        <w:pStyle w:val="Paragraphedeliste"/>
        <w:autoSpaceDE w:val="0"/>
        <w:autoSpaceDN w:val="0"/>
        <w:adjustRightInd w:val="0"/>
        <w:rPr>
          <w:rFonts w:cstheme="minorHAnsi"/>
        </w:rPr>
      </w:pPr>
    </w:p>
    <w:p w14:paraId="032E3285" w14:textId="77777777" w:rsidR="00C32530" w:rsidRDefault="00C32530" w:rsidP="00F459D6">
      <w:pPr>
        <w:pStyle w:val="Paragraphedeliste"/>
        <w:numPr>
          <w:ilvl w:val="0"/>
          <w:numId w:val="23"/>
        </w:numPr>
        <w:autoSpaceDE w:val="0"/>
        <w:autoSpaceDN w:val="0"/>
        <w:adjustRightInd w:val="0"/>
        <w:spacing w:after="0"/>
        <w:rPr>
          <w:rFonts w:cstheme="minorHAnsi"/>
        </w:rPr>
      </w:pPr>
      <w:r>
        <w:rPr>
          <w:rFonts w:cstheme="minorHAnsi"/>
        </w:rPr>
        <w:t>Aides temporaires visant à soutenir l’économie dans le cadre actuel de la flambée de Covid-19 (régime n°SA.56985 modifié par SA.100959), à mobiliser</w:t>
      </w:r>
      <w:r>
        <w:rPr>
          <w:rFonts w:cstheme="minorHAnsi"/>
          <w:shd w:val="clear" w:color="auto" w:fill="FFFFFF"/>
        </w:rPr>
        <w:t xml:space="preserve"> avant le 30 juin 2022</w:t>
      </w:r>
      <w:r>
        <w:rPr>
          <w:rFonts w:ascii="Calibri" w:hAnsi="Calibri" w:cs="Calibri"/>
          <w:shd w:val="clear" w:color="auto" w:fill="FFFFFF"/>
        </w:rPr>
        <w:t> </w:t>
      </w:r>
      <w:r>
        <w:rPr>
          <w:rFonts w:cstheme="minorHAnsi"/>
          <w:shd w:val="clear" w:color="auto" w:fill="FFFFFF"/>
        </w:rPr>
        <w:t>;</w:t>
      </w:r>
    </w:p>
    <w:p w14:paraId="1E54B88A" w14:textId="77777777" w:rsidR="00C32530" w:rsidRDefault="00C32530" w:rsidP="00F459D6">
      <w:pPr>
        <w:pStyle w:val="Paragraphedeliste"/>
        <w:numPr>
          <w:ilvl w:val="0"/>
          <w:numId w:val="23"/>
        </w:numPr>
        <w:autoSpaceDE w:val="0"/>
        <w:autoSpaceDN w:val="0"/>
        <w:adjustRightInd w:val="0"/>
        <w:spacing w:after="0"/>
        <w:rPr>
          <w:rFonts w:cstheme="minorHAnsi"/>
        </w:rPr>
      </w:pPr>
      <w:r>
        <w:rPr>
          <w:rFonts w:cstheme="minorHAnsi"/>
        </w:rPr>
        <w:t xml:space="preserve">Aides temporaires pour une relance durable à mobiliser avant </w:t>
      </w:r>
      <w:r>
        <w:rPr>
          <w:rFonts w:cstheme="minorHAnsi"/>
          <w:shd w:val="clear" w:color="auto" w:fill="FFFFFF"/>
        </w:rPr>
        <w:t xml:space="preserve">le 31 décembre 2022. </w:t>
      </w:r>
    </w:p>
    <w:p w14:paraId="33383DA8" w14:textId="77777777" w:rsidR="00C32530" w:rsidRDefault="00C32530" w:rsidP="00F459D6">
      <w:pPr>
        <w:pStyle w:val="Paragraphedeliste"/>
        <w:numPr>
          <w:ilvl w:val="0"/>
          <w:numId w:val="23"/>
        </w:numPr>
        <w:autoSpaceDE w:val="0"/>
        <w:autoSpaceDN w:val="0"/>
        <w:adjustRightInd w:val="0"/>
        <w:spacing w:after="0"/>
        <w:rPr>
          <w:rFonts w:cstheme="minorHAnsi"/>
        </w:rPr>
      </w:pPr>
      <w:r>
        <w:rPr>
          <w:rFonts w:cstheme="minorHAnsi"/>
        </w:rPr>
        <w:t>Aides à la RDI (régime n°SA.58995)</w:t>
      </w:r>
    </w:p>
    <w:p w14:paraId="0FA2375E" w14:textId="77777777" w:rsidR="00C32530" w:rsidRDefault="00C32530" w:rsidP="00F459D6">
      <w:pPr>
        <w:pStyle w:val="Paragraphedeliste"/>
        <w:numPr>
          <w:ilvl w:val="0"/>
          <w:numId w:val="23"/>
        </w:numPr>
        <w:autoSpaceDE w:val="0"/>
        <w:autoSpaceDN w:val="0"/>
        <w:adjustRightInd w:val="0"/>
        <w:spacing w:after="0"/>
        <w:rPr>
          <w:rFonts w:cstheme="minorHAnsi"/>
        </w:rPr>
      </w:pPr>
      <w:r>
        <w:rPr>
          <w:rFonts w:cstheme="minorHAnsi"/>
        </w:rPr>
        <w:t>Aides à finalité régionale (régime n°SA.58979)</w:t>
      </w:r>
    </w:p>
    <w:p w14:paraId="5D32C2C0" w14:textId="77777777" w:rsidR="00C32530" w:rsidRDefault="00C32530" w:rsidP="00F459D6">
      <w:pPr>
        <w:pStyle w:val="Paragraphedeliste"/>
        <w:numPr>
          <w:ilvl w:val="0"/>
          <w:numId w:val="23"/>
        </w:numPr>
        <w:autoSpaceDE w:val="0"/>
        <w:autoSpaceDN w:val="0"/>
        <w:adjustRightInd w:val="0"/>
        <w:spacing w:after="0"/>
        <w:rPr>
          <w:rFonts w:cstheme="minorHAnsi"/>
        </w:rPr>
      </w:pPr>
      <w:r>
        <w:rPr>
          <w:rFonts w:cstheme="minorHAnsi"/>
        </w:rPr>
        <w:t>Aides aux PME (régime n°SA.59106)</w:t>
      </w:r>
    </w:p>
    <w:p w14:paraId="7F662307" w14:textId="77777777" w:rsidR="00C32530" w:rsidRDefault="00C32530" w:rsidP="00F459D6">
      <w:pPr>
        <w:pStyle w:val="Paragraphedeliste"/>
        <w:numPr>
          <w:ilvl w:val="0"/>
          <w:numId w:val="23"/>
        </w:numPr>
        <w:autoSpaceDE w:val="0"/>
        <w:autoSpaceDN w:val="0"/>
        <w:adjustRightInd w:val="0"/>
        <w:spacing w:after="0"/>
        <w:rPr>
          <w:rFonts w:cstheme="minorHAnsi"/>
        </w:rPr>
      </w:pPr>
      <w:r>
        <w:rPr>
          <w:rFonts w:cstheme="minorHAnsi"/>
        </w:rPr>
        <w:t>Aides à la protection de l’environnement (régime n°SA.59108 et ses prochaines modifications) dont</w:t>
      </w:r>
      <w:r>
        <w:rPr>
          <w:rFonts w:ascii="Calibri" w:hAnsi="Calibri" w:cs="Calibri"/>
        </w:rPr>
        <w:t> </w:t>
      </w:r>
      <w:r>
        <w:rPr>
          <w:rFonts w:cstheme="minorHAnsi"/>
        </w:rPr>
        <w:t>:</w:t>
      </w:r>
    </w:p>
    <w:p w14:paraId="0C5AB73C" w14:textId="77777777" w:rsidR="00C32530" w:rsidRDefault="00C32530" w:rsidP="00F459D6">
      <w:pPr>
        <w:pStyle w:val="Paragraphedeliste"/>
        <w:numPr>
          <w:ilvl w:val="1"/>
          <w:numId w:val="23"/>
        </w:numPr>
        <w:autoSpaceDE w:val="0"/>
        <w:autoSpaceDN w:val="0"/>
        <w:adjustRightInd w:val="0"/>
        <w:spacing w:after="0"/>
        <w:rPr>
          <w:rFonts w:cstheme="minorHAnsi"/>
        </w:rPr>
      </w:pPr>
      <w:r>
        <w:rPr>
          <w:rFonts w:cstheme="minorHAnsi"/>
        </w:rPr>
        <w:t>Mesures relatives aux aides à l’investissement permettant aux entreprises d'aller au-delà des normes de protection environnementale de l'UE ou d'augmenter le niveau de protection de l'environnement en l'absence de normes de l'UE.</w:t>
      </w:r>
    </w:p>
    <w:p w14:paraId="0F343DA9" w14:textId="77777777" w:rsidR="00C32530" w:rsidRDefault="00C32530" w:rsidP="00F459D6">
      <w:pPr>
        <w:pStyle w:val="Paragraphedeliste"/>
        <w:numPr>
          <w:ilvl w:val="1"/>
          <w:numId w:val="23"/>
        </w:numPr>
        <w:autoSpaceDE w:val="0"/>
        <w:autoSpaceDN w:val="0"/>
        <w:adjustRightInd w:val="0"/>
        <w:spacing w:after="0"/>
        <w:rPr>
          <w:rFonts w:cstheme="minorHAnsi"/>
        </w:rPr>
      </w:pPr>
      <w:r>
        <w:rPr>
          <w:rFonts w:cstheme="minorHAnsi"/>
        </w:rPr>
        <w:t xml:space="preserve">Aides à l'investissement en faveur des mesures d'efficacité énergétique </w:t>
      </w:r>
    </w:p>
    <w:p w14:paraId="622E2D19" w14:textId="77777777" w:rsidR="00C32530" w:rsidRDefault="00C32530" w:rsidP="00F459D6">
      <w:pPr>
        <w:pStyle w:val="Paragraphedeliste"/>
        <w:numPr>
          <w:ilvl w:val="1"/>
          <w:numId w:val="23"/>
        </w:numPr>
        <w:autoSpaceDE w:val="0"/>
        <w:autoSpaceDN w:val="0"/>
        <w:adjustRightInd w:val="0"/>
        <w:spacing w:after="0"/>
        <w:rPr>
          <w:rFonts w:cstheme="minorHAnsi"/>
        </w:rPr>
      </w:pPr>
      <w:r>
        <w:rPr>
          <w:rFonts w:cstheme="minorHAnsi"/>
        </w:rPr>
        <w:t>Aides à l'investissement en faveur du recyclage et du réemploi des déchets ;</w:t>
      </w:r>
    </w:p>
    <w:p w14:paraId="2084F479" w14:textId="23285F6E" w:rsidR="00C32530" w:rsidRDefault="00C32530" w:rsidP="00C32530">
      <w:pPr>
        <w:autoSpaceDE w:val="0"/>
        <w:autoSpaceDN w:val="0"/>
        <w:adjustRightInd w:val="0"/>
        <w:spacing w:after="240"/>
        <w:rPr>
          <w:rFonts w:cstheme="minorHAnsi"/>
        </w:rPr>
      </w:pPr>
      <w:r>
        <w:rPr>
          <w:rFonts w:cstheme="minorHAnsi"/>
        </w:rPr>
        <w:t>Les régimes d’aides sont disponibles sur le site</w:t>
      </w:r>
      <w:r>
        <w:rPr>
          <w:rFonts w:ascii="Calibri" w:hAnsi="Calibri" w:cs="Calibri"/>
        </w:rPr>
        <w:t> </w:t>
      </w:r>
      <w:r>
        <w:rPr>
          <w:rFonts w:cstheme="minorHAnsi"/>
        </w:rPr>
        <w:t xml:space="preserve">: </w:t>
      </w:r>
      <w:hyperlink r:id="rId18" w:history="1">
        <w:r>
          <w:rPr>
            <w:rStyle w:val="Lienhypertexte"/>
            <w:rFonts w:cstheme="minorHAnsi"/>
            <w:color w:val="auto"/>
          </w:rPr>
          <w:t>https://www.europe-en-france.gouv.fr/fr/aides-d-État</w:t>
        </w:r>
      </w:hyperlink>
      <w:r>
        <w:rPr>
          <w:rFonts w:cstheme="minorHAnsi"/>
        </w:rPr>
        <w:t>. Ils détaillent les conditions d’application du présent dispositif pour assurer sa compatibilité avec le droit de l’Union européenne.</w:t>
      </w:r>
    </w:p>
    <w:p w14:paraId="205C8DE5" w14:textId="77777777" w:rsidR="00184384" w:rsidRDefault="00184384" w:rsidP="00184384">
      <w:pPr>
        <w:autoSpaceDE w:val="0"/>
        <w:autoSpaceDN w:val="0"/>
        <w:adjustRightInd w:val="0"/>
        <w:rPr>
          <w:rFonts w:cstheme="minorHAnsi"/>
        </w:rPr>
      </w:pPr>
      <w:r>
        <w:rPr>
          <w:rFonts w:cstheme="minorHAnsi"/>
        </w:rPr>
        <w:t>Les investissements financés doivent répondre aux conditions particulières des régimes cadres exemptés de notification ou des régimes cadres d’aides d’urgence COVID-19 dans leur version en vigueur au moment de l’octroi de l’aide.</w:t>
      </w:r>
    </w:p>
    <w:p w14:paraId="5EE1C970" w14:textId="77777777" w:rsidR="00184384" w:rsidRDefault="00184384" w:rsidP="00C32530">
      <w:pPr>
        <w:autoSpaceDE w:val="0"/>
        <w:autoSpaceDN w:val="0"/>
        <w:adjustRightInd w:val="0"/>
        <w:spacing w:after="240"/>
        <w:rPr>
          <w:rFonts w:cstheme="minorHAnsi"/>
        </w:rPr>
      </w:pPr>
    </w:p>
    <w:p w14:paraId="037544DD" w14:textId="374C3117" w:rsidR="00C32530" w:rsidRPr="00C32530" w:rsidRDefault="00C32530" w:rsidP="00DB31CB">
      <w:pPr>
        <w:pStyle w:val="Titre2"/>
        <w:ind w:left="1701" w:hanging="567"/>
      </w:pPr>
      <w:bookmarkStart w:id="41" w:name="_Toc94546295"/>
      <w:bookmarkStart w:id="42" w:name="_Toc95386115"/>
      <w:r w:rsidRPr="00C32530">
        <w:t>Régime cadre temporaire COVID-19 (régime n°SA.56985 modifié et prolongé par le régime n° SA.100959)</w:t>
      </w:r>
      <w:bookmarkEnd w:id="41"/>
      <w:bookmarkEnd w:id="42"/>
    </w:p>
    <w:p w14:paraId="44DF7FB1" w14:textId="77777777" w:rsidR="00C32530" w:rsidRDefault="00C32530" w:rsidP="00C32530">
      <w:pPr>
        <w:rPr>
          <w:rFonts w:asciiTheme="minorHAnsi" w:hAnsiTheme="minorHAnsi" w:cstheme="minorHAnsi"/>
        </w:rPr>
      </w:pPr>
    </w:p>
    <w:p w14:paraId="4D3285FD" w14:textId="77777777" w:rsidR="00C32530" w:rsidRDefault="00C32530" w:rsidP="00C32530">
      <w:pPr>
        <w:spacing w:after="120"/>
        <w:rPr>
          <w:rFonts w:cstheme="minorHAnsi"/>
        </w:rPr>
      </w:pPr>
      <w:r>
        <w:rPr>
          <w:rFonts w:cstheme="minorHAnsi"/>
        </w:rPr>
        <w:t>Ce régime vise à répondre aux besoins de financement des entreprises dont l’activité subit un choc brutal à la suite des mesures d’urgence sanitaire et à la crise économique subséquente. Ce régime sera mobilisé au plus tard le 30 juin 2022 pour les aides relevant de la section 3.1 du régime mentionné ci-dessus.</w:t>
      </w:r>
    </w:p>
    <w:p w14:paraId="264B08D6" w14:textId="57AAE5A4" w:rsidR="00C32530" w:rsidRDefault="00C32530" w:rsidP="00C32530">
      <w:pPr>
        <w:spacing w:after="120"/>
        <w:rPr>
          <w:rFonts w:cstheme="minorHAnsi"/>
        </w:rPr>
      </w:pPr>
      <w:r>
        <w:rPr>
          <w:rFonts w:cstheme="minorHAnsi"/>
        </w:rPr>
        <w:t>L’aide versée à l’entreprise ne pourra pas excéder 2</w:t>
      </w:r>
      <w:r>
        <w:rPr>
          <w:rFonts w:ascii="Calibri" w:hAnsi="Calibri" w:cs="Calibri"/>
        </w:rPr>
        <w:t> </w:t>
      </w:r>
      <w:r>
        <w:rPr>
          <w:rFonts w:cstheme="minorHAnsi"/>
        </w:rPr>
        <w:t>300</w:t>
      </w:r>
      <w:r>
        <w:rPr>
          <w:rFonts w:ascii="Calibri" w:hAnsi="Calibri" w:cs="Calibri"/>
        </w:rPr>
        <w:t> </w:t>
      </w:r>
      <w:r>
        <w:rPr>
          <w:rFonts w:cstheme="minorHAnsi"/>
        </w:rPr>
        <w:t>000</w:t>
      </w:r>
      <w:r>
        <w:rPr>
          <w:rFonts w:cs="Marianne Thin"/>
        </w:rPr>
        <w:t>€</w:t>
      </w:r>
      <w:r>
        <w:rPr>
          <w:rFonts w:cstheme="minorHAnsi"/>
        </w:rPr>
        <w:t xml:space="preserve"> par entreprise apr</w:t>
      </w:r>
      <w:r>
        <w:rPr>
          <w:rFonts w:cs="Marianne Thin"/>
        </w:rPr>
        <w:t>è</w:t>
      </w:r>
      <w:r>
        <w:rPr>
          <w:rFonts w:cstheme="minorHAnsi"/>
        </w:rPr>
        <w:t>s prise en compte du cumul des aides d</w:t>
      </w:r>
      <w:r>
        <w:rPr>
          <w:rFonts w:cs="Marianne Thin"/>
        </w:rPr>
        <w:t>é</w:t>
      </w:r>
      <w:r>
        <w:rPr>
          <w:rFonts w:cstheme="minorHAnsi"/>
        </w:rPr>
        <w:t>j</w:t>
      </w:r>
      <w:r>
        <w:rPr>
          <w:rFonts w:cs="Marianne Thin"/>
        </w:rPr>
        <w:t>à</w:t>
      </w:r>
      <w:r>
        <w:rPr>
          <w:rFonts w:cstheme="minorHAnsi"/>
        </w:rPr>
        <w:t xml:space="preserve"> vers</w:t>
      </w:r>
      <w:r>
        <w:rPr>
          <w:rFonts w:cs="Marianne Thin"/>
        </w:rPr>
        <w:t>é</w:t>
      </w:r>
      <w:r>
        <w:rPr>
          <w:rFonts w:cstheme="minorHAnsi"/>
        </w:rPr>
        <w:t>es par d</w:t>
      </w:r>
      <w:r>
        <w:rPr>
          <w:rFonts w:cs="Marianne Thin"/>
        </w:rPr>
        <w:t>’</w:t>
      </w:r>
      <w:r>
        <w:rPr>
          <w:rFonts w:cstheme="minorHAnsi"/>
        </w:rPr>
        <w:t>autres financeurs sur cette m</w:t>
      </w:r>
      <w:r>
        <w:rPr>
          <w:rFonts w:cs="Marianne Thin"/>
        </w:rPr>
        <w:t>ê</w:t>
      </w:r>
      <w:r>
        <w:rPr>
          <w:rFonts w:cstheme="minorHAnsi"/>
        </w:rPr>
        <w:t>me base l</w:t>
      </w:r>
      <w:r>
        <w:rPr>
          <w:rFonts w:cs="Marianne Thin"/>
        </w:rPr>
        <w:t>é</w:t>
      </w:r>
      <w:r>
        <w:rPr>
          <w:rFonts w:cstheme="minorHAnsi"/>
        </w:rPr>
        <w:t>gale, notamment certaines aides de France Relance. L</w:t>
      </w:r>
      <w:r>
        <w:rPr>
          <w:rFonts w:cs="Marianne Thin"/>
        </w:rPr>
        <w:t>’</w:t>
      </w:r>
      <w:r>
        <w:rPr>
          <w:rFonts w:cstheme="minorHAnsi"/>
        </w:rPr>
        <w:t>entreprise devra d</w:t>
      </w:r>
      <w:r>
        <w:rPr>
          <w:rFonts w:cs="Marianne Thin"/>
        </w:rPr>
        <w:t>é</w:t>
      </w:r>
      <w:r>
        <w:rPr>
          <w:rFonts w:cstheme="minorHAnsi"/>
        </w:rPr>
        <w:t>clarer les aides qu’elle a déjà perçues sur cette même base légale (régime temporaire covid-19 SA.56985), y compris de la part d’autres financeurs. Ces aides sont appréciées au niveau de l’</w:t>
      </w:r>
      <w:r>
        <w:rPr>
          <w:rFonts w:ascii="Calibri" w:hAnsi="Calibri" w:cs="Calibri"/>
        </w:rPr>
        <w:t> </w:t>
      </w:r>
      <w:r>
        <w:rPr>
          <w:rFonts w:cs="Marianne Thin"/>
        </w:rPr>
        <w:t>«</w:t>
      </w:r>
      <w:r>
        <w:rPr>
          <w:rFonts w:ascii="Calibri" w:hAnsi="Calibri" w:cs="Calibri"/>
        </w:rPr>
        <w:t> </w:t>
      </w:r>
      <w:r>
        <w:rPr>
          <w:rFonts w:cstheme="minorHAnsi"/>
        </w:rPr>
        <w:t>entreprise unique</w:t>
      </w:r>
      <w:r>
        <w:rPr>
          <w:rFonts w:ascii="Calibri" w:hAnsi="Calibri" w:cs="Calibri"/>
        </w:rPr>
        <w:t> </w:t>
      </w:r>
      <w:r>
        <w:rPr>
          <w:rFonts w:cs="Marianne Thin"/>
        </w:rPr>
        <w:t>»</w:t>
      </w:r>
      <w:r>
        <w:rPr>
          <w:rStyle w:val="Appelnotedebasdep"/>
          <w:rFonts w:cstheme="minorHAnsi"/>
        </w:rPr>
        <w:footnoteReference w:id="9"/>
      </w:r>
      <w:r>
        <w:rPr>
          <w:rFonts w:cstheme="minorHAnsi"/>
        </w:rPr>
        <w:t>, c’est-à-dire en englobant toutes les entreprises relevant d’un même contrôle en droit ou en fait. A noter que les Prêts Garantis par l’État (PGE) ne rentrent pas dans le calcul du plafond de 2 300</w:t>
      </w:r>
      <w:r>
        <w:rPr>
          <w:rFonts w:ascii="Calibri" w:hAnsi="Calibri" w:cs="Calibri"/>
        </w:rPr>
        <w:t> </w:t>
      </w:r>
      <w:r>
        <w:rPr>
          <w:rFonts w:cstheme="minorHAnsi"/>
        </w:rPr>
        <w:t>000</w:t>
      </w:r>
      <w:r>
        <w:rPr>
          <w:rFonts w:cs="Marianne Thin"/>
        </w:rPr>
        <w:t>€</w:t>
      </w:r>
      <w:r>
        <w:rPr>
          <w:rFonts w:cstheme="minorHAnsi"/>
        </w:rPr>
        <w:t>. Pour les aides relevant de la section 3.1 du r</w:t>
      </w:r>
      <w:r>
        <w:rPr>
          <w:rFonts w:cs="Marianne Thin"/>
        </w:rPr>
        <w:t>é</w:t>
      </w:r>
      <w:r>
        <w:rPr>
          <w:rFonts w:cstheme="minorHAnsi"/>
        </w:rPr>
        <w:t>gime mentionné ci-dessus, le taux de soutien maximal est de 40% pour les dépenses éligibles de RDI et/ou d’investissement.</w:t>
      </w:r>
    </w:p>
    <w:p w14:paraId="52389C8B" w14:textId="77777777" w:rsidR="00DB31CB" w:rsidRDefault="00DB31CB" w:rsidP="00C32530">
      <w:pPr>
        <w:spacing w:after="120"/>
        <w:rPr>
          <w:rFonts w:cstheme="minorHAnsi"/>
        </w:rPr>
      </w:pPr>
    </w:p>
    <w:p w14:paraId="279ECFFD" w14:textId="107C0579" w:rsidR="00C32530" w:rsidRPr="00C32530" w:rsidRDefault="00C32530" w:rsidP="00DB31CB">
      <w:pPr>
        <w:pStyle w:val="Titre2"/>
        <w:ind w:left="1701" w:hanging="567"/>
      </w:pPr>
      <w:bookmarkStart w:id="43" w:name="_Toc94546296"/>
      <w:bookmarkStart w:id="44" w:name="_Toc95386116"/>
      <w:r w:rsidRPr="00C32530">
        <w:t>Aides à l’investissement pour une relance durable</w:t>
      </w:r>
      <w:bookmarkEnd w:id="43"/>
      <w:bookmarkEnd w:id="44"/>
      <w:r w:rsidRPr="00C32530">
        <w:t xml:space="preserve"> </w:t>
      </w:r>
    </w:p>
    <w:p w14:paraId="4BB4D31C" w14:textId="77777777" w:rsidR="00C32530" w:rsidRDefault="00C32530" w:rsidP="00C32530">
      <w:pPr>
        <w:spacing w:after="120"/>
        <w:rPr>
          <w:rFonts w:cstheme="minorHAnsi"/>
        </w:rPr>
      </w:pPr>
      <w:r>
        <w:rPr>
          <w:rFonts w:cstheme="minorHAnsi"/>
        </w:rPr>
        <w:t>Le versement des aides est conditionné à l’autorisation d’un prochain régime d’aides notifié à la Commission européenne dans le cadre de la section 3.13 de l’encadrement temporaire des aides d’État. L’aide versée à l’entreprise ne pourra excéder 10 millions d’euros par entreprise au niveau du groupe, afin de combler le déficit d’investissement qui serait creusé en raison de la crise. Par dérogation, certaines aides octroyées au titre de ce régime pourraient atteindre un montant de 17,5</w:t>
      </w:r>
      <w:r>
        <w:rPr>
          <w:rFonts w:ascii="Calibri" w:hAnsi="Calibri" w:cs="Calibri"/>
        </w:rPr>
        <w:t> </w:t>
      </w:r>
      <w:r>
        <w:rPr>
          <w:rFonts w:cstheme="minorHAnsi"/>
        </w:rPr>
        <w:t>M</w:t>
      </w:r>
      <w:r>
        <w:rPr>
          <w:rFonts w:cs="Marianne Thin"/>
        </w:rPr>
        <w:t>€</w:t>
      </w:r>
      <w:r>
        <w:rPr>
          <w:rFonts w:cstheme="minorHAnsi"/>
        </w:rPr>
        <w:t xml:space="preserve"> ou bien </w:t>
      </w:r>
      <w:r>
        <w:rPr>
          <w:rFonts w:cs="Marianne Thin"/>
        </w:rPr>
        <w:t>ê</w:t>
      </w:r>
      <w:r>
        <w:rPr>
          <w:rFonts w:cstheme="minorHAnsi"/>
        </w:rPr>
        <w:t>tre cumul</w:t>
      </w:r>
      <w:r>
        <w:rPr>
          <w:rFonts w:cs="Marianne Thin"/>
        </w:rPr>
        <w:t>é</w:t>
      </w:r>
      <w:r>
        <w:rPr>
          <w:rFonts w:cstheme="minorHAnsi"/>
        </w:rPr>
        <w:t xml:space="preserve">es avec des aides </w:t>
      </w:r>
      <w:r>
        <w:rPr>
          <w:rFonts w:cs="Marianne Thin"/>
        </w:rPr>
        <w:t>à</w:t>
      </w:r>
      <w:r>
        <w:rPr>
          <w:rFonts w:cstheme="minorHAnsi"/>
        </w:rPr>
        <w:t xml:space="preserve"> finalit</w:t>
      </w:r>
      <w:r>
        <w:rPr>
          <w:rFonts w:cs="Marianne Thin"/>
        </w:rPr>
        <w:t>é</w:t>
      </w:r>
      <w:r>
        <w:rPr>
          <w:rFonts w:cstheme="minorHAnsi"/>
        </w:rPr>
        <w:t xml:space="preserve"> r</w:t>
      </w:r>
      <w:r>
        <w:rPr>
          <w:rFonts w:cs="Marianne Thin"/>
        </w:rPr>
        <w:t>é</w:t>
      </w:r>
      <w:r>
        <w:rPr>
          <w:rFonts w:cstheme="minorHAnsi"/>
        </w:rPr>
        <w:t>gionale sous ce plafond, sous r</w:t>
      </w:r>
      <w:r>
        <w:rPr>
          <w:rFonts w:cs="Marianne Thin"/>
        </w:rPr>
        <w:t>é</w:t>
      </w:r>
      <w:r>
        <w:rPr>
          <w:rFonts w:cstheme="minorHAnsi"/>
        </w:rPr>
        <w:t>serve d</w:t>
      </w:r>
      <w:r>
        <w:rPr>
          <w:rFonts w:cs="Marianne Thin"/>
        </w:rPr>
        <w:t>’</w:t>
      </w:r>
      <w:r>
        <w:rPr>
          <w:rFonts w:cstheme="minorHAnsi"/>
        </w:rPr>
        <w:t xml:space="preserve">une confirmation de la Commission européenne dans le cadre de la </w:t>
      </w:r>
      <w:proofErr w:type="spellStart"/>
      <w:r>
        <w:rPr>
          <w:rFonts w:cstheme="minorHAnsi"/>
        </w:rPr>
        <w:t>prénotification</w:t>
      </w:r>
      <w:proofErr w:type="spellEnd"/>
      <w:r>
        <w:rPr>
          <w:rFonts w:cstheme="minorHAnsi"/>
        </w:rPr>
        <w:t xml:space="preserve"> du régime d’aides à la relance durable (montants indicatifs). L’intensité maximale de l’aide est de 35</w:t>
      </w:r>
      <w:r>
        <w:rPr>
          <w:rFonts w:ascii="Calibri" w:hAnsi="Calibri" w:cs="Calibri"/>
        </w:rPr>
        <w:t> </w:t>
      </w:r>
      <w:r>
        <w:rPr>
          <w:rFonts w:cstheme="minorHAnsi"/>
        </w:rPr>
        <w:t>% pour les petites entreprises, 25</w:t>
      </w:r>
      <w:r>
        <w:rPr>
          <w:rFonts w:ascii="Calibri" w:hAnsi="Calibri" w:cs="Calibri"/>
        </w:rPr>
        <w:t> </w:t>
      </w:r>
      <w:r>
        <w:rPr>
          <w:rFonts w:cstheme="minorHAnsi"/>
        </w:rPr>
        <w:t xml:space="preserve">% pour les moyennes entreprises et 10 </w:t>
      </w:r>
      <w:r>
        <w:rPr>
          <w:rFonts w:cs="Marianne Thin"/>
        </w:rPr>
        <w:t>à</w:t>
      </w:r>
      <w:r>
        <w:rPr>
          <w:rFonts w:cstheme="minorHAnsi"/>
        </w:rPr>
        <w:t xml:space="preserve"> 15</w:t>
      </w:r>
      <w:r>
        <w:rPr>
          <w:rFonts w:ascii="Calibri" w:hAnsi="Calibri" w:cs="Calibri"/>
        </w:rPr>
        <w:t> </w:t>
      </w:r>
      <w:r>
        <w:rPr>
          <w:rFonts w:cstheme="minorHAnsi"/>
        </w:rPr>
        <w:t>%</w:t>
      </w:r>
      <w:r>
        <w:rPr>
          <w:rStyle w:val="Appelnotedebasdep"/>
          <w:rFonts w:cstheme="minorHAnsi"/>
        </w:rPr>
        <w:footnoteReference w:id="10"/>
      </w:r>
      <w:r>
        <w:rPr>
          <w:rFonts w:cstheme="minorHAnsi"/>
        </w:rPr>
        <w:t xml:space="preserve"> pour les ETI et les grandes entreprises. Par dérogation, les entreprises pourront bénéficier d’une intensité d’aide doublée au titre du régime d’aides à la relance durable ou par cumul avec une aide à finalité régionale sous réserve d’une confirmation de la Commission européenne dans le cadre de la </w:t>
      </w:r>
      <w:proofErr w:type="spellStart"/>
      <w:r>
        <w:rPr>
          <w:rFonts w:cstheme="minorHAnsi"/>
        </w:rPr>
        <w:t>prénotification</w:t>
      </w:r>
      <w:proofErr w:type="spellEnd"/>
      <w:r>
        <w:rPr>
          <w:rFonts w:cstheme="minorHAnsi"/>
        </w:rPr>
        <w:t xml:space="preserve"> du régime d’aides à la relance durable (intensités d’aide indicatives). Les coûts éligibles pour cette section portent sur des investissements dans de nouveaux actifs de production autre que des investissements immobiliers ou financiers.</w:t>
      </w:r>
    </w:p>
    <w:p w14:paraId="7313BBC6" w14:textId="5DE2958A" w:rsidR="00C32530" w:rsidRDefault="00C32530" w:rsidP="00C32530">
      <w:pPr>
        <w:spacing w:after="120"/>
        <w:rPr>
          <w:rFonts w:cstheme="minorHAnsi"/>
        </w:rPr>
      </w:pPr>
      <w:r>
        <w:rPr>
          <w:rFonts w:cstheme="minorHAnsi"/>
        </w:rPr>
        <w:t xml:space="preserve">Le régime cadre temporaire sera mobilisé en priorité dès lors que l’entreprise attestera de difficultés de trésorerie entravant ses investissements. L’entreprise décrira dans son dossier de candidature les difficultés rencontrées suite à la crise pour le lancement de son projet et l’effet attendu de l’aide sur son projet. </w:t>
      </w:r>
    </w:p>
    <w:p w14:paraId="588FBB41" w14:textId="77777777" w:rsidR="00455846" w:rsidRDefault="00455846" w:rsidP="00C32530">
      <w:pPr>
        <w:spacing w:after="120"/>
        <w:rPr>
          <w:rFonts w:cstheme="minorHAnsi"/>
        </w:rPr>
      </w:pPr>
    </w:p>
    <w:p w14:paraId="57179CA1" w14:textId="63643091" w:rsidR="00C32530" w:rsidRPr="00C32530" w:rsidRDefault="00C32530" w:rsidP="00DB31CB">
      <w:pPr>
        <w:pStyle w:val="Titre2"/>
        <w:ind w:left="1701" w:hanging="567"/>
      </w:pPr>
      <w:bookmarkStart w:id="45" w:name="_Toc94546297"/>
      <w:bookmarkStart w:id="46" w:name="_Toc95386117"/>
      <w:r w:rsidRPr="00C32530">
        <w:t>Régimes cadres horizontaux</w:t>
      </w:r>
      <w:bookmarkEnd w:id="45"/>
      <w:bookmarkEnd w:id="46"/>
    </w:p>
    <w:p w14:paraId="2AC69A41" w14:textId="37BBED10" w:rsidR="00C32530" w:rsidRDefault="00C32530" w:rsidP="00C32530">
      <w:pPr>
        <w:rPr>
          <w:rFonts w:cstheme="minorHAnsi"/>
        </w:rPr>
      </w:pPr>
      <w:r>
        <w:rPr>
          <w:rFonts w:cstheme="minorHAnsi"/>
        </w:rPr>
        <w:t>Les dépenses éligibles, les intensités d’aides, les engagements de maintien des investissements et les seuils de notification individuels sont précisés dans chaque régime d’aide. Le montant d’aide ne pourra pas dépasser le seuil de notification individuel mentionné dans le régime d’aide.</w:t>
      </w:r>
    </w:p>
    <w:p w14:paraId="3F826012" w14:textId="77777777" w:rsidR="00730E66" w:rsidRPr="00730E66" w:rsidRDefault="00730E66" w:rsidP="00C32530">
      <w:pPr>
        <w:rPr>
          <w:rFonts w:cstheme="minorHAnsi"/>
          <w:b/>
        </w:rPr>
      </w:pPr>
    </w:p>
    <w:p w14:paraId="20188136" w14:textId="42E19980" w:rsidR="00C32530" w:rsidRPr="00730E66" w:rsidRDefault="00C32530" w:rsidP="00730E66">
      <w:pPr>
        <w:pStyle w:val="Paragraphedeliste"/>
        <w:numPr>
          <w:ilvl w:val="0"/>
          <w:numId w:val="31"/>
        </w:numPr>
        <w:rPr>
          <w:b/>
        </w:rPr>
      </w:pPr>
      <w:bookmarkStart w:id="47" w:name="_Toc94546298"/>
      <w:r w:rsidRPr="00730E66">
        <w:rPr>
          <w:b/>
        </w:rPr>
        <w:t>Travaux de recherche, développement et innovation (RDI) – SA.58995 :</w:t>
      </w:r>
      <w:bookmarkEnd w:id="47"/>
      <w:r w:rsidRPr="00730E66">
        <w:rPr>
          <w:b/>
        </w:rPr>
        <w:t xml:space="preserve"> </w:t>
      </w:r>
    </w:p>
    <w:p w14:paraId="6721C709" w14:textId="77777777" w:rsidR="00C32530" w:rsidRDefault="00C32530" w:rsidP="00C32530">
      <w:pPr>
        <w:autoSpaceDE w:val="0"/>
        <w:autoSpaceDN w:val="0"/>
        <w:adjustRightInd w:val="0"/>
        <w:rPr>
          <w:rFonts w:asciiTheme="minorHAnsi" w:hAnsiTheme="minorHAnsi" w:cstheme="minorHAnsi"/>
        </w:rPr>
      </w:pPr>
      <w:r>
        <w:rPr>
          <w:rFonts w:cstheme="minorHAnsi"/>
        </w:rPr>
        <w:t>Sont éligibles les dépenses suivantes</w:t>
      </w:r>
      <w:r>
        <w:rPr>
          <w:rFonts w:ascii="Calibri" w:hAnsi="Calibri" w:cs="Calibri"/>
        </w:rPr>
        <w:t> </w:t>
      </w:r>
      <w:r>
        <w:rPr>
          <w:rFonts w:cstheme="minorHAnsi"/>
        </w:rPr>
        <w:t xml:space="preserve">: </w:t>
      </w:r>
    </w:p>
    <w:p w14:paraId="15DD9CFB" w14:textId="77777777" w:rsidR="00C32530" w:rsidRDefault="00C32530" w:rsidP="00F459D6">
      <w:pPr>
        <w:pStyle w:val="Paragraphedeliste"/>
        <w:numPr>
          <w:ilvl w:val="0"/>
          <w:numId w:val="24"/>
        </w:numPr>
        <w:spacing w:after="160" w:line="256" w:lineRule="auto"/>
        <w:ind w:left="1985" w:hanging="567"/>
        <w:rPr>
          <w:rFonts w:cstheme="minorHAnsi"/>
        </w:rPr>
      </w:pPr>
      <w:proofErr w:type="gramStart"/>
      <w:r>
        <w:rPr>
          <w:rFonts w:cstheme="minorHAnsi"/>
        </w:rPr>
        <w:t>les</w:t>
      </w:r>
      <w:proofErr w:type="gramEnd"/>
      <w:r>
        <w:rPr>
          <w:rFonts w:cstheme="minorHAnsi"/>
        </w:rPr>
        <w:t xml:space="preserve"> frais de personnel : chercheurs, techniciens et autres personnels d’appui employés pour le projet ;</w:t>
      </w:r>
    </w:p>
    <w:p w14:paraId="71DC148F" w14:textId="77777777" w:rsidR="00C32530" w:rsidRDefault="00C32530" w:rsidP="00F459D6">
      <w:pPr>
        <w:pStyle w:val="Paragraphedeliste"/>
        <w:numPr>
          <w:ilvl w:val="0"/>
          <w:numId w:val="24"/>
        </w:numPr>
        <w:spacing w:after="160" w:line="256" w:lineRule="auto"/>
        <w:ind w:left="1985" w:hanging="567"/>
        <w:rPr>
          <w:rFonts w:cstheme="minorHAnsi"/>
        </w:rPr>
      </w:pPr>
      <w:proofErr w:type="gramStart"/>
      <w:r>
        <w:rPr>
          <w:rFonts w:cstheme="minorHAnsi"/>
        </w:rPr>
        <w:t>les</w:t>
      </w:r>
      <w:proofErr w:type="gramEnd"/>
      <w:r>
        <w:rPr>
          <w:rFonts w:cstheme="minorHAnsi"/>
        </w:rPr>
        <w:t xml:space="preserve"> coûts des instruments et du matériel utilisés pour le projet. Lorsque ces instruments et ce matériel ne sont pas utilisés pendant toute leur durée de vie dans le cadre du projet, seuls les coûts d’amortissement correspondant à la durée du projet, calculés conformément aux principes comptables généralement admis, sont jugés admissibles ;</w:t>
      </w:r>
    </w:p>
    <w:p w14:paraId="230DA7D0" w14:textId="77777777" w:rsidR="00C32530" w:rsidRDefault="00C32530" w:rsidP="00F459D6">
      <w:pPr>
        <w:pStyle w:val="Paragraphedeliste"/>
        <w:numPr>
          <w:ilvl w:val="0"/>
          <w:numId w:val="24"/>
        </w:numPr>
        <w:spacing w:after="160" w:line="256" w:lineRule="auto"/>
        <w:ind w:left="1985" w:hanging="567"/>
        <w:rPr>
          <w:rFonts w:cstheme="minorHAnsi"/>
        </w:rPr>
      </w:pPr>
      <w:proofErr w:type="gramStart"/>
      <w:r>
        <w:rPr>
          <w:rFonts w:cstheme="minorHAnsi"/>
        </w:rPr>
        <w:t>les</w:t>
      </w:r>
      <w:proofErr w:type="gramEnd"/>
      <w:r>
        <w:rPr>
          <w:rFonts w:cstheme="minorHAnsi"/>
        </w:rPr>
        <w:t xml:space="preserve"> coûts de la recherche contractuelle, des connaissances et des brevets achetés ou pris sous licence auprès de sources extérieures à des conditions de pleine concurrence, ainsi que les coûts des services de conseil et des services équivalents utilisés exclusivement aux fins du projet</w:t>
      </w:r>
      <w:r>
        <w:rPr>
          <w:rFonts w:ascii="Calibri" w:hAnsi="Calibri" w:cs="Calibri"/>
        </w:rPr>
        <w:t> </w:t>
      </w:r>
      <w:r>
        <w:rPr>
          <w:rFonts w:cstheme="minorHAnsi"/>
        </w:rPr>
        <w:t>;</w:t>
      </w:r>
    </w:p>
    <w:p w14:paraId="5DEBA5C3" w14:textId="77777777" w:rsidR="00C32530" w:rsidRDefault="00C32530" w:rsidP="00F459D6">
      <w:pPr>
        <w:pStyle w:val="Paragraphedeliste"/>
        <w:numPr>
          <w:ilvl w:val="0"/>
          <w:numId w:val="24"/>
        </w:numPr>
        <w:spacing w:after="160" w:line="256" w:lineRule="auto"/>
        <w:ind w:left="1985" w:hanging="567"/>
        <w:rPr>
          <w:rFonts w:cstheme="minorHAnsi"/>
        </w:rPr>
      </w:pPr>
      <w:proofErr w:type="gramStart"/>
      <w:r>
        <w:rPr>
          <w:rFonts w:cstheme="minorHAnsi"/>
        </w:rPr>
        <w:t>les</w:t>
      </w:r>
      <w:proofErr w:type="gramEnd"/>
      <w:r>
        <w:rPr>
          <w:rFonts w:cstheme="minorHAnsi"/>
        </w:rPr>
        <w:t xml:space="preserve"> études de faisabilité. </w:t>
      </w:r>
    </w:p>
    <w:p w14:paraId="09E85C46" w14:textId="77777777" w:rsidR="00C32530" w:rsidRDefault="00C32530" w:rsidP="00C32530">
      <w:pPr>
        <w:autoSpaceDE w:val="0"/>
        <w:autoSpaceDN w:val="0"/>
        <w:adjustRightInd w:val="0"/>
        <w:rPr>
          <w:rFonts w:cstheme="minorHAnsi"/>
          <w:b/>
          <w:bCs/>
        </w:rPr>
      </w:pPr>
    </w:p>
    <w:p w14:paraId="3228A8D2" w14:textId="003F754F" w:rsidR="00C32530" w:rsidRPr="00730E66" w:rsidRDefault="00C32530" w:rsidP="00730E66">
      <w:pPr>
        <w:pStyle w:val="Paragraphedeliste"/>
        <w:numPr>
          <w:ilvl w:val="0"/>
          <w:numId w:val="31"/>
        </w:numPr>
        <w:rPr>
          <w:b/>
        </w:rPr>
      </w:pPr>
      <w:bookmarkStart w:id="48" w:name="_Toc94546299"/>
      <w:r w:rsidRPr="00730E66">
        <w:rPr>
          <w:b/>
        </w:rPr>
        <w:t>Travaux d’investissements industriels (SA.58979 et SA.59106) :</w:t>
      </w:r>
      <w:bookmarkEnd w:id="48"/>
      <w:r w:rsidRPr="00730E66">
        <w:rPr>
          <w:b/>
        </w:rPr>
        <w:t xml:space="preserve"> </w:t>
      </w:r>
    </w:p>
    <w:p w14:paraId="5CE14D64" w14:textId="77777777" w:rsidR="00C32530" w:rsidRDefault="00C32530" w:rsidP="00C32530">
      <w:pPr>
        <w:autoSpaceDE w:val="0"/>
        <w:autoSpaceDN w:val="0"/>
        <w:adjustRightInd w:val="0"/>
        <w:spacing w:after="120"/>
        <w:rPr>
          <w:rFonts w:asciiTheme="minorHAnsi" w:hAnsiTheme="minorHAnsi" w:cstheme="minorHAnsi"/>
        </w:rPr>
      </w:pPr>
      <w:r>
        <w:rPr>
          <w:rFonts w:cstheme="minorHAnsi"/>
        </w:rPr>
        <w:t>Sont éligibles les dépenses de nouveaux investissements</w:t>
      </w:r>
      <w:r>
        <w:rPr>
          <w:rFonts w:ascii="Calibri" w:hAnsi="Calibri" w:cs="Calibri"/>
        </w:rPr>
        <w:t> </w:t>
      </w:r>
      <w:r>
        <w:rPr>
          <w:rFonts w:cstheme="minorHAnsi"/>
        </w:rPr>
        <w:t>constitu</w:t>
      </w:r>
      <w:r>
        <w:rPr>
          <w:rFonts w:cs="Marianne Thin"/>
        </w:rPr>
        <w:t>é</w:t>
      </w:r>
      <w:r>
        <w:rPr>
          <w:rFonts w:cstheme="minorHAnsi"/>
        </w:rPr>
        <w:t xml:space="preserve">s des actifs corporels correspondant au prix de revient hors taxe des investissements productifs du projet : </w:t>
      </w:r>
      <w:r>
        <w:rPr>
          <w:rFonts w:cs="Marianne Thin"/>
        </w:rPr>
        <w:t>é</w:t>
      </w:r>
      <w:r>
        <w:rPr>
          <w:rFonts w:cstheme="minorHAnsi"/>
        </w:rPr>
        <w:t>quipements et machines, hors bâtiment.</w:t>
      </w:r>
    </w:p>
    <w:p w14:paraId="4A62CBA5" w14:textId="77777777" w:rsidR="00C32530" w:rsidRDefault="00C32530" w:rsidP="00C32530">
      <w:pPr>
        <w:spacing w:after="120"/>
        <w:rPr>
          <w:rFonts w:cstheme="minorHAnsi"/>
        </w:rPr>
      </w:pPr>
      <w:r>
        <w:rPr>
          <w:rFonts w:cstheme="minorHAnsi"/>
        </w:rPr>
        <w:t>S’agissant des aides adossées au régime AFR, les dépenses des Grandes entreprises ne sont éligibles que dans les cas de création d’un nouvel établissement ou de diversification d’activité</w:t>
      </w:r>
      <w:r>
        <w:rPr>
          <w:rStyle w:val="Appelnotedebasdep"/>
          <w:rFonts w:cstheme="minorHAnsi"/>
        </w:rPr>
        <w:footnoteReference w:id="11"/>
      </w:r>
      <w:r>
        <w:rPr>
          <w:rFonts w:cstheme="minorHAnsi"/>
        </w:rPr>
        <w:t xml:space="preserve"> au sein d’un établissement existant. </w:t>
      </w:r>
    </w:p>
    <w:p w14:paraId="4B2B5C5F" w14:textId="77777777" w:rsidR="00C32530" w:rsidRDefault="00C32530" w:rsidP="00C32530">
      <w:pPr>
        <w:autoSpaceDE w:val="0"/>
        <w:autoSpaceDN w:val="0"/>
        <w:adjustRightInd w:val="0"/>
        <w:spacing w:after="120"/>
        <w:rPr>
          <w:rFonts w:cstheme="minorHAnsi"/>
        </w:rPr>
      </w:pPr>
      <w:r>
        <w:rPr>
          <w:rFonts w:cstheme="minorHAnsi"/>
        </w:rPr>
        <w:t>Les investissements de remplacement à l’identique des actifs matériels et de simple mise en conformité ne sont pas éligibles à l’aide.</w:t>
      </w:r>
    </w:p>
    <w:p w14:paraId="598383C6" w14:textId="77777777" w:rsidR="00C32530" w:rsidRDefault="00C32530" w:rsidP="00C32530">
      <w:pPr>
        <w:autoSpaceDE w:val="0"/>
        <w:autoSpaceDN w:val="0"/>
        <w:adjustRightInd w:val="0"/>
        <w:spacing w:after="120"/>
        <w:rPr>
          <w:rFonts w:cstheme="minorHAnsi"/>
        </w:rPr>
      </w:pPr>
      <w:r>
        <w:rPr>
          <w:rFonts w:cstheme="minorHAnsi"/>
        </w:rPr>
        <w:t>Il est précisé que pour les coûts liés à la location d’actifs corporels</w:t>
      </w:r>
      <w:r>
        <w:rPr>
          <w:rFonts w:ascii="Calibri" w:hAnsi="Calibri" w:cs="Calibri"/>
        </w:rPr>
        <w:t> </w:t>
      </w:r>
      <w:r>
        <w:rPr>
          <w:rFonts w:cstheme="minorHAnsi"/>
        </w:rPr>
        <w:t>en ce qui concerne les installations ou les machines, le bail doit prendre la forme d’un crédit-bail et prévoir l’obligation, pour le bénéficiaire de l’aide, d’acheter le bien à l’expiration du contrat de bail.</w:t>
      </w:r>
    </w:p>
    <w:p w14:paraId="256325E9" w14:textId="77777777" w:rsidR="00C32530" w:rsidRDefault="00C32530" w:rsidP="00C32530">
      <w:pPr>
        <w:autoSpaceDE w:val="0"/>
        <w:autoSpaceDN w:val="0"/>
        <w:adjustRightInd w:val="0"/>
        <w:spacing w:after="120"/>
        <w:rPr>
          <w:rFonts w:cstheme="minorHAnsi"/>
        </w:rPr>
      </w:pPr>
      <w:r>
        <w:rPr>
          <w:rFonts w:cstheme="minorHAnsi"/>
        </w:rPr>
        <w:t>De manière générale, les investissements financés doivent répondre aux conditions particulières de chaque régime mobilisé dans leur version en vigueur au moment de l’octroi de l’aide.</w:t>
      </w:r>
    </w:p>
    <w:p w14:paraId="67B23375" w14:textId="5AAA7D91" w:rsidR="00C32530" w:rsidRPr="00111359" w:rsidRDefault="00C32530" w:rsidP="00730E66">
      <w:pPr>
        <w:pStyle w:val="Paragraphedeliste"/>
        <w:numPr>
          <w:ilvl w:val="0"/>
          <w:numId w:val="31"/>
        </w:numPr>
        <w:rPr>
          <w:b/>
        </w:rPr>
      </w:pPr>
      <w:bookmarkStart w:id="49" w:name="_Toc94546300"/>
      <w:r w:rsidRPr="00111359">
        <w:rPr>
          <w:b/>
        </w:rPr>
        <w:t>Travaux d’amélioration de l’efficacité énergétique et environnementale (SA.59108) :</w:t>
      </w:r>
      <w:bookmarkEnd w:id="49"/>
      <w:r w:rsidRPr="00111359">
        <w:rPr>
          <w:b/>
        </w:rPr>
        <w:t xml:space="preserve"> </w:t>
      </w:r>
    </w:p>
    <w:p w14:paraId="3A6D0B36" w14:textId="77777777" w:rsidR="00C32530" w:rsidRDefault="00C32530" w:rsidP="00C32530">
      <w:pPr>
        <w:autoSpaceDE w:val="0"/>
        <w:autoSpaceDN w:val="0"/>
        <w:adjustRightInd w:val="0"/>
        <w:spacing w:before="120"/>
        <w:rPr>
          <w:rFonts w:asciiTheme="minorHAnsi" w:hAnsiTheme="minorHAnsi" w:cstheme="minorHAnsi"/>
        </w:rPr>
      </w:pPr>
      <w:r>
        <w:rPr>
          <w:rFonts w:cstheme="minorHAnsi"/>
        </w:rPr>
        <w:t xml:space="preserve">Ces travaux sont conduits en faveur de mesures d’efficacité énergétique ou de recyclage et de réemploi des déchets. </w:t>
      </w:r>
    </w:p>
    <w:p w14:paraId="0453EC30" w14:textId="77777777" w:rsidR="00C32530" w:rsidRDefault="00C32530" w:rsidP="00C32530">
      <w:pPr>
        <w:autoSpaceDE w:val="0"/>
        <w:autoSpaceDN w:val="0"/>
        <w:adjustRightInd w:val="0"/>
        <w:spacing w:before="120"/>
        <w:rPr>
          <w:rFonts w:cstheme="minorHAnsi"/>
        </w:rPr>
      </w:pPr>
      <w:r>
        <w:rPr>
          <w:rFonts w:cstheme="minorHAnsi"/>
        </w:rPr>
        <w:t xml:space="preserve">Concernant l’efficacité énergétique sont éligibles les coûts d’investissement supplémentaires nécessaires pour parvenir à un niveau d’efficacité énergétique supérieur. Ils sont déterminés comme suit : </w:t>
      </w:r>
    </w:p>
    <w:p w14:paraId="2298B18D" w14:textId="77777777" w:rsidR="00C32530" w:rsidRDefault="00C32530" w:rsidP="00F459D6">
      <w:pPr>
        <w:pStyle w:val="Paragraphedeliste"/>
        <w:numPr>
          <w:ilvl w:val="0"/>
          <w:numId w:val="25"/>
        </w:numPr>
        <w:autoSpaceDE w:val="0"/>
        <w:autoSpaceDN w:val="0"/>
        <w:adjustRightInd w:val="0"/>
        <w:spacing w:before="120" w:after="0"/>
        <w:rPr>
          <w:rFonts w:cstheme="minorHAnsi"/>
        </w:rPr>
      </w:pPr>
      <w:proofErr w:type="gramStart"/>
      <w:r>
        <w:rPr>
          <w:rFonts w:cstheme="minorHAnsi"/>
        </w:rPr>
        <w:t>si</w:t>
      </w:r>
      <w:proofErr w:type="gramEnd"/>
      <w:r>
        <w:rPr>
          <w:rFonts w:cstheme="minorHAnsi"/>
        </w:rPr>
        <w:t xml:space="preserve"> les coûts de l'investissement dans l'efficacité énergétique peuvent être identifiés comme investissement distinct dans les coûts d'investissement totaux, ces coûts liés à l'efficacité énergétique constituent les coûts admissibles ; </w:t>
      </w:r>
    </w:p>
    <w:p w14:paraId="56E025F8" w14:textId="77777777" w:rsidR="00C32530" w:rsidRDefault="00C32530" w:rsidP="00F459D6">
      <w:pPr>
        <w:pStyle w:val="Paragraphedeliste"/>
        <w:numPr>
          <w:ilvl w:val="0"/>
          <w:numId w:val="25"/>
        </w:numPr>
        <w:autoSpaceDE w:val="0"/>
        <w:autoSpaceDN w:val="0"/>
        <w:adjustRightInd w:val="0"/>
        <w:spacing w:before="120" w:after="0"/>
        <w:rPr>
          <w:rFonts w:cstheme="minorHAnsi"/>
        </w:rPr>
      </w:pPr>
      <w:proofErr w:type="gramStart"/>
      <w:r>
        <w:rPr>
          <w:rFonts w:cstheme="minorHAnsi"/>
        </w:rPr>
        <w:t>dans</w:t>
      </w:r>
      <w:proofErr w:type="gramEnd"/>
      <w:r>
        <w:rPr>
          <w:rFonts w:cstheme="minorHAnsi"/>
        </w:rPr>
        <w:t xml:space="preserve"> tous les autres cas, les coûts de l'investissement dans l'efficacité énergétique sont déterminés par référence à un investissement similaire, favorisant moins l'efficacité énergétique, qui aurait été plausible en l'absence d'aide. La différence entre les coûts des deux investissements représente les coûts liés à l'efficacité énergétique et constitue les coûts admissibles.</w:t>
      </w:r>
    </w:p>
    <w:p w14:paraId="701D7A53" w14:textId="77777777" w:rsidR="00C32530" w:rsidRDefault="00C32530" w:rsidP="00C32530">
      <w:pPr>
        <w:autoSpaceDE w:val="0"/>
        <w:autoSpaceDN w:val="0"/>
        <w:adjustRightInd w:val="0"/>
        <w:rPr>
          <w:rFonts w:cstheme="minorHAnsi"/>
        </w:rPr>
      </w:pPr>
    </w:p>
    <w:p w14:paraId="35EABD30" w14:textId="77777777" w:rsidR="00C32530" w:rsidRDefault="00C32530" w:rsidP="00C32530">
      <w:pPr>
        <w:autoSpaceDE w:val="0"/>
        <w:autoSpaceDN w:val="0"/>
        <w:adjustRightInd w:val="0"/>
        <w:rPr>
          <w:rFonts w:cstheme="minorHAnsi"/>
        </w:rPr>
      </w:pPr>
      <w:r>
        <w:rPr>
          <w:rFonts w:cstheme="minorHAnsi"/>
        </w:rPr>
        <w:t>Concernant les aides à l'investissement permettant aux entreprises d'aller au-delà des normes de protection environnementale de l'UE ou d'augmenter le niveau de protection de l'environnement en l'absence de normes de l'UE, les coûts admissibles sont les coûts d'investissement supplémentaires nécessaires pour aller au-delà des normes applicables de l'UE ou pour augmenter le niveau de protection de l'environnement en l'absence de normes de l'UE. Ils sont déterminés comme suit :</w:t>
      </w:r>
    </w:p>
    <w:p w14:paraId="096897CF" w14:textId="77777777" w:rsidR="00C32530" w:rsidRDefault="00C32530" w:rsidP="00C32530">
      <w:pPr>
        <w:autoSpaceDE w:val="0"/>
        <w:autoSpaceDN w:val="0"/>
        <w:adjustRightInd w:val="0"/>
        <w:rPr>
          <w:rFonts w:cstheme="minorHAnsi"/>
        </w:rPr>
      </w:pPr>
    </w:p>
    <w:p w14:paraId="0C948A9D" w14:textId="77777777" w:rsidR="00C32530" w:rsidRDefault="00C32530" w:rsidP="00F459D6">
      <w:pPr>
        <w:pStyle w:val="Paragraphedeliste"/>
        <w:numPr>
          <w:ilvl w:val="0"/>
          <w:numId w:val="26"/>
        </w:numPr>
        <w:autoSpaceDE w:val="0"/>
        <w:autoSpaceDN w:val="0"/>
        <w:adjustRightInd w:val="0"/>
        <w:spacing w:after="0"/>
        <w:rPr>
          <w:rFonts w:cstheme="minorHAnsi"/>
        </w:rPr>
      </w:pPr>
      <w:proofErr w:type="gramStart"/>
      <w:r>
        <w:rPr>
          <w:rFonts w:cstheme="minorHAnsi"/>
        </w:rPr>
        <w:t>si</w:t>
      </w:r>
      <w:proofErr w:type="gramEnd"/>
      <w:r>
        <w:rPr>
          <w:rFonts w:cstheme="minorHAnsi"/>
        </w:rPr>
        <w:t xml:space="preserve"> les coûts de l'investissement dans la protection de l'environnement peuvent être identifiés comme investissement distinct dans les coûts d'investissement totaux, ces coûts liés à la protection de l'environnement constituent les coûts admissibles ; </w:t>
      </w:r>
    </w:p>
    <w:p w14:paraId="3996552B" w14:textId="77777777" w:rsidR="00C32530" w:rsidRDefault="00C32530" w:rsidP="00F459D6">
      <w:pPr>
        <w:pStyle w:val="Paragraphedeliste"/>
        <w:numPr>
          <w:ilvl w:val="0"/>
          <w:numId w:val="26"/>
        </w:numPr>
        <w:autoSpaceDE w:val="0"/>
        <w:autoSpaceDN w:val="0"/>
        <w:adjustRightInd w:val="0"/>
        <w:spacing w:after="0"/>
        <w:rPr>
          <w:rFonts w:cstheme="minorHAnsi"/>
        </w:rPr>
      </w:pPr>
      <w:proofErr w:type="gramStart"/>
      <w:r>
        <w:rPr>
          <w:rFonts w:cstheme="minorHAnsi"/>
        </w:rPr>
        <w:t>dans</w:t>
      </w:r>
      <w:proofErr w:type="gramEnd"/>
      <w:r>
        <w:rPr>
          <w:rFonts w:cstheme="minorHAnsi"/>
        </w:rPr>
        <w:t xml:space="preserve"> tous les autres cas, les coûts de l'investissement dans la protection de l'environnement sont déterminés par référence à un investissement similaire, moins respectueux de l'environnement, qui aurait été plausible en l'absence d'aide. La différence entre les coûts des deux investissements représente les coûts liés à la protection de l'environnement et constitue les coûts admissibles. </w:t>
      </w:r>
    </w:p>
    <w:p w14:paraId="574E2BEF" w14:textId="77777777" w:rsidR="00C32530" w:rsidRDefault="00C32530" w:rsidP="00C32530">
      <w:pPr>
        <w:autoSpaceDE w:val="0"/>
        <w:autoSpaceDN w:val="0"/>
        <w:adjustRightInd w:val="0"/>
        <w:rPr>
          <w:rFonts w:cstheme="minorHAnsi"/>
        </w:rPr>
      </w:pPr>
    </w:p>
    <w:p w14:paraId="6CF85D71" w14:textId="77777777" w:rsidR="00C32530" w:rsidRDefault="00C32530" w:rsidP="00C32530">
      <w:pPr>
        <w:autoSpaceDE w:val="0"/>
        <w:autoSpaceDN w:val="0"/>
        <w:adjustRightInd w:val="0"/>
        <w:rPr>
          <w:rFonts w:cstheme="minorHAnsi"/>
        </w:rPr>
      </w:pPr>
      <w:r>
        <w:rPr>
          <w:rFonts w:cstheme="minorHAnsi"/>
        </w:rPr>
        <w:t xml:space="preserve">Les coûts non directement liés à une augmentation du niveau de protection de l'environnement ne sont pas admissibles. </w:t>
      </w:r>
    </w:p>
    <w:p w14:paraId="0F25AE4A" w14:textId="77777777" w:rsidR="00C32530" w:rsidRDefault="00C32530" w:rsidP="00C32530">
      <w:pPr>
        <w:autoSpaceDE w:val="0"/>
        <w:autoSpaceDN w:val="0"/>
        <w:adjustRightInd w:val="0"/>
        <w:rPr>
          <w:rFonts w:cstheme="minorHAnsi"/>
        </w:rPr>
      </w:pPr>
    </w:p>
    <w:p w14:paraId="339C18A3" w14:textId="77777777" w:rsidR="00C32530" w:rsidRDefault="00C32530" w:rsidP="00C32530">
      <w:pPr>
        <w:autoSpaceDE w:val="0"/>
        <w:autoSpaceDN w:val="0"/>
        <w:adjustRightInd w:val="0"/>
        <w:rPr>
          <w:rFonts w:cstheme="minorHAnsi"/>
        </w:rPr>
      </w:pPr>
      <w:r>
        <w:rPr>
          <w:rFonts w:cstheme="minorHAnsi"/>
        </w:rPr>
        <w:t>Concernant les aides à la gestion des déchets, elles sont octroyées pour le recyclage et le réemploi des déchets générés par d'autres entreprises</w:t>
      </w:r>
      <w:r>
        <w:rPr>
          <w:rStyle w:val="Appelnotedebasdep"/>
          <w:rFonts w:cstheme="minorHAnsi"/>
        </w:rPr>
        <w:footnoteReference w:id="12"/>
      </w:r>
      <w:r>
        <w:rPr>
          <w:rFonts w:cstheme="minorHAnsi"/>
        </w:rPr>
        <w:t>. Les coûts admissibles sont les coûts d'investissement supplémentaires nécessaires à la réalisation d'un investissement débouchant sur des activités de recyclage ou de réemploi de meilleure qualité ou plus efficientes, par comparaison avec un processus conventionnel d'activités de réemploi et de recyclage de même capacité qui serait élaboré en l'absence d'aide.</w:t>
      </w:r>
    </w:p>
    <w:p w14:paraId="0669F132" w14:textId="77777777" w:rsidR="00C32530" w:rsidRDefault="00C32530" w:rsidP="00C32530">
      <w:pPr>
        <w:autoSpaceDE w:val="0"/>
        <w:autoSpaceDN w:val="0"/>
        <w:adjustRightInd w:val="0"/>
        <w:rPr>
          <w:rFonts w:cstheme="minorHAnsi"/>
        </w:rPr>
      </w:pPr>
    </w:p>
    <w:p w14:paraId="2956C5AF" w14:textId="52FB3545" w:rsidR="00E2085B" w:rsidRDefault="00C32530" w:rsidP="00C32530">
      <w:pPr>
        <w:autoSpaceDE w:val="0"/>
        <w:autoSpaceDN w:val="0"/>
        <w:adjustRightInd w:val="0"/>
        <w:rPr>
          <w:rFonts w:cstheme="minorHAnsi"/>
        </w:rPr>
      </w:pPr>
      <w:r>
        <w:rPr>
          <w:rFonts w:cstheme="minorHAnsi"/>
        </w:rPr>
        <w:t>Les investissements financés doivent répondre aux conditions particulières du régime cadre n°</w:t>
      </w:r>
      <w:r>
        <w:rPr>
          <w:rFonts w:ascii="Calibri" w:hAnsi="Calibri" w:cs="Calibri"/>
        </w:rPr>
        <w:t> </w:t>
      </w:r>
      <w:r>
        <w:rPr>
          <w:rFonts w:cstheme="minorHAnsi"/>
        </w:rPr>
        <w:t>SA.59108 dans sa version en vigueur au moment de l</w:t>
      </w:r>
      <w:r>
        <w:rPr>
          <w:rFonts w:cs="Marianne Thin"/>
        </w:rPr>
        <w:t>’</w:t>
      </w:r>
      <w:r>
        <w:rPr>
          <w:rFonts w:cstheme="minorHAnsi"/>
        </w:rPr>
        <w:t>octroi de l’aide.</w:t>
      </w:r>
    </w:p>
    <w:p w14:paraId="0A378C6F" w14:textId="77777777" w:rsidR="00E2085B" w:rsidRDefault="00E2085B">
      <w:pPr>
        <w:jc w:val="left"/>
        <w:rPr>
          <w:rFonts w:cstheme="minorHAnsi"/>
        </w:rPr>
      </w:pPr>
      <w:r>
        <w:rPr>
          <w:rFonts w:cstheme="minorHAnsi"/>
        </w:rPr>
        <w:br w:type="page"/>
      </w:r>
    </w:p>
    <w:p w14:paraId="6A94367C" w14:textId="77777777" w:rsidR="00C32530" w:rsidRDefault="00C32530" w:rsidP="00C32530">
      <w:pPr>
        <w:autoSpaceDE w:val="0"/>
        <w:autoSpaceDN w:val="0"/>
        <w:adjustRightInd w:val="0"/>
        <w:rPr>
          <w:rFonts w:cstheme="minorHAnsi"/>
        </w:rPr>
      </w:pPr>
    </w:p>
    <w:p w14:paraId="00EA9F19" w14:textId="77777777" w:rsidR="00C32530" w:rsidRDefault="00C32530" w:rsidP="00C32530">
      <w:pPr>
        <w:autoSpaceDE w:val="0"/>
        <w:autoSpaceDN w:val="0"/>
        <w:adjustRightInd w:val="0"/>
        <w:rPr>
          <w:rFonts w:cstheme="minorHAnsi"/>
        </w:rPr>
      </w:pPr>
    </w:p>
    <w:p w14:paraId="43E6315D" w14:textId="2E7E71ED" w:rsidR="00C32530" w:rsidRPr="00C32530" w:rsidRDefault="00C32530" w:rsidP="00DB31CB">
      <w:pPr>
        <w:pStyle w:val="Titre2"/>
        <w:ind w:left="1701" w:hanging="567"/>
      </w:pPr>
      <w:bookmarkStart w:id="50" w:name="_Toc94546301"/>
      <w:bookmarkStart w:id="51" w:name="_Toc95386118"/>
      <w:r w:rsidRPr="00C32530">
        <w:t>Synthèse des taux d’aide</w:t>
      </w:r>
      <w:bookmarkEnd w:id="50"/>
      <w:bookmarkEnd w:id="51"/>
    </w:p>
    <w:p w14:paraId="3C690EBD" w14:textId="77777777" w:rsidR="00C32530" w:rsidRDefault="00C32530" w:rsidP="00C32530">
      <w:pPr>
        <w:rPr>
          <w:rFonts w:cstheme="minorHAnsi"/>
        </w:rPr>
      </w:pPr>
      <w:r>
        <w:rPr>
          <w:rFonts w:cstheme="minorHAnsi"/>
        </w:rPr>
        <w:t xml:space="preserve">Le tableau suivant présente de manière synthétique les taux d’aides </w:t>
      </w:r>
      <w:r>
        <w:rPr>
          <w:rFonts w:cstheme="minorHAnsi"/>
          <w:u w:val="single"/>
        </w:rPr>
        <w:t>moyens</w:t>
      </w:r>
      <w:r>
        <w:rPr>
          <w:rFonts w:cstheme="minorHAnsi"/>
        </w:rPr>
        <w:t xml:space="preserve"> dont une entreprise peut bénéficier dans le cadre de cet appel à projets (i.e., dans la limite permise par les régimes d’aides d’État, ces taux pourront être majorés). Ils sont donnés à titre indicatif sans préjudice du montant qui sera déterminé lors de l’examen du dossier.</w:t>
      </w:r>
    </w:p>
    <w:p w14:paraId="25674067" w14:textId="77777777" w:rsidR="00C32530" w:rsidRDefault="00C32530" w:rsidP="00C32530">
      <w:pPr>
        <w:rPr>
          <w:rFonts w:cstheme="minorHAnsi"/>
        </w:rPr>
      </w:pPr>
    </w:p>
    <w:tbl>
      <w:tblPr>
        <w:tblStyle w:val="TableNormal"/>
        <w:tblW w:w="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1985"/>
        <w:gridCol w:w="1701"/>
        <w:gridCol w:w="2126"/>
        <w:gridCol w:w="1561"/>
      </w:tblGrid>
      <w:tr w:rsidR="00C32530" w14:paraId="5337380F" w14:textId="77777777" w:rsidTr="00C32530">
        <w:trPr>
          <w:trHeight w:val="531"/>
          <w:jc w:val="center"/>
        </w:trPr>
        <w:tc>
          <w:tcPr>
            <w:tcW w:w="3823" w:type="dxa"/>
            <w:gridSpan w:val="2"/>
            <w:tcBorders>
              <w:top w:val="single" w:sz="4" w:space="0" w:color="000000"/>
              <w:left w:val="single" w:sz="4" w:space="0" w:color="000000"/>
              <w:bottom w:val="single" w:sz="4" w:space="0" w:color="000000"/>
              <w:right w:val="single" w:sz="4" w:space="0" w:color="000000"/>
            </w:tcBorders>
          </w:tcPr>
          <w:p w14:paraId="051E7DCC" w14:textId="77777777" w:rsidR="00C32530" w:rsidRDefault="00C32530">
            <w:pPr>
              <w:pStyle w:val="TableParagraph"/>
              <w:spacing w:before="2"/>
              <w:rPr>
                <w:rFonts w:asciiTheme="minorHAnsi" w:hAnsiTheme="minorHAnsi" w:cstheme="minorHAnsi"/>
                <w:b/>
              </w:rPr>
            </w:pPr>
            <w:r>
              <w:rPr>
                <w:rFonts w:asciiTheme="minorHAnsi" w:hAnsiTheme="minorHAnsi" w:cstheme="minorHAnsi"/>
                <w:b/>
              </w:rPr>
              <w:t>Type d’entreprise</w:t>
            </w:r>
          </w:p>
          <w:p w14:paraId="7DCCAE6F" w14:textId="77777777" w:rsidR="00C32530" w:rsidRDefault="00C32530">
            <w:pPr>
              <w:pStyle w:val="TableParagraph"/>
              <w:spacing w:before="5"/>
              <w:ind w:left="0"/>
              <w:jc w:val="center"/>
              <w:rPr>
                <w:rFonts w:asciiTheme="minorHAnsi" w:hAnsiTheme="minorHAnsi" w:cstheme="minorHAnsi"/>
              </w:rPr>
            </w:pPr>
          </w:p>
          <w:p w14:paraId="304CC26D" w14:textId="77777777" w:rsidR="00C32530" w:rsidRDefault="00C32530">
            <w:pPr>
              <w:pStyle w:val="TableParagraph"/>
              <w:ind w:left="108"/>
              <w:rPr>
                <w:rFonts w:asciiTheme="minorHAnsi" w:hAnsiTheme="minorHAnsi" w:cstheme="minorHAnsi"/>
                <w:b/>
              </w:rPr>
            </w:pPr>
            <w:r>
              <w:rPr>
                <w:rFonts w:asciiTheme="minorHAnsi" w:hAnsiTheme="minorHAnsi" w:cstheme="minorHAnsi"/>
                <w:b/>
              </w:rPr>
              <w:t>Nature des travaux</w:t>
            </w:r>
          </w:p>
        </w:tc>
        <w:tc>
          <w:tcPr>
            <w:tcW w:w="1701" w:type="dxa"/>
            <w:tcBorders>
              <w:top w:val="single" w:sz="4" w:space="0" w:color="000000"/>
              <w:left w:val="single" w:sz="4" w:space="0" w:color="000000"/>
              <w:bottom w:val="single" w:sz="4" w:space="0" w:color="000000"/>
              <w:right w:val="single" w:sz="4" w:space="0" w:color="000000"/>
            </w:tcBorders>
            <w:hideMark/>
          </w:tcPr>
          <w:p w14:paraId="0BCB8ADF" w14:textId="77777777" w:rsidR="00C32530" w:rsidRDefault="00C32530">
            <w:pPr>
              <w:pStyle w:val="TableParagraph"/>
              <w:jc w:val="center"/>
              <w:rPr>
                <w:rFonts w:asciiTheme="minorHAnsi" w:hAnsiTheme="minorHAnsi" w:cstheme="minorHAnsi"/>
                <w:b/>
              </w:rPr>
            </w:pPr>
            <w:r>
              <w:rPr>
                <w:rFonts w:asciiTheme="minorHAnsi" w:hAnsiTheme="minorHAnsi" w:cstheme="minorHAnsi"/>
                <w:b/>
              </w:rPr>
              <w:t>Petite entreprise</w:t>
            </w:r>
            <w:r>
              <w:rPr>
                <w:rStyle w:val="Appelnotedebasdep"/>
                <w:rFonts w:asciiTheme="minorHAnsi" w:hAnsiTheme="minorHAnsi" w:cstheme="minorHAnsi"/>
                <w:b/>
              </w:rPr>
              <w:footnoteReference w:id="13"/>
            </w:r>
          </w:p>
        </w:tc>
        <w:tc>
          <w:tcPr>
            <w:tcW w:w="2126" w:type="dxa"/>
            <w:tcBorders>
              <w:top w:val="single" w:sz="4" w:space="0" w:color="000000"/>
              <w:left w:val="single" w:sz="4" w:space="0" w:color="000000"/>
              <w:bottom w:val="single" w:sz="4" w:space="0" w:color="000000"/>
              <w:right w:val="single" w:sz="4" w:space="0" w:color="000000"/>
            </w:tcBorders>
            <w:hideMark/>
          </w:tcPr>
          <w:p w14:paraId="1A9B3420" w14:textId="77777777" w:rsidR="00C32530" w:rsidRDefault="00C32530">
            <w:pPr>
              <w:pStyle w:val="TableParagraph"/>
              <w:ind w:right="929"/>
              <w:jc w:val="center"/>
              <w:rPr>
                <w:rFonts w:asciiTheme="minorHAnsi" w:hAnsiTheme="minorHAnsi" w:cstheme="minorHAnsi"/>
                <w:b/>
              </w:rPr>
            </w:pPr>
            <w:r>
              <w:rPr>
                <w:rFonts w:asciiTheme="minorHAnsi" w:hAnsiTheme="minorHAnsi" w:cstheme="minorHAnsi"/>
                <w:b/>
              </w:rPr>
              <w:t>Moyenne entreprise</w:t>
            </w:r>
            <w:r>
              <w:rPr>
                <w:rStyle w:val="Appelnotedebasdep"/>
                <w:rFonts w:asciiTheme="minorHAnsi" w:hAnsiTheme="minorHAnsi" w:cstheme="minorHAnsi"/>
                <w:b/>
              </w:rPr>
              <w:footnoteReference w:id="14"/>
            </w:r>
          </w:p>
        </w:tc>
        <w:tc>
          <w:tcPr>
            <w:tcW w:w="1561" w:type="dxa"/>
            <w:tcBorders>
              <w:top w:val="single" w:sz="4" w:space="0" w:color="000000"/>
              <w:left w:val="single" w:sz="4" w:space="0" w:color="000000"/>
              <w:bottom w:val="single" w:sz="4" w:space="0" w:color="000000"/>
              <w:right w:val="single" w:sz="4" w:space="0" w:color="000000"/>
            </w:tcBorders>
            <w:hideMark/>
          </w:tcPr>
          <w:p w14:paraId="4F2B826C" w14:textId="77777777" w:rsidR="00C32530" w:rsidRDefault="00C32530">
            <w:pPr>
              <w:pStyle w:val="TableParagraph"/>
              <w:ind w:left="0"/>
              <w:jc w:val="center"/>
              <w:rPr>
                <w:rFonts w:asciiTheme="minorHAnsi" w:hAnsiTheme="minorHAnsi" w:cstheme="minorHAnsi"/>
                <w:b/>
              </w:rPr>
            </w:pPr>
            <w:r>
              <w:rPr>
                <w:rFonts w:asciiTheme="minorHAnsi" w:hAnsiTheme="minorHAnsi" w:cstheme="minorHAnsi"/>
                <w:b/>
              </w:rPr>
              <w:t>ETI et Grande entreprise</w:t>
            </w:r>
          </w:p>
        </w:tc>
      </w:tr>
      <w:tr w:rsidR="00C32530" w14:paraId="107B6FDE" w14:textId="77777777" w:rsidTr="00C32530">
        <w:trPr>
          <w:trHeight w:val="302"/>
          <w:jc w:val="center"/>
        </w:trPr>
        <w:tc>
          <w:tcPr>
            <w:tcW w:w="9211" w:type="dxa"/>
            <w:gridSpan w:val="5"/>
            <w:tcBorders>
              <w:top w:val="single" w:sz="4" w:space="0" w:color="000000"/>
              <w:left w:val="single" w:sz="4" w:space="0" w:color="000000"/>
              <w:bottom w:val="single" w:sz="4" w:space="0" w:color="000000"/>
              <w:right w:val="single" w:sz="4" w:space="0" w:color="000000"/>
            </w:tcBorders>
            <w:shd w:val="clear" w:color="auto" w:fill="BEBEBE"/>
            <w:hideMark/>
          </w:tcPr>
          <w:p w14:paraId="086E7497" w14:textId="77777777" w:rsidR="00C32530" w:rsidRDefault="00C32530">
            <w:pPr>
              <w:pStyle w:val="TableParagraph"/>
              <w:spacing w:before="4"/>
              <w:ind w:left="108"/>
              <w:rPr>
                <w:rFonts w:asciiTheme="minorHAnsi" w:hAnsiTheme="minorHAnsi" w:cstheme="minorHAnsi"/>
                <w:b/>
              </w:rPr>
            </w:pPr>
            <w:r>
              <w:rPr>
                <w:rFonts w:asciiTheme="minorHAnsi" w:hAnsiTheme="minorHAnsi" w:cstheme="minorHAnsi"/>
                <w:b/>
              </w:rPr>
              <w:t>AIDES SELON LA NATURE DES TRAVAUX</w:t>
            </w:r>
          </w:p>
        </w:tc>
      </w:tr>
      <w:tr w:rsidR="00C32530" w14:paraId="05A70719" w14:textId="77777777" w:rsidTr="00C32530">
        <w:trPr>
          <w:trHeight w:val="467"/>
          <w:jc w:val="center"/>
        </w:trPr>
        <w:tc>
          <w:tcPr>
            <w:tcW w:w="1838" w:type="dxa"/>
            <w:vMerge w:val="restart"/>
            <w:tcBorders>
              <w:top w:val="single" w:sz="4" w:space="0" w:color="000000"/>
              <w:left w:val="single" w:sz="4" w:space="0" w:color="000000"/>
              <w:bottom w:val="single" w:sz="4" w:space="0" w:color="000000"/>
              <w:right w:val="single" w:sz="4" w:space="0" w:color="auto"/>
            </w:tcBorders>
            <w:hideMark/>
          </w:tcPr>
          <w:p w14:paraId="6A7F552A" w14:textId="77777777" w:rsidR="00C32530" w:rsidRDefault="00C32530">
            <w:pPr>
              <w:pStyle w:val="TableParagraph"/>
              <w:spacing w:before="138"/>
              <w:ind w:left="108"/>
              <w:jc w:val="both"/>
              <w:rPr>
                <w:rFonts w:asciiTheme="minorHAnsi" w:hAnsiTheme="minorHAnsi" w:cstheme="minorHAnsi"/>
                <w:b/>
              </w:rPr>
            </w:pPr>
            <w:r>
              <w:rPr>
                <w:rFonts w:asciiTheme="minorHAnsi" w:hAnsiTheme="minorHAnsi" w:cstheme="minorHAnsi"/>
                <w:b/>
              </w:rPr>
              <w:t>Investissements industriels</w:t>
            </w:r>
            <w:r>
              <w:rPr>
                <w:rStyle w:val="Appelnotedebasdep"/>
                <w:rFonts w:asciiTheme="minorHAnsi" w:hAnsiTheme="minorHAnsi" w:cstheme="minorHAnsi"/>
                <w:b/>
              </w:rPr>
              <w:footnoteReference w:id="15"/>
            </w:r>
          </w:p>
        </w:tc>
        <w:tc>
          <w:tcPr>
            <w:tcW w:w="1985" w:type="dxa"/>
            <w:tcBorders>
              <w:top w:val="single" w:sz="4" w:space="0" w:color="000000"/>
              <w:left w:val="single" w:sz="4" w:space="0" w:color="auto"/>
              <w:bottom w:val="single" w:sz="4" w:space="0" w:color="auto"/>
              <w:right w:val="single" w:sz="4" w:space="0" w:color="000000"/>
            </w:tcBorders>
            <w:hideMark/>
          </w:tcPr>
          <w:p w14:paraId="31F30AF8" w14:textId="77777777" w:rsidR="00C32530" w:rsidRDefault="00C32530">
            <w:pPr>
              <w:pStyle w:val="TableParagraph"/>
              <w:spacing w:before="138"/>
              <w:ind w:left="108"/>
              <w:jc w:val="both"/>
              <w:rPr>
                <w:rFonts w:asciiTheme="minorHAnsi" w:hAnsiTheme="minorHAnsi" w:cstheme="minorHAnsi"/>
                <w:b/>
              </w:rPr>
            </w:pPr>
            <w:r>
              <w:rPr>
                <w:rFonts w:asciiTheme="minorHAnsi" w:hAnsiTheme="minorHAnsi" w:cstheme="minorHAnsi"/>
                <w:b/>
              </w:rPr>
              <w:t>En zone AFR</w:t>
            </w:r>
            <w:r>
              <w:rPr>
                <w:rStyle w:val="Appelnotedebasdep"/>
                <w:rFonts w:asciiTheme="minorHAnsi" w:hAnsiTheme="minorHAnsi" w:cstheme="minorHAnsi"/>
                <w:b/>
              </w:rPr>
              <w:footnoteReference w:id="16"/>
            </w:r>
          </w:p>
        </w:tc>
        <w:tc>
          <w:tcPr>
            <w:tcW w:w="1701" w:type="dxa"/>
            <w:tcBorders>
              <w:top w:val="single" w:sz="4" w:space="0" w:color="000000"/>
              <w:left w:val="single" w:sz="4" w:space="0" w:color="000000"/>
              <w:bottom w:val="single" w:sz="4" w:space="0" w:color="auto"/>
              <w:right w:val="single" w:sz="4" w:space="0" w:color="000000"/>
            </w:tcBorders>
            <w:hideMark/>
          </w:tcPr>
          <w:p w14:paraId="53F89659" w14:textId="77777777" w:rsidR="00C32530" w:rsidRDefault="00C32530">
            <w:pPr>
              <w:pStyle w:val="TableParagraph"/>
              <w:jc w:val="center"/>
              <w:rPr>
                <w:rFonts w:asciiTheme="minorHAnsi" w:hAnsiTheme="minorHAnsi" w:cstheme="minorHAnsi"/>
              </w:rPr>
            </w:pPr>
            <w:r>
              <w:rPr>
                <w:rFonts w:asciiTheme="minorHAnsi" w:hAnsiTheme="minorHAnsi" w:cstheme="minorHAnsi"/>
              </w:rPr>
              <w:t>30 à 70 %</w:t>
            </w:r>
          </w:p>
        </w:tc>
        <w:tc>
          <w:tcPr>
            <w:tcW w:w="2126" w:type="dxa"/>
            <w:tcBorders>
              <w:top w:val="single" w:sz="4" w:space="0" w:color="000000"/>
              <w:left w:val="single" w:sz="4" w:space="0" w:color="000000"/>
              <w:bottom w:val="single" w:sz="4" w:space="0" w:color="auto"/>
              <w:right w:val="single" w:sz="4" w:space="0" w:color="000000"/>
            </w:tcBorders>
            <w:hideMark/>
          </w:tcPr>
          <w:p w14:paraId="02ACAE66" w14:textId="77777777" w:rsidR="00C32530" w:rsidRDefault="00C32530">
            <w:pPr>
              <w:pStyle w:val="TableParagraph"/>
              <w:spacing w:before="16"/>
              <w:ind w:left="109"/>
              <w:jc w:val="center"/>
              <w:rPr>
                <w:rFonts w:asciiTheme="minorHAnsi" w:hAnsiTheme="minorHAnsi" w:cstheme="minorHAnsi"/>
              </w:rPr>
            </w:pPr>
            <w:r>
              <w:rPr>
                <w:rFonts w:asciiTheme="minorHAnsi" w:hAnsiTheme="minorHAnsi" w:cstheme="minorHAnsi"/>
              </w:rPr>
              <w:t xml:space="preserve">20 à 40 % </w:t>
            </w:r>
          </w:p>
        </w:tc>
        <w:tc>
          <w:tcPr>
            <w:tcW w:w="1561" w:type="dxa"/>
            <w:tcBorders>
              <w:top w:val="single" w:sz="4" w:space="0" w:color="000000"/>
              <w:left w:val="single" w:sz="4" w:space="0" w:color="000000"/>
              <w:bottom w:val="single" w:sz="4" w:space="0" w:color="auto"/>
              <w:right w:val="single" w:sz="4" w:space="0" w:color="000000"/>
            </w:tcBorders>
            <w:hideMark/>
          </w:tcPr>
          <w:p w14:paraId="35AB3F45" w14:textId="77777777" w:rsidR="00C32530" w:rsidRDefault="00C32530">
            <w:pPr>
              <w:pStyle w:val="TableParagraph"/>
              <w:spacing w:before="16"/>
              <w:ind w:left="106"/>
              <w:jc w:val="center"/>
              <w:rPr>
                <w:rFonts w:asciiTheme="minorHAnsi" w:hAnsiTheme="minorHAnsi" w:cstheme="minorHAnsi"/>
              </w:rPr>
            </w:pPr>
            <w:r>
              <w:rPr>
                <w:rFonts w:asciiTheme="minorHAnsi" w:hAnsiTheme="minorHAnsi" w:cstheme="minorHAnsi"/>
              </w:rPr>
              <w:t>10 à 30 %</w:t>
            </w:r>
            <w:r>
              <w:rPr>
                <w:rStyle w:val="Appelnotedebasdep"/>
                <w:rFonts w:asciiTheme="minorHAnsi" w:hAnsiTheme="minorHAnsi" w:cstheme="minorHAnsi"/>
              </w:rPr>
              <w:footnoteReference w:id="17"/>
            </w:r>
          </w:p>
        </w:tc>
      </w:tr>
      <w:tr w:rsidR="00C32530" w14:paraId="4FEAABF8" w14:textId="77777777" w:rsidTr="00C32530">
        <w:trPr>
          <w:trHeight w:val="597"/>
          <w:jc w:val="center"/>
        </w:trPr>
        <w:tc>
          <w:tcPr>
            <w:tcW w:w="9211" w:type="dxa"/>
            <w:vMerge/>
            <w:tcBorders>
              <w:top w:val="single" w:sz="4" w:space="0" w:color="000000"/>
              <w:left w:val="single" w:sz="4" w:space="0" w:color="000000"/>
              <w:bottom w:val="single" w:sz="4" w:space="0" w:color="000000"/>
              <w:right w:val="single" w:sz="4" w:space="0" w:color="auto"/>
            </w:tcBorders>
            <w:vAlign w:val="center"/>
            <w:hideMark/>
          </w:tcPr>
          <w:p w14:paraId="73C80A11" w14:textId="77777777" w:rsidR="00C32530" w:rsidRDefault="00C32530">
            <w:pPr>
              <w:spacing w:after="0"/>
              <w:rPr>
                <w:rFonts w:asciiTheme="minorHAnsi" w:eastAsia="Carlito" w:hAnsiTheme="minorHAnsi" w:cstheme="minorHAnsi"/>
                <w:b/>
              </w:rPr>
            </w:pPr>
          </w:p>
        </w:tc>
        <w:tc>
          <w:tcPr>
            <w:tcW w:w="1985" w:type="dxa"/>
            <w:tcBorders>
              <w:top w:val="single" w:sz="4" w:space="0" w:color="auto"/>
              <w:left w:val="single" w:sz="4" w:space="0" w:color="auto"/>
              <w:bottom w:val="single" w:sz="4" w:space="0" w:color="000000"/>
              <w:right w:val="single" w:sz="4" w:space="0" w:color="000000"/>
            </w:tcBorders>
            <w:hideMark/>
          </w:tcPr>
          <w:p w14:paraId="5C373306" w14:textId="77777777" w:rsidR="00C32530" w:rsidRDefault="00C32530">
            <w:pPr>
              <w:pStyle w:val="TableParagraph"/>
              <w:spacing w:before="138"/>
              <w:ind w:left="108"/>
              <w:rPr>
                <w:rFonts w:asciiTheme="minorHAnsi" w:hAnsiTheme="minorHAnsi" w:cstheme="minorHAnsi"/>
                <w:b/>
              </w:rPr>
            </w:pPr>
            <w:r>
              <w:rPr>
                <w:rFonts w:asciiTheme="minorHAnsi" w:hAnsiTheme="minorHAnsi" w:cstheme="minorHAnsi"/>
                <w:b/>
              </w:rPr>
              <w:t>Hors zone AFR</w:t>
            </w:r>
          </w:p>
        </w:tc>
        <w:tc>
          <w:tcPr>
            <w:tcW w:w="1701" w:type="dxa"/>
            <w:tcBorders>
              <w:top w:val="single" w:sz="4" w:space="0" w:color="auto"/>
              <w:left w:val="single" w:sz="4" w:space="0" w:color="000000"/>
              <w:bottom w:val="single" w:sz="4" w:space="0" w:color="000000"/>
              <w:right w:val="single" w:sz="4" w:space="0" w:color="000000"/>
            </w:tcBorders>
            <w:hideMark/>
          </w:tcPr>
          <w:p w14:paraId="4CAD48F7" w14:textId="77777777" w:rsidR="00C32530" w:rsidRDefault="00C32530">
            <w:pPr>
              <w:pStyle w:val="TableParagraph"/>
              <w:jc w:val="center"/>
              <w:rPr>
                <w:rFonts w:asciiTheme="minorHAnsi" w:hAnsiTheme="minorHAnsi" w:cstheme="minorHAnsi"/>
              </w:rPr>
            </w:pPr>
            <w:r>
              <w:rPr>
                <w:rFonts w:asciiTheme="minorHAnsi" w:hAnsiTheme="minorHAnsi" w:cstheme="minorHAnsi"/>
              </w:rPr>
              <w:t>35 %</w:t>
            </w:r>
          </w:p>
        </w:tc>
        <w:tc>
          <w:tcPr>
            <w:tcW w:w="2126" w:type="dxa"/>
            <w:tcBorders>
              <w:top w:val="single" w:sz="4" w:space="0" w:color="auto"/>
              <w:left w:val="single" w:sz="4" w:space="0" w:color="000000"/>
              <w:bottom w:val="single" w:sz="4" w:space="0" w:color="000000"/>
              <w:right w:val="single" w:sz="4" w:space="0" w:color="000000"/>
            </w:tcBorders>
            <w:hideMark/>
          </w:tcPr>
          <w:p w14:paraId="2ED51921" w14:textId="77777777" w:rsidR="00C32530" w:rsidRDefault="00C32530">
            <w:pPr>
              <w:pStyle w:val="TableParagraph"/>
              <w:spacing w:before="16"/>
              <w:ind w:left="109"/>
              <w:jc w:val="center"/>
              <w:rPr>
                <w:rFonts w:asciiTheme="minorHAnsi" w:hAnsiTheme="minorHAnsi" w:cstheme="minorHAnsi"/>
              </w:rPr>
            </w:pPr>
            <w:r>
              <w:rPr>
                <w:rFonts w:asciiTheme="minorHAnsi" w:hAnsiTheme="minorHAnsi" w:cstheme="minorHAnsi"/>
              </w:rPr>
              <w:t>25 %</w:t>
            </w:r>
          </w:p>
        </w:tc>
        <w:tc>
          <w:tcPr>
            <w:tcW w:w="1561" w:type="dxa"/>
            <w:tcBorders>
              <w:top w:val="single" w:sz="4" w:space="0" w:color="auto"/>
              <w:left w:val="single" w:sz="4" w:space="0" w:color="000000"/>
              <w:bottom w:val="single" w:sz="4" w:space="0" w:color="000000"/>
              <w:right w:val="single" w:sz="4" w:space="0" w:color="000000"/>
            </w:tcBorders>
            <w:hideMark/>
          </w:tcPr>
          <w:p w14:paraId="4031C1F5" w14:textId="77777777" w:rsidR="00C32530" w:rsidRDefault="00C32530">
            <w:pPr>
              <w:pStyle w:val="TableParagraph"/>
              <w:spacing w:before="16"/>
              <w:ind w:left="106"/>
              <w:jc w:val="center"/>
              <w:rPr>
                <w:rFonts w:asciiTheme="minorHAnsi" w:hAnsiTheme="minorHAnsi" w:cstheme="minorHAnsi"/>
              </w:rPr>
            </w:pPr>
            <w:r>
              <w:rPr>
                <w:rFonts w:asciiTheme="minorHAnsi" w:hAnsiTheme="minorHAnsi" w:cstheme="minorHAnsi"/>
              </w:rPr>
              <w:t>15 %</w:t>
            </w:r>
          </w:p>
        </w:tc>
      </w:tr>
      <w:tr w:rsidR="00C32530" w14:paraId="0175285F" w14:textId="77777777" w:rsidTr="00C32530">
        <w:trPr>
          <w:trHeight w:val="68"/>
          <w:jc w:val="center"/>
        </w:trPr>
        <w:tc>
          <w:tcPr>
            <w:tcW w:w="1838" w:type="dxa"/>
            <w:tcBorders>
              <w:top w:val="single" w:sz="4" w:space="0" w:color="auto"/>
              <w:left w:val="single" w:sz="4" w:space="0" w:color="000000"/>
              <w:bottom w:val="single" w:sz="4" w:space="0" w:color="000000"/>
              <w:right w:val="single" w:sz="4" w:space="0" w:color="auto"/>
            </w:tcBorders>
            <w:hideMark/>
          </w:tcPr>
          <w:p w14:paraId="78D42C5F" w14:textId="77777777" w:rsidR="00C32530" w:rsidRDefault="00C32530">
            <w:pPr>
              <w:pStyle w:val="TableParagraph"/>
              <w:spacing w:before="139"/>
              <w:rPr>
                <w:rFonts w:asciiTheme="minorHAnsi" w:hAnsiTheme="minorHAnsi" w:cstheme="minorHAnsi"/>
              </w:rPr>
            </w:pPr>
            <w:r>
              <w:rPr>
                <w:rFonts w:asciiTheme="minorHAnsi" w:hAnsiTheme="minorHAnsi" w:cstheme="minorHAnsi"/>
                <w:b/>
              </w:rPr>
              <w:t>RDI</w:t>
            </w:r>
          </w:p>
        </w:tc>
        <w:tc>
          <w:tcPr>
            <w:tcW w:w="1985" w:type="dxa"/>
            <w:tcBorders>
              <w:top w:val="single" w:sz="4" w:space="0" w:color="000000"/>
              <w:left w:val="single" w:sz="4" w:space="0" w:color="auto"/>
              <w:bottom w:val="single" w:sz="4" w:space="0" w:color="000000"/>
              <w:right w:val="single" w:sz="4" w:space="0" w:color="auto"/>
            </w:tcBorders>
            <w:hideMark/>
          </w:tcPr>
          <w:p w14:paraId="7EB72C33" w14:textId="77777777" w:rsidR="00C32530" w:rsidRDefault="00C32530">
            <w:pPr>
              <w:pStyle w:val="TableParagraph"/>
              <w:spacing w:before="1"/>
              <w:ind w:left="110"/>
              <w:rPr>
                <w:rFonts w:asciiTheme="minorHAnsi" w:hAnsiTheme="minorHAnsi" w:cstheme="minorHAnsi"/>
              </w:rPr>
            </w:pPr>
            <w:r>
              <w:rPr>
                <w:rFonts w:asciiTheme="minorHAnsi" w:hAnsiTheme="minorHAnsi" w:cstheme="minorHAnsi"/>
              </w:rPr>
              <w:t>Développement expérimental (DE)</w:t>
            </w:r>
          </w:p>
        </w:tc>
        <w:tc>
          <w:tcPr>
            <w:tcW w:w="1701" w:type="dxa"/>
            <w:tcBorders>
              <w:top w:val="single" w:sz="4" w:space="0" w:color="000000"/>
              <w:left w:val="single" w:sz="4" w:space="0" w:color="auto"/>
              <w:bottom w:val="single" w:sz="4" w:space="0" w:color="000000"/>
              <w:right w:val="single" w:sz="4" w:space="0" w:color="000000"/>
            </w:tcBorders>
            <w:hideMark/>
          </w:tcPr>
          <w:p w14:paraId="54278BC0" w14:textId="77777777" w:rsidR="00C32530" w:rsidRDefault="00C32530">
            <w:pPr>
              <w:pStyle w:val="TableParagraph"/>
              <w:spacing w:before="109"/>
              <w:jc w:val="center"/>
              <w:rPr>
                <w:rFonts w:asciiTheme="minorHAnsi" w:hAnsiTheme="minorHAnsi" w:cstheme="minorHAnsi"/>
              </w:rPr>
            </w:pPr>
            <w:r>
              <w:rPr>
                <w:rFonts w:asciiTheme="minorHAnsi" w:hAnsiTheme="minorHAnsi" w:cstheme="minorHAnsi"/>
              </w:rPr>
              <w:t>45 %</w:t>
            </w:r>
          </w:p>
        </w:tc>
        <w:tc>
          <w:tcPr>
            <w:tcW w:w="2126" w:type="dxa"/>
            <w:tcBorders>
              <w:top w:val="single" w:sz="4" w:space="0" w:color="000000"/>
              <w:left w:val="single" w:sz="4" w:space="0" w:color="000000"/>
              <w:bottom w:val="single" w:sz="4" w:space="0" w:color="000000"/>
              <w:right w:val="single" w:sz="4" w:space="0" w:color="000000"/>
            </w:tcBorders>
            <w:hideMark/>
          </w:tcPr>
          <w:p w14:paraId="0C291BE5" w14:textId="77777777" w:rsidR="00C32530" w:rsidRDefault="00C32530">
            <w:pPr>
              <w:pStyle w:val="TableParagraph"/>
              <w:spacing w:before="109"/>
              <w:ind w:left="109"/>
              <w:jc w:val="center"/>
              <w:rPr>
                <w:rFonts w:asciiTheme="minorHAnsi" w:hAnsiTheme="minorHAnsi" w:cstheme="minorHAnsi"/>
              </w:rPr>
            </w:pPr>
            <w:r>
              <w:rPr>
                <w:rFonts w:asciiTheme="minorHAnsi" w:hAnsiTheme="minorHAnsi" w:cstheme="minorHAnsi"/>
              </w:rPr>
              <w:t>35 %</w:t>
            </w:r>
          </w:p>
        </w:tc>
        <w:tc>
          <w:tcPr>
            <w:tcW w:w="1561" w:type="dxa"/>
            <w:tcBorders>
              <w:top w:val="single" w:sz="4" w:space="0" w:color="000000"/>
              <w:left w:val="single" w:sz="4" w:space="0" w:color="000000"/>
              <w:bottom w:val="single" w:sz="4" w:space="0" w:color="000000"/>
              <w:right w:val="single" w:sz="4" w:space="0" w:color="000000"/>
            </w:tcBorders>
            <w:hideMark/>
          </w:tcPr>
          <w:p w14:paraId="201FDD2F" w14:textId="77777777" w:rsidR="00C32530" w:rsidRDefault="00C32530">
            <w:pPr>
              <w:pStyle w:val="TableParagraph"/>
              <w:spacing w:before="109"/>
              <w:ind w:left="106"/>
              <w:jc w:val="center"/>
              <w:rPr>
                <w:rFonts w:asciiTheme="minorHAnsi" w:hAnsiTheme="minorHAnsi" w:cstheme="minorHAnsi"/>
              </w:rPr>
            </w:pPr>
            <w:r>
              <w:rPr>
                <w:rFonts w:asciiTheme="minorHAnsi" w:hAnsiTheme="minorHAnsi" w:cstheme="minorHAnsi"/>
              </w:rPr>
              <w:t>25 %</w:t>
            </w:r>
          </w:p>
        </w:tc>
      </w:tr>
      <w:tr w:rsidR="00C32530" w14:paraId="38A86BDF" w14:textId="77777777" w:rsidTr="00C32530">
        <w:trPr>
          <w:trHeight w:val="537"/>
          <w:jc w:val="center"/>
        </w:trPr>
        <w:tc>
          <w:tcPr>
            <w:tcW w:w="3823" w:type="dxa"/>
            <w:gridSpan w:val="2"/>
            <w:tcBorders>
              <w:top w:val="single" w:sz="4" w:space="0" w:color="000000"/>
              <w:left w:val="single" w:sz="4" w:space="0" w:color="000000"/>
              <w:bottom w:val="single" w:sz="4" w:space="0" w:color="000000"/>
              <w:right w:val="single" w:sz="4" w:space="0" w:color="000000"/>
            </w:tcBorders>
            <w:hideMark/>
          </w:tcPr>
          <w:p w14:paraId="069A8541" w14:textId="77777777" w:rsidR="00C32530" w:rsidRDefault="00C32530">
            <w:pPr>
              <w:pStyle w:val="TableParagraph"/>
              <w:tabs>
                <w:tab w:val="left" w:pos="1456"/>
                <w:tab w:val="left" w:pos="3074"/>
              </w:tabs>
              <w:ind w:left="108"/>
              <w:rPr>
                <w:rFonts w:asciiTheme="minorHAnsi" w:hAnsiTheme="minorHAnsi" w:cstheme="minorHAnsi"/>
                <w:b/>
              </w:rPr>
            </w:pPr>
            <w:r>
              <w:rPr>
                <w:rFonts w:asciiTheme="minorHAnsi" w:hAnsiTheme="minorHAnsi" w:cstheme="minorHAnsi"/>
                <w:b/>
              </w:rPr>
              <w:t>Efficacité énergétique et</w:t>
            </w:r>
          </w:p>
          <w:p w14:paraId="70F6BFB1" w14:textId="77777777" w:rsidR="00C32530" w:rsidRDefault="00C32530">
            <w:pPr>
              <w:pStyle w:val="TableParagraph"/>
              <w:spacing w:before="1"/>
              <w:ind w:left="108"/>
              <w:jc w:val="both"/>
              <w:rPr>
                <w:rFonts w:asciiTheme="minorHAnsi" w:hAnsiTheme="minorHAnsi" w:cstheme="minorHAnsi"/>
                <w:b/>
              </w:rPr>
            </w:pPr>
            <w:r>
              <w:rPr>
                <w:rFonts w:asciiTheme="minorHAnsi" w:hAnsiTheme="minorHAnsi" w:cstheme="minorHAnsi"/>
                <w:b/>
              </w:rPr>
              <w:t>environnementale</w:t>
            </w:r>
            <w:r>
              <w:rPr>
                <w:rStyle w:val="Appelnotedebasdep"/>
                <w:rFonts w:asciiTheme="minorHAnsi" w:hAnsiTheme="minorHAnsi" w:cstheme="minorHAnsi"/>
                <w:b/>
              </w:rPr>
              <w:footnoteReference w:id="18"/>
            </w:r>
          </w:p>
        </w:tc>
        <w:tc>
          <w:tcPr>
            <w:tcW w:w="1701" w:type="dxa"/>
            <w:tcBorders>
              <w:top w:val="single" w:sz="4" w:space="0" w:color="000000"/>
              <w:left w:val="single" w:sz="4" w:space="0" w:color="000000"/>
              <w:bottom w:val="single" w:sz="4" w:space="0" w:color="000000"/>
              <w:right w:val="single" w:sz="4" w:space="0" w:color="000000"/>
            </w:tcBorders>
            <w:hideMark/>
          </w:tcPr>
          <w:p w14:paraId="4524CDAA" w14:textId="77777777" w:rsidR="00C32530" w:rsidRDefault="00C32530">
            <w:pPr>
              <w:pStyle w:val="TableParagraph"/>
              <w:spacing w:before="133"/>
              <w:jc w:val="center"/>
              <w:rPr>
                <w:rFonts w:asciiTheme="minorHAnsi" w:hAnsiTheme="minorHAnsi" w:cstheme="minorHAnsi"/>
              </w:rPr>
            </w:pPr>
            <w:r>
              <w:rPr>
                <w:rFonts w:asciiTheme="minorHAnsi" w:hAnsiTheme="minorHAnsi" w:cstheme="minorHAnsi"/>
              </w:rPr>
              <w:t>50 %</w:t>
            </w:r>
          </w:p>
        </w:tc>
        <w:tc>
          <w:tcPr>
            <w:tcW w:w="2126" w:type="dxa"/>
            <w:tcBorders>
              <w:top w:val="single" w:sz="4" w:space="0" w:color="000000"/>
              <w:left w:val="single" w:sz="4" w:space="0" w:color="000000"/>
              <w:bottom w:val="single" w:sz="4" w:space="0" w:color="000000"/>
              <w:right w:val="single" w:sz="4" w:space="0" w:color="000000"/>
            </w:tcBorders>
            <w:hideMark/>
          </w:tcPr>
          <w:p w14:paraId="2FF2BD9D" w14:textId="77777777" w:rsidR="00C32530" w:rsidRDefault="00C32530">
            <w:pPr>
              <w:pStyle w:val="TableParagraph"/>
              <w:spacing w:before="133"/>
              <w:ind w:left="109"/>
              <w:jc w:val="center"/>
              <w:rPr>
                <w:rFonts w:asciiTheme="minorHAnsi" w:hAnsiTheme="minorHAnsi" w:cstheme="minorHAnsi"/>
              </w:rPr>
            </w:pPr>
            <w:r>
              <w:rPr>
                <w:rFonts w:asciiTheme="minorHAnsi" w:hAnsiTheme="minorHAnsi" w:cstheme="minorHAnsi"/>
              </w:rPr>
              <w:t>40 %</w:t>
            </w:r>
          </w:p>
        </w:tc>
        <w:tc>
          <w:tcPr>
            <w:tcW w:w="1561" w:type="dxa"/>
            <w:tcBorders>
              <w:top w:val="single" w:sz="4" w:space="0" w:color="000000"/>
              <w:left w:val="single" w:sz="4" w:space="0" w:color="000000"/>
              <w:bottom w:val="single" w:sz="4" w:space="0" w:color="000000"/>
              <w:right w:val="single" w:sz="4" w:space="0" w:color="000000"/>
            </w:tcBorders>
            <w:hideMark/>
          </w:tcPr>
          <w:p w14:paraId="0E60F51F" w14:textId="77777777" w:rsidR="00C32530" w:rsidRDefault="00C32530">
            <w:pPr>
              <w:pStyle w:val="TableParagraph"/>
              <w:spacing w:before="133"/>
              <w:ind w:left="106"/>
              <w:jc w:val="center"/>
              <w:rPr>
                <w:rFonts w:asciiTheme="minorHAnsi" w:hAnsiTheme="minorHAnsi" w:cstheme="minorHAnsi"/>
              </w:rPr>
            </w:pPr>
            <w:r>
              <w:rPr>
                <w:rFonts w:asciiTheme="minorHAnsi" w:hAnsiTheme="minorHAnsi" w:cstheme="minorHAnsi"/>
              </w:rPr>
              <w:t>30 %</w:t>
            </w:r>
          </w:p>
        </w:tc>
      </w:tr>
    </w:tbl>
    <w:p w14:paraId="303F1A09" w14:textId="77777777" w:rsidR="00C32530" w:rsidRDefault="00C32530" w:rsidP="00C32530">
      <w:pPr>
        <w:rPr>
          <w:rFonts w:asciiTheme="minorHAnsi" w:hAnsiTheme="minorHAnsi" w:cstheme="minorHAnsi"/>
        </w:rPr>
      </w:pPr>
    </w:p>
    <w:p w14:paraId="7FD6A4CE" w14:textId="77777777" w:rsidR="00C32530" w:rsidRDefault="00C32530" w:rsidP="00C32530">
      <w:pPr>
        <w:rPr>
          <w:rFonts w:cstheme="minorHAnsi"/>
          <w:lang w:eastAsia="fr-FR"/>
        </w:rPr>
      </w:pPr>
      <w:r>
        <w:rPr>
          <w:rFonts w:cstheme="minorHAnsi"/>
        </w:rPr>
        <w:t>Les taux RDI pourront être relevés d’un maximum de 15 points en cas de projets incluant une collaboration effective</w:t>
      </w:r>
      <w:r>
        <w:rPr>
          <w:rStyle w:val="Appelnotedebasdep"/>
          <w:rFonts w:cstheme="minorHAnsi"/>
        </w:rPr>
        <w:footnoteReference w:id="19"/>
      </w:r>
    </w:p>
    <w:p w14:paraId="687D755C" w14:textId="77777777" w:rsidR="00C32530" w:rsidRDefault="00C32530" w:rsidP="00C32530">
      <w:pPr>
        <w:rPr>
          <w:rFonts w:cstheme="minorHAnsi"/>
          <w:lang w:eastAsia="fr-FR"/>
        </w:rPr>
      </w:pPr>
    </w:p>
    <w:p w14:paraId="5F44D413" w14:textId="62247C17" w:rsidR="00C32530" w:rsidRPr="00111359" w:rsidRDefault="00C32530" w:rsidP="00C32530">
      <w:pPr>
        <w:rPr>
          <w:rFonts w:cstheme="minorHAnsi"/>
          <w:b/>
          <w:lang w:eastAsia="fr-FR"/>
        </w:rPr>
      </w:pPr>
      <w:r w:rsidRPr="00111359">
        <w:rPr>
          <w:rFonts w:cstheme="minorHAnsi"/>
          <w:b/>
          <w:lang w:eastAsia="fr-FR"/>
        </w:rPr>
        <w:t xml:space="preserve">L’aide est </w:t>
      </w:r>
      <w:r w:rsidR="009E05A6" w:rsidRPr="00111359">
        <w:rPr>
          <w:rFonts w:cstheme="minorHAnsi"/>
          <w:b/>
          <w:lang w:eastAsia="fr-FR"/>
        </w:rPr>
        <w:t>apportée sous forme de subventions et d’avances</w:t>
      </w:r>
      <w:r w:rsidR="009E05A6">
        <w:rPr>
          <w:rFonts w:cstheme="minorHAnsi"/>
          <w:b/>
          <w:lang w:eastAsia="fr-FR"/>
        </w:rPr>
        <w:t xml:space="preserve"> récupérables. La part des avances récupérables pourra atteindre un maximum de 25%</w:t>
      </w:r>
      <w:r w:rsidRPr="00111359">
        <w:rPr>
          <w:rFonts w:cstheme="minorHAnsi"/>
          <w:b/>
          <w:lang w:eastAsia="fr-FR"/>
        </w:rPr>
        <w:t>.</w:t>
      </w:r>
    </w:p>
    <w:p w14:paraId="55437EFE" w14:textId="6A3370AA" w:rsidR="00926DF1" w:rsidRDefault="00926DF1" w:rsidP="00C32530">
      <w:pPr>
        <w:pStyle w:val="Titre2"/>
        <w:numPr>
          <w:ilvl w:val="0"/>
          <w:numId w:val="0"/>
        </w:numPr>
        <w:ind w:left="567"/>
      </w:pPr>
    </w:p>
    <w:p w14:paraId="52761A13" w14:textId="77777777" w:rsidR="00C32530" w:rsidRPr="00C32530" w:rsidRDefault="00C32530" w:rsidP="00C32530"/>
    <w:p w14:paraId="4B584919" w14:textId="3982C9F6" w:rsidR="0051086B" w:rsidRPr="00F059B6" w:rsidRDefault="0051086B" w:rsidP="00DB31CB">
      <w:pPr>
        <w:pStyle w:val="Titre1"/>
        <w:keepLines w:val="0"/>
        <w:spacing w:after="120"/>
        <w:ind w:left="1134" w:hanging="567"/>
        <w:rPr>
          <w:b/>
        </w:rPr>
      </w:pPr>
      <w:bookmarkStart w:id="52" w:name="_Toc88472392"/>
      <w:bookmarkStart w:id="53" w:name="_Toc95386119"/>
      <w:r w:rsidRPr="00F059B6">
        <w:rPr>
          <w:b/>
        </w:rPr>
        <w:t>Liste des documents constitutifs d’un dossier</w:t>
      </w:r>
      <w:bookmarkEnd w:id="52"/>
      <w:bookmarkEnd w:id="53"/>
    </w:p>
    <w:p w14:paraId="14F91C0D" w14:textId="76C38D93" w:rsidR="0051086B" w:rsidRPr="00FA6D59" w:rsidRDefault="00E85543" w:rsidP="0051086B">
      <w:pPr>
        <w:pStyle w:val="Normal11"/>
        <w:spacing w:before="120" w:after="120" w:line="276" w:lineRule="auto"/>
        <w:jc w:val="both"/>
        <w:rPr>
          <w:rFonts w:ascii="Marianne Thin" w:eastAsia="Arial Unicode MS" w:hAnsi="Marianne Thin"/>
          <w:bCs/>
          <w:sz w:val="22"/>
        </w:rPr>
      </w:pPr>
      <w:r w:rsidRPr="00FA6D59">
        <w:rPr>
          <w:rFonts w:ascii="Marianne Thin" w:eastAsia="Arial Unicode MS" w:hAnsi="Marianne Thin"/>
          <w:bCs/>
          <w:sz w:val="22"/>
        </w:rPr>
        <w:t xml:space="preserve">L’ensemble des </w:t>
      </w:r>
      <w:r>
        <w:rPr>
          <w:rFonts w:ascii="Marianne Thin" w:eastAsia="Arial Unicode MS" w:hAnsi="Marianne Thin"/>
          <w:bCs/>
          <w:sz w:val="22"/>
        </w:rPr>
        <w:t xml:space="preserve">annexes constitutives du dossier de candidature </w:t>
      </w:r>
      <w:r w:rsidR="001E6E2B">
        <w:rPr>
          <w:rFonts w:ascii="Marianne Thin" w:eastAsia="Arial Unicode MS" w:hAnsi="Marianne Thin"/>
          <w:bCs/>
          <w:sz w:val="22"/>
        </w:rPr>
        <w:t>seront</w:t>
      </w:r>
      <w:r>
        <w:rPr>
          <w:rFonts w:ascii="Marianne Thin" w:eastAsia="Arial Unicode MS" w:hAnsi="Marianne Thin"/>
          <w:bCs/>
          <w:sz w:val="22"/>
        </w:rPr>
        <w:t xml:space="preserve"> à compléter et </w:t>
      </w:r>
      <w:r w:rsidR="00F34F44">
        <w:rPr>
          <w:rFonts w:ascii="Marianne Thin" w:eastAsia="Arial Unicode MS" w:hAnsi="Marianne Thin"/>
          <w:bCs/>
          <w:sz w:val="22"/>
        </w:rPr>
        <w:t>disponibles</w:t>
      </w:r>
      <w:r>
        <w:rPr>
          <w:rFonts w:ascii="Marianne Thin" w:eastAsia="Arial Unicode MS" w:hAnsi="Marianne Thin"/>
          <w:bCs/>
          <w:sz w:val="22"/>
        </w:rPr>
        <w:t xml:space="preserve"> </w:t>
      </w:r>
      <w:r w:rsidRPr="00FA6D59">
        <w:rPr>
          <w:rFonts w:ascii="Marianne Thin" w:hAnsi="Marianne Thin"/>
        </w:rPr>
        <w:t>sur la page internet de l’AAP</w:t>
      </w:r>
      <w:r>
        <w:rPr>
          <w:rFonts w:ascii="Marianne Thin" w:hAnsi="Marianne Thin"/>
        </w:rPr>
        <w:t>.</w:t>
      </w:r>
    </w:p>
    <w:p w14:paraId="33B5DBA4" w14:textId="3A5427D0" w:rsidR="0051086B" w:rsidRPr="00904ABD" w:rsidRDefault="0051086B" w:rsidP="00DB31CB">
      <w:pPr>
        <w:pStyle w:val="Titre2"/>
        <w:spacing w:before="280" w:after="240"/>
        <w:ind w:left="1701" w:hanging="576"/>
        <w:jc w:val="left"/>
        <w:rPr>
          <w:color w:val="000000"/>
        </w:rPr>
      </w:pPr>
      <w:bookmarkStart w:id="54" w:name="_Toc90307950"/>
      <w:bookmarkStart w:id="55" w:name="_Toc95386120"/>
      <w:r w:rsidRPr="00904ABD">
        <w:rPr>
          <w:color w:val="000000"/>
        </w:rPr>
        <w:t>Pour un pré dépôt</w:t>
      </w:r>
      <w:bookmarkEnd w:id="54"/>
      <w:bookmarkEnd w:id="55"/>
    </w:p>
    <w:p w14:paraId="62B7EFE7" w14:textId="605AEB3C" w:rsidR="0051086B" w:rsidRPr="0030556E" w:rsidRDefault="0051086B" w:rsidP="0051086B">
      <w:pPr>
        <w:rPr>
          <w:rFonts w:ascii="Marianne" w:hAnsi="Marianne"/>
        </w:rPr>
      </w:pPr>
      <w:r w:rsidRPr="00DD04D8">
        <w:t>Le pré-dépôt est une étape obligatoire préalable au dépôt et visant à faciliter la constitution d’un dossier complet pour le dépôt</w:t>
      </w:r>
      <w:r w:rsidRPr="0030556E">
        <w:rPr>
          <w:rFonts w:ascii="Marianne" w:hAnsi="Marianne"/>
        </w:rPr>
        <w:t>.</w:t>
      </w:r>
      <w:r w:rsidR="00DD04D8">
        <w:rPr>
          <w:rFonts w:ascii="Marianne" w:hAnsi="Marianne"/>
        </w:rPr>
        <w:t xml:space="preserve"> </w:t>
      </w:r>
    </w:p>
    <w:p w14:paraId="457B5C24" w14:textId="77777777" w:rsidR="0051086B" w:rsidRDefault="0051086B" w:rsidP="0051086B">
      <w:pPr>
        <w:rPr>
          <w:rFonts w:ascii="Marianne" w:hAnsi="Marianne"/>
          <w:b/>
        </w:rPr>
      </w:pPr>
    </w:p>
    <w:p w14:paraId="288AA826" w14:textId="5AEBC4D5" w:rsidR="0051086B" w:rsidRPr="00FA6D59" w:rsidRDefault="0051086B" w:rsidP="00F459D6">
      <w:pPr>
        <w:pStyle w:val="Paragraphedeliste"/>
        <w:numPr>
          <w:ilvl w:val="0"/>
          <w:numId w:val="13"/>
        </w:numPr>
      </w:pPr>
      <w:r w:rsidRPr="00FA6D59">
        <w:rPr>
          <w:rFonts w:ascii="Marianne" w:hAnsi="Marianne"/>
        </w:rPr>
        <w:t xml:space="preserve">Annexe </w:t>
      </w:r>
      <w:r w:rsidR="00335708" w:rsidRPr="00FA6D59">
        <w:rPr>
          <w:rFonts w:ascii="Marianne" w:hAnsi="Marianne"/>
        </w:rPr>
        <w:t>1</w:t>
      </w:r>
      <w:r w:rsidRPr="00FA6D59">
        <w:rPr>
          <w:rFonts w:ascii="Marianne" w:hAnsi="Marianne"/>
        </w:rPr>
        <w:t xml:space="preserve"> : </w:t>
      </w:r>
      <w:r w:rsidRPr="00FA6D59">
        <w:t>Modèle de présentation du projet pour le pré-dépôt</w:t>
      </w:r>
    </w:p>
    <w:p w14:paraId="005FFF18" w14:textId="11B9ECC8" w:rsidR="00641E3E" w:rsidRPr="00DD04D8" w:rsidRDefault="00641E3E" w:rsidP="00641E3E">
      <w:r>
        <w:t xml:space="preserve">La présentation pourra s’inspirer de la description du projet de l’annexe </w:t>
      </w:r>
      <w:r w:rsidR="00D7363E">
        <w:t>3</w:t>
      </w:r>
      <w:r w:rsidR="00FA6D59">
        <w:t xml:space="preserve">. </w:t>
      </w:r>
      <w:r>
        <w:t xml:space="preserve"> </w:t>
      </w:r>
    </w:p>
    <w:p w14:paraId="29C5E303" w14:textId="77777777" w:rsidR="00641E3E" w:rsidRPr="00904ABD" w:rsidRDefault="00641E3E" w:rsidP="0051086B">
      <w:pPr>
        <w:rPr>
          <w:rFonts w:ascii="Marianne" w:hAnsi="Marianne"/>
        </w:rPr>
      </w:pPr>
    </w:p>
    <w:p w14:paraId="370BF06F" w14:textId="47AF7286" w:rsidR="0051086B" w:rsidRPr="00F656EC" w:rsidRDefault="0051086B" w:rsidP="00DB31CB">
      <w:pPr>
        <w:pStyle w:val="Titre2"/>
        <w:spacing w:before="280" w:after="240"/>
        <w:ind w:left="1701" w:hanging="576"/>
        <w:jc w:val="left"/>
        <w:rPr>
          <w:color w:val="000000"/>
        </w:rPr>
      </w:pPr>
      <w:bookmarkStart w:id="56" w:name="_Toc87349738"/>
      <w:bookmarkStart w:id="57" w:name="_Toc82599039"/>
      <w:bookmarkStart w:id="58" w:name="_Toc90307951"/>
      <w:bookmarkStart w:id="59" w:name="_Toc95386121"/>
      <w:bookmarkEnd w:id="56"/>
      <w:r w:rsidRPr="00F656EC">
        <w:rPr>
          <w:color w:val="000000"/>
        </w:rPr>
        <w:t>Pour un dépôt complet</w:t>
      </w:r>
      <w:bookmarkEnd w:id="57"/>
      <w:bookmarkEnd w:id="58"/>
      <w:bookmarkEnd w:id="59"/>
      <w:r w:rsidRPr="00EF743E">
        <w:rPr>
          <w:rFonts w:ascii="Calibri" w:hAnsi="Calibri" w:cs="Calibri"/>
          <w:color w:val="000000"/>
        </w:rPr>
        <w:t> </w:t>
      </w:r>
    </w:p>
    <w:p w14:paraId="48EEC0E5" w14:textId="32B161B6" w:rsidR="00D7363E" w:rsidRDefault="00D7363E" w:rsidP="00D7363E">
      <w:pPr>
        <w:pStyle w:val="Paragraphedeliste"/>
        <w:numPr>
          <w:ilvl w:val="0"/>
          <w:numId w:val="7"/>
        </w:numPr>
        <w:spacing w:before="120" w:after="180"/>
        <w:rPr>
          <w:rFonts w:ascii="Marianne" w:hAnsi="Marianne"/>
        </w:rPr>
      </w:pPr>
      <w:r w:rsidRPr="00D7363E">
        <w:rPr>
          <w:rFonts w:ascii="Marianne" w:hAnsi="Marianne"/>
        </w:rPr>
        <w:t>Annexe 2</w:t>
      </w:r>
      <w:r>
        <w:rPr>
          <w:rFonts w:ascii="Calibri" w:hAnsi="Calibri" w:cs="Calibri"/>
        </w:rPr>
        <w:t> </w:t>
      </w:r>
      <w:r>
        <w:rPr>
          <w:rFonts w:ascii="Marianne" w:hAnsi="Marianne"/>
        </w:rPr>
        <w:t xml:space="preserve">: </w:t>
      </w:r>
      <w:r w:rsidRPr="00D7363E">
        <w:rPr>
          <w:rFonts w:ascii="Marianne" w:hAnsi="Marianne"/>
        </w:rPr>
        <w:t>Conditions Générales de France2030</w:t>
      </w:r>
    </w:p>
    <w:p w14:paraId="1B331907" w14:textId="14810D4C" w:rsidR="0051086B" w:rsidRPr="00F059B6" w:rsidRDefault="0051086B" w:rsidP="00F459D6">
      <w:pPr>
        <w:pStyle w:val="Paragraphedeliste"/>
        <w:numPr>
          <w:ilvl w:val="0"/>
          <w:numId w:val="7"/>
        </w:numPr>
        <w:spacing w:before="120" w:after="180"/>
        <w:rPr>
          <w:rFonts w:ascii="Marianne" w:hAnsi="Marianne"/>
        </w:rPr>
      </w:pPr>
      <w:r w:rsidRPr="00F059B6">
        <w:rPr>
          <w:rFonts w:ascii="Marianne" w:hAnsi="Marianne"/>
        </w:rPr>
        <w:t xml:space="preserve">Annexe </w:t>
      </w:r>
      <w:r w:rsidR="00D7363E">
        <w:rPr>
          <w:rFonts w:ascii="Marianne" w:hAnsi="Marianne"/>
        </w:rPr>
        <w:t>3a</w:t>
      </w:r>
      <w:r w:rsidR="00FA6D59">
        <w:rPr>
          <w:rFonts w:ascii="Marianne" w:hAnsi="Marianne"/>
        </w:rPr>
        <w:t xml:space="preserve"> : </w:t>
      </w:r>
      <w:r w:rsidRPr="00F059B6">
        <w:t>Descriptif détaillé du projet</w:t>
      </w:r>
      <w:r w:rsidR="00FA6D59">
        <w:t xml:space="preserve"> </w:t>
      </w:r>
    </w:p>
    <w:p w14:paraId="1253E37C" w14:textId="1BE9CDDA" w:rsidR="0051086B" w:rsidRPr="00F059B6" w:rsidRDefault="0051086B" w:rsidP="00F459D6">
      <w:pPr>
        <w:pStyle w:val="Paragraphedeliste"/>
        <w:numPr>
          <w:ilvl w:val="0"/>
          <w:numId w:val="7"/>
        </w:numPr>
        <w:spacing w:before="120" w:after="180"/>
        <w:rPr>
          <w:rFonts w:ascii="Marianne" w:hAnsi="Marianne"/>
        </w:rPr>
      </w:pPr>
      <w:r w:rsidRPr="00F059B6">
        <w:rPr>
          <w:rFonts w:ascii="Marianne" w:hAnsi="Marianne"/>
        </w:rPr>
        <w:t xml:space="preserve">Annexe </w:t>
      </w:r>
      <w:r w:rsidR="00B241CE">
        <w:rPr>
          <w:rFonts w:ascii="Marianne" w:hAnsi="Marianne"/>
        </w:rPr>
        <w:t xml:space="preserve">4 </w:t>
      </w:r>
      <w:r w:rsidR="00FA6D59">
        <w:rPr>
          <w:rFonts w:ascii="Marianne" w:hAnsi="Marianne"/>
        </w:rPr>
        <w:t xml:space="preserve">: </w:t>
      </w:r>
      <w:r w:rsidRPr="00F059B6">
        <w:t>Base de données des coûts du projet</w:t>
      </w:r>
    </w:p>
    <w:p w14:paraId="3561CF84" w14:textId="2998013B" w:rsidR="00B241CE" w:rsidRDefault="00B241CE" w:rsidP="00F459D6">
      <w:pPr>
        <w:pStyle w:val="Paragraphedeliste"/>
        <w:numPr>
          <w:ilvl w:val="0"/>
          <w:numId w:val="7"/>
        </w:numPr>
        <w:spacing w:before="120" w:after="180"/>
        <w:rPr>
          <w:rFonts w:ascii="Marianne" w:hAnsi="Marianne"/>
        </w:rPr>
      </w:pPr>
      <w:r>
        <w:rPr>
          <w:rFonts w:ascii="Marianne" w:hAnsi="Marianne"/>
        </w:rPr>
        <w:t>Annexe 5</w:t>
      </w:r>
      <w:r>
        <w:rPr>
          <w:rFonts w:ascii="Calibri" w:hAnsi="Calibri" w:cs="Calibri"/>
        </w:rPr>
        <w:t> </w:t>
      </w:r>
      <w:r>
        <w:rPr>
          <w:rFonts w:ascii="Marianne" w:hAnsi="Marianne"/>
        </w:rPr>
        <w:t>: Grille d’impact</w:t>
      </w:r>
    </w:p>
    <w:p w14:paraId="21D26F30" w14:textId="029946C1" w:rsidR="006F7E95" w:rsidRPr="006F7E95" w:rsidRDefault="006F7E95" w:rsidP="006F7E95">
      <w:pPr>
        <w:spacing w:before="120" w:after="180"/>
        <w:rPr>
          <w:rFonts w:ascii="Marianne" w:hAnsi="Marianne"/>
        </w:rPr>
      </w:pPr>
      <w:r>
        <w:rPr>
          <w:rFonts w:ascii="Marianne" w:hAnsi="Marianne"/>
        </w:rPr>
        <w:t>Les annexes suivantes seront à remplir par chaque partenaire du projet</w:t>
      </w:r>
      <w:r>
        <w:rPr>
          <w:rFonts w:ascii="Calibri" w:hAnsi="Calibri" w:cs="Calibri"/>
        </w:rPr>
        <w:t> </w:t>
      </w:r>
      <w:r>
        <w:rPr>
          <w:rFonts w:ascii="Marianne" w:hAnsi="Marianne"/>
        </w:rPr>
        <w:t>:</w:t>
      </w:r>
    </w:p>
    <w:p w14:paraId="44FD58A7" w14:textId="42030B1E" w:rsidR="00B241CE" w:rsidRDefault="00B241CE" w:rsidP="00B241CE">
      <w:pPr>
        <w:pStyle w:val="Paragraphedeliste"/>
        <w:numPr>
          <w:ilvl w:val="0"/>
          <w:numId w:val="7"/>
        </w:numPr>
        <w:spacing w:before="120" w:after="180"/>
        <w:rPr>
          <w:rFonts w:ascii="Marianne" w:hAnsi="Marianne"/>
        </w:rPr>
      </w:pPr>
      <w:r>
        <w:rPr>
          <w:rFonts w:ascii="Marianne" w:hAnsi="Marianne"/>
        </w:rPr>
        <w:t>Annexe 3b</w:t>
      </w:r>
      <w:r>
        <w:rPr>
          <w:rFonts w:ascii="Calibri" w:hAnsi="Calibri" w:cs="Calibri"/>
        </w:rPr>
        <w:t> </w:t>
      </w:r>
      <w:r>
        <w:rPr>
          <w:rFonts w:ascii="Marianne" w:hAnsi="Marianne"/>
        </w:rPr>
        <w:t xml:space="preserve">: </w:t>
      </w:r>
      <w:r w:rsidRPr="00D7363E">
        <w:rPr>
          <w:rFonts w:ascii="Marianne" w:hAnsi="Marianne"/>
        </w:rPr>
        <w:t>Descriptif du partenaire (document spécifique à chaque partenaire)</w:t>
      </w:r>
    </w:p>
    <w:p w14:paraId="09CE5A10" w14:textId="754B50D3" w:rsidR="000A1E61" w:rsidRPr="008B6F8A" w:rsidRDefault="000A1E61" w:rsidP="00B241CE">
      <w:pPr>
        <w:pStyle w:val="Paragraphedeliste"/>
        <w:numPr>
          <w:ilvl w:val="0"/>
          <w:numId w:val="7"/>
        </w:numPr>
        <w:spacing w:before="120" w:after="180"/>
        <w:rPr>
          <w:rFonts w:ascii="Marianne" w:hAnsi="Marianne"/>
        </w:rPr>
      </w:pPr>
      <w:r>
        <w:rPr>
          <w:rFonts w:ascii="Marianne" w:hAnsi="Marianne"/>
        </w:rPr>
        <w:t>Annexe 3c</w:t>
      </w:r>
      <w:r>
        <w:rPr>
          <w:rFonts w:ascii="Calibri" w:hAnsi="Calibri" w:cs="Calibri"/>
        </w:rPr>
        <w:t> </w:t>
      </w:r>
      <w:r>
        <w:rPr>
          <w:rFonts w:ascii="Marianne" w:hAnsi="Marianne"/>
        </w:rPr>
        <w:t>: Déclaration administratives</w:t>
      </w:r>
    </w:p>
    <w:p w14:paraId="12E80D52" w14:textId="77777777" w:rsidR="000A1E61" w:rsidRPr="006F7E95" w:rsidRDefault="000A1E61" w:rsidP="000A1E61">
      <w:pPr>
        <w:pStyle w:val="Paragraphedeliste"/>
        <w:numPr>
          <w:ilvl w:val="0"/>
          <w:numId w:val="7"/>
        </w:numPr>
        <w:spacing w:before="120" w:after="180"/>
        <w:rPr>
          <w:rFonts w:ascii="Marianne" w:hAnsi="Marianne"/>
        </w:rPr>
      </w:pPr>
      <w:r w:rsidRPr="00F059B6">
        <w:rPr>
          <w:rFonts w:ascii="Marianne" w:hAnsi="Marianne"/>
        </w:rPr>
        <w:t xml:space="preserve">Annexe </w:t>
      </w:r>
      <w:r>
        <w:rPr>
          <w:rFonts w:ascii="Marianne" w:hAnsi="Marianne"/>
        </w:rPr>
        <w:t>6</w:t>
      </w:r>
      <w:r w:rsidRPr="00F059B6">
        <w:rPr>
          <w:rFonts w:ascii="Marianne" w:hAnsi="Marianne"/>
        </w:rPr>
        <w:t xml:space="preserve"> </w:t>
      </w:r>
      <w:r>
        <w:rPr>
          <w:rFonts w:ascii="Marianne" w:hAnsi="Marianne"/>
        </w:rPr>
        <w:t xml:space="preserve">: </w:t>
      </w:r>
      <w:r>
        <w:t>éléments financiers</w:t>
      </w:r>
    </w:p>
    <w:p w14:paraId="277E49B9" w14:textId="49597E1F" w:rsidR="00FA6D59" w:rsidRPr="00F059B6" w:rsidRDefault="00FA6D59" w:rsidP="00F459D6">
      <w:pPr>
        <w:pStyle w:val="Paragraphedeliste"/>
        <w:numPr>
          <w:ilvl w:val="0"/>
          <w:numId w:val="7"/>
        </w:numPr>
        <w:spacing w:before="120" w:after="180"/>
        <w:rPr>
          <w:rFonts w:ascii="Marianne" w:hAnsi="Marianne"/>
        </w:rPr>
      </w:pPr>
      <w:r w:rsidRPr="00F059B6">
        <w:rPr>
          <w:rFonts w:ascii="Marianne" w:hAnsi="Marianne"/>
        </w:rPr>
        <w:t xml:space="preserve">Annexe </w:t>
      </w:r>
      <w:r w:rsidR="000A1E61">
        <w:rPr>
          <w:rFonts w:ascii="Marianne" w:hAnsi="Marianne"/>
        </w:rPr>
        <w:t>7</w:t>
      </w:r>
      <w:r w:rsidR="00B241CE" w:rsidRPr="00F059B6">
        <w:rPr>
          <w:rFonts w:ascii="Calibri" w:hAnsi="Calibri" w:cs="Calibri"/>
        </w:rPr>
        <w:t> </w:t>
      </w:r>
      <w:r w:rsidRPr="00F059B6">
        <w:rPr>
          <w:rFonts w:ascii="Marianne" w:hAnsi="Marianne"/>
        </w:rPr>
        <w:t xml:space="preserve">: </w:t>
      </w:r>
      <w:r w:rsidRPr="00F059B6">
        <w:t>Attestation de santé financière</w:t>
      </w:r>
    </w:p>
    <w:p w14:paraId="2E7B825E" w14:textId="74B5D24B" w:rsidR="00FA6D59" w:rsidRDefault="006F7E95" w:rsidP="00F459D6">
      <w:pPr>
        <w:pStyle w:val="Paragraphedeliste"/>
        <w:numPr>
          <w:ilvl w:val="0"/>
          <w:numId w:val="7"/>
        </w:numPr>
        <w:spacing w:before="120" w:after="180"/>
      </w:pPr>
      <w:r>
        <w:rPr>
          <w:rFonts w:ascii="Marianne" w:hAnsi="Marianne"/>
        </w:rPr>
        <w:t xml:space="preserve">Annexe </w:t>
      </w:r>
      <w:r w:rsidR="000A1E61">
        <w:rPr>
          <w:rFonts w:ascii="Marianne" w:hAnsi="Marianne"/>
        </w:rPr>
        <w:t>8</w:t>
      </w:r>
      <w:r w:rsidR="00F64ED3" w:rsidRPr="00F059B6">
        <w:rPr>
          <w:rFonts w:ascii="Calibri" w:hAnsi="Calibri" w:cs="Calibri"/>
        </w:rPr>
        <w:t> </w:t>
      </w:r>
      <w:r w:rsidR="00FA6D59" w:rsidRPr="00F059B6">
        <w:rPr>
          <w:rFonts w:ascii="Marianne" w:hAnsi="Marianne"/>
        </w:rPr>
        <w:t xml:space="preserve">: </w:t>
      </w:r>
      <w:r w:rsidR="000A1E61">
        <w:t>Modèle fiche Lauréat</w:t>
      </w:r>
      <w:r w:rsidR="00FA6D59" w:rsidRPr="00F059B6">
        <w:t xml:space="preserve">  </w:t>
      </w:r>
    </w:p>
    <w:p w14:paraId="41DC0882" w14:textId="38F5DD21" w:rsidR="00EE2C40" w:rsidRDefault="00EE2C40" w:rsidP="00EE2C40">
      <w:pPr>
        <w:spacing w:before="120" w:after="180"/>
        <w:rPr>
          <w:rFonts w:ascii="Marianne" w:hAnsi="Marianne"/>
        </w:rPr>
      </w:pPr>
      <w:r>
        <w:rPr>
          <w:rFonts w:ascii="Marianne" w:hAnsi="Marianne"/>
        </w:rPr>
        <w:t>Les documents administratifs suivant sont à fournir également par chaque partenaire du projet</w:t>
      </w:r>
      <w:r>
        <w:rPr>
          <w:rFonts w:ascii="Calibri" w:hAnsi="Calibri" w:cs="Calibri"/>
        </w:rPr>
        <w:t> </w:t>
      </w:r>
      <w:r>
        <w:rPr>
          <w:rFonts w:ascii="Marianne" w:hAnsi="Marianne"/>
        </w:rPr>
        <w:t>:</w:t>
      </w:r>
    </w:p>
    <w:p w14:paraId="53452B7C" w14:textId="057DB02B" w:rsidR="00FA6D59" w:rsidRPr="00EE2C40" w:rsidRDefault="00FA6D59" w:rsidP="00F459D6">
      <w:pPr>
        <w:pStyle w:val="Paragraphedeliste"/>
        <w:numPr>
          <w:ilvl w:val="0"/>
          <w:numId w:val="7"/>
        </w:numPr>
        <w:spacing w:before="120" w:after="180"/>
        <w:rPr>
          <w:rFonts w:ascii="Marianne" w:hAnsi="Marianne"/>
        </w:rPr>
      </w:pPr>
      <w:r w:rsidRPr="00EE2C40">
        <w:rPr>
          <w:rFonts w:ascii="Marianne" w:hAnsi="Marianne"/>
        </w:rPr>
        <w:t>KBIS</w:t>
      </w:r>
    </w:p>
    <w:p w14:paraId="1FA21DFF" w14:textId="67B62395" w:rsidR="00FA6D59" w:rsidRDefault="00FA6D59" w:rsidP="00F459D6">
      <w:pPr>
        <w:pStyle w:val="Paragraphedeliste"/>
        <w:numPr>
          <w:ilvl w:val="0"/>
          <w:numId w:val="7"/>
        </w:numPr>
        <w:spacing w:before="120" w:after="180"/>
        <w:rPr>
          <w:rFonts w:ascii="Marianne" w:hAnsi="Marianne"/>
        </w:rPr>
      </w:pPr>
      <w:r w:rsidRPr="00F059B6">
        <w:rPr>
          <w:rFonts w:ascii="Marianne" w:hAnsi="Marianne"/>
        </w:rPr>
        <w:t>RIB</w:t>
      </w:r>
    </w:p>
    <w:p w14:paraId="10C192CB" w14:textId="7904E9EE" w:rsidR="00714AC9" w:rsidRPr="009E05A6" w:rsidRDefault="00EE2C40" w:rsidP="00A008F3">
      <w:pPr>
        <w:pStyle w:val="Paragraphedeliste"/>
        <w:numPr>
          <w:ilvl w:val="0"/>
          <w:numId w:val="7"/>
        </w:numPr>
        <w:spacing w:before="120" w:after="180"/>
        <w:jc w:val="left"/>
        <w:rPr>
          <w:rFonts w:ascii="Marianne" w:eastAsiaTheme="majorEastAsia" w:hAnsi="Marianne" w:cstheme="majorBidi"/>
          <w:color w:val="2E74B5" w:themeColor="accent1" w:themeShade="BF"/>
          <w:sz w:val="24"/>
          <w:szCs w:val="32"/>
        </w:rPr>
      </w:pPr>
      <w:r w:rsidRPr="009E05A6">
        <w:rPr>
          <w:rFonts w:ascii="Marianne" w:hAnsi="Marianne"/>
        </w:rPr>
        <w:t>3 dernières liasses fiscales</w:t>
      </w:r>
      <w:bookmarkStart w:id="60" w:name="_Toc90287636"/>
      <w:r w:rsidR="00714AC9" w:rsidRPr="009E05A6">
        <w:rPr>
          <w:rFonts w:ascii="Marianne" w:eastAsiaTheme="majorEastAsia" w:hAnsi="Marianne" w:cstheme="majorBidi"/>
          <w:color w:val="2E74B5" w:themeColor="accent1" w:themeShade="BF"/>
          <w:sz w:val="24"/>
          <w:szCs w:val="32"/>
        </w:rPr>
        <w:br w:type="page"/>
      </w:r>
    </w:p>
    <w:p w14:paraId="2D2213DD" w14:textId="2279620C" w:rsidR="00714AC9" w:rsidRDefault="00714AC9">
      <w:pPr>
        <w:jc w:val="left"/>
        <w:rPr>
          <w:rFonts w:ascii="Marianne" w:eastAsiaTheme="majorEastAsia" w:hAnsi="Marianne" w:cstheme="majorBidi"/>
          <w:color w:val="2E74B5" w:themeColor="accent1" w:themeShade="BF"/>
          <w:sz w:val="24"/>
          <w:szCs w:val="32"/>
        </w:rPr>
      </w:pPr>
    </w:p>
    <w:p w14:paraId="25B319B0" w14:textId="77777777" w:rsidR="00714AC9" w:rsidRDefault="00714AC9">
      <w:pPr>
        <w:jc w:val="left"/>
        <w:rPr>
          <w:rFonts w:ascii="Marianne" w:eastAsiaTheme="majorEastAsia" w:hAnsi="Marianne" w:cstheme="majorBidi"/>
          <w:color w:val="2E74B5" w:themeColor="accent1" w:themeShade="BF"/>
          <w:sz w:val="24"/>
          <w:szCs w:val="32"/>
        </w:rPr>
      </w:pPr>
      <w:r>
        <w:rPr>
          <w:rFonts w:ascii="Marianne" w:eastAsiaTheme="majorEastAsia" w:hAnsi="Marianne" w:cstheme="majorBidi"/>
          <w:color w:val="2E74B5" w:themeColor="accent1" w:themeShade="BF"/>
          <w:sz w:val="24"/>
          <w:szCs w:val="32"/>
        </w:rPr>
        <w:br w:type="page"/>
      </w:r>
    </w:p>
    <w:p w14:paraId="10AEF1A8" w14:textId="77777777" w:rsidR="008B5B7D" w:rsidRDefault="008B5B7D">
      <w:pPr>
        <w:jc w:val="left"/>
        <w:rPr>
          <w:rFonts w:ascii="Marianne" w:eastAsiaTheme="majorEastAsia" w:hAnsi="Marianne" w:cstheme="majorBidi"/>
          <w:color w:val="2E74B5" w:themeColor="accent1" w:themeShade="BF"/>
          <w:sz w:val="24"/>
          <w:szCs w:val="32"/>
        </w:rPr>
      </w:pPr>
    </w:p>
    <w:p w14:paraId="7719DA29" w14:textId="02C2D6D2" w:rsidR="00926DF1" w:rsidRPr="000B00DF" w:rsidRDefault="00926DF1" w:rsidP="00926DF1">
      <w:pPr>
        <w:pStyle w:val="Titre1"/>
        <w:numPr>
          <w:ilvl w:val="0"/>
          <w:numId w:val="0"/>
        </w:numPr>
        <w:rPr>
          <w:b/>
        </w:rPr>
      </w:pPr>
      <w:bookmarkStart w:id="61" w:name="_Toc95386122"/>
      <w:r w:rsidRPr="000B00DF">
        <w:rPr>
          <w:b/>
        </w:rPr>
        <w:t>Annexe A : Critères de performance environnementale</w:t>
      </w:r>
      <w:bookmarkEnd w:id="60"/>
      <w:bookmarkEnd w:id="61"/>
    </w:p>
    <w:p w14:paraId="2905E930" w14:textId="77777777" w:rsidR="00AC7231" w:rsidRDefault="00AC7231" w:rsidP="00926DF1"/>
    <w:p w14:paraId="35D35899" w14:textId="7D9268D7" w:rsidR="00926DF1" w:rsidRPr="000078E2" w:rsidRDefault="00926DF1" w:rsidP="00926DF1">
      <w:r w:rsidRPr="000078E2">
        <w:t>Les projets causant un préjudice important du point de vue de l’environnement seront exclus (application du principe DNSH –</w:t>
      </w:r>
      <w:r w:rsidR="00ED49C7">
        <w:t xml:space="preserve"> </w:t>
      </w:r>
      <w:r w:rsidRPr="000078E2">
        <w:t xml:space="preserve">Do No </w:t>
      </w:r>
      <w:proofErr w:type="spellStart"/>
      <w:r w:rsidRPr="000078E2">
        <w:t>Significant</w:t>
      </w:r>
      <w:proofErr w:type="spellEnd"/>
      <w:r w:rsidRPr="000078E2">
        <w:t xml:space="preserve"> </w:t>
      </w:r>
      <w:proofErr w:type="spellStart"/>
      <w:r w:rsidRPr="000078E2">
        <w:t>Harm</w:t>
      </w:r>
      <w:proofErr w:type="spellEnd"/>
      <w:r w:rsidRPr="000078E2">
        <w:t xml:space="preserve"> ou « absence de préjudice important ») au sens de l’article 17 du règlement européen sur la taxonomie</w:t>
      </w:r>
      <w:r w:rsidRPr="000078E2">
        <w:rPr>
          <w:rStyle w:val="Appelnotedebasdep"/>
        </w:rPr>
        <w:footnoteReference w:id="20"/>
      </w:r>
      <w:r w:rsidRPr="000078E2">
        <w:t>. En créant un langage commun et une définition claire de ce qui est « durable », la taxonomie est destinée à limiter les risques d’</w:t>
      </w:r>
      <w:proofErr w:type="spellStart"/>
      <w:r w:rsidRPr="000078E2">
        <w:t>écoblanchiment</w:t>
      </w:r>
      <w:proofErr w:type="spellEnd"/>
      <w:r w:rsidRPr="000078E2">
        <w:t xml:space="preserve"> (ou "</w:t>
      </w:r>
      <w:proofErr w:type="spellStart"/>
      <w:r w:rsidRPr="000078E2">
        <w:t>greenwashing</w:t>
      </w:r>
      <w:proofErr w:type="spellEnd"/>
      <w:r w:rsidRPr="000078E2">
        <w:t xml:space="preserve">") et de distorsion de concurrence, et à faciliter la transformation de l’économie vers une durabilité environnementale accrue. </w:t>
      </w:r>
    </w:p>
    <w:p w14:paraId="07FAA93F" w14:textId="77777777" w:rsidR="00926DF1" w:rsidRPr="000078E2" w:rsidRDefault="00926DF1" w:rsidP="00926DF1">
      <w:r w:rsidRPr="000078E2">
        <w:t>Ainsi, la taxonomie définit la durabilité au regard des six objectifs environnementaux suivants:</w:t>
      </w:r>
    </w:p>
    <w:p w14:paraId="363B8A30" w14:textId="77777777" w:rsidR="00926DF1" w:rsidRPr="000078E2" w:rsidRDefault="00926DF1" w:rsidP="00F459D6">
      <w:pPr>
        <w:pStyle w:val="Paragraphedeliste"/>
        <w:numPr>
          <w:ilvl w:val="0"/>
          <w:numId w:val="8"/>
        </w:numPr>
        <w:spacing w:before="120" w:after="180"/>
      </w:pPr>
      <w:proofErr w:type="gramStart"/>
      <w:r w:rsidRPr="000078E2">
        <w:t>l’atténuation</w:t>
      </w:r>
      <w:proofErr w:type="gramEnd"/>
      <w:r w:rsidRPr="000078E2">
        <w:t xml:space="preserve"> du changement climatique ;</w:t>
      </w:r>
    </w:p>
    <w:p w14:paraId="25312509" w14:textId="77777777" w:rsidR="00926DF1" w:rsidRPr="000078E2" w:rsidRDefault="00926DF1" w:rsidP="00F459D6">
      <w:pPr>
        <w:pStyle w:val="Paragraphedeliste"/>
        <w:numPr>
          <w:ilvl w:val="0"/>
          <w:numId w:val="8"/>
        </w:numPr>
        <w:spacing w:before="120" w:after="180"/>
      </w:pPr>
      <w:proofErr w:type="gramStart"/>
      <w:r w:rsidRPr="000078E2">
        <w:t>l’adaptation</w:t>
      </w:r>
      <w:proofErr w:type="gramEnd"/>
      <w:r w:rsidRPr="000078E2">
        <w:t xml:space="preserve"> au changement climatique ;</w:t>
      </w:r>
    </w:p>
    <w:p w14:paraId="69669CB0" w14:textId="77777777" w:rsidR="00926DF1" w:rsidRPr="000078E2" w:rsidRDefault="00926DF1" w:rsidP="00F459D6">
      <w:pPr>
        <w:pStyle w:val="Paragraphedeliste"/>
        <w:numPr>
          <w:ilvl w:val="0"/>
          <w:numId w:val="8"/>
        </w:numPr>
        <w:spacing w:before="120" w:after="180"/>
      </w:pPr>
      <w:proofErr w:type="gramStart"/>
      <w:r w:rsidRPr="000078E2">
        <w:t>l’utilisation</w:t>
      </w:r>
      <w:proofErr w:type="gramEnd"/>
      <w:r w:rsidRPr="000078E2">
        <w:t xml:space="preserve"> durable et la protection des ressources aquatiques et marines ;</w:t>
      </w:r>
    </w:p>
    <w:p w14:paraId="209604A6" w14:textId="77777777" w:rsidR="00926DF1" w:rsidRPr="000078E2" w:rsidRDefault="00926DF1" w:rsidP="00F459D6">
      <w:pPr>
        <w:pStyle w:val="Paragraphedeliste"/>
        <w:numPr>
          <w:ilvl w:val="0"/>
          <w:numId w:val="8"/>
        </w:numPr>
        <w:spacing w:before="120" w:after="180"/>
      </w:pPr>
      <w:proofErr w:type="gramStart"/>
      <w:r w:rsidRPr="000078E2">
        <w:t>la</w:t>
      </w:r>
      <w:proofErr w:type="gramEnd"/>
      <w:r w:rsidRPr="000078E2">
        <w:t xml:space="preserve"> transition vers une économie circulaire ; </w:t>
      </w:r>
    </w:p>
    <w:p w14:paraId="363D1FAF" w14:textId="77777777" w:rsidR="00926DF1" w:rsidRPr="000078E2" w:rsidRDefault="00926DF1" w:rsidP="00F459D6">
      <w:pPr>
        <w:pStyle w:val="Paragraphedeliste"/>
        <w:numPr>
          <w:ilvl w:val="0"/>
          <w:numId w:val="8"/>
        </w:numPr>
        <w:spacing w:before="120" w:after="180"/>
      </w:pPr>
      <w:proofErr w:type="gramStart"/>
      <w:r w:rsidRPr="000078E2">
        <w:t>la</w:t>
      </w:r>
      <w:proofErr w:type="gramEnd"/>
      <w:r w:rsidRPr="000078E2">
        <w:t xml:space="preserve"> prévention et la réduction de la pollution ; </w:t>
      </w:r>
    </w:p>
    <w:p w14:paraId="61F54C12" w14:textId="77777777" w:rsidR="00926DF1" w:rsidRPr="000078E2" w:rsidRDefault="00926DF1" w:rsidP="00F459D6">
      <w:pPr>
        <w:pStyle w:val="Paragraphedeliste"/>
        <w:numPr>
          <w:ilvl w:val="0"/>
          <w:numId w:val="8"/>
        </w:numPr>
        <w:spacing w:before="120" w:after="180"/>
      </w:pPr>
      <w:proofErr w:type="gramStart"/>
      <w:r w:rsidRPr="000078E2">
        <w:t>la</w:t>
      </w:r>
      <w:proofErr w:type="gramEnd"/>
      <w:r w:rsidRPr="000078E2">
        <w:t xml:space="preserve"> protection et la restauration de la biodiversité et des écosystèmes.</w:t>
      </w:r>
    </w:p>
    <w:p w14:paraId="174252D9" w14:textId="47C1266D" w:rsidR="00EB3D17" w:rsidRDefault="00CA1456" w:rsidP="00926DF1">
      <w:r>
        <w:t>L</w:t>
      </w:r>
      <w:r w:rsidR="00926DF1" w:rsidRPr="000078E2">
        <w:t xml:space="preserve">’évaluation technique de l’impact du projet vis-à-vis </w:t>
      </w:r>
      <w:r>
        <w:t xml:space="preserve">de ces objectifs environnementaux sera renseigné dans l’annexe </w:t>
      </w:r>
      <w:r w:rsidR="00F64ED3">
        <w:t>5</w:t>
      </w:r>
      <w:r w:rsidR="00E157D0">
        <w:t xml:space="preserve"> du dossier de candidature</w:t>
      </w:r>
      <w:r w:rsidRPr="008C4B9D">
        <w:t>.</w:t>
      </w:r>
      <w:r>
        <w:t xml:space="preserve"> </w:t>
      </w:r>
    </w:p>
    <w:p w14:paraId="1A744407" w14:textId="4085D311" w:rsidR="00926DF1" w:rsidRDefault="00EB3D17" w:rsidP="00926DF1">
      <w:r w:rsidRPr="00CC4548">
        <w:t>Il s’agira d’autoévaluer les impacts prévisibles de la solution proposée par rapport à une solution de référence explicitée et argumentée</w:t>
      </w:r>
      <w:r>
        <w:t xml:space="preserve">. </w:t>
      </w:r>
      <w:r w:rsidR="00926DF1" w:rsidRPr="000078E2">
        <w:t xml:space="preserve">Cette analyse tient compte du cycle de vie des </w:t>
      </w:r>
      <w:r w:rsidR="00ED49C7">
        <w:t>procédés</w:t>
      </w:r>
      <w:r w:rsidR="00ED49C7" w:rsidRPr="000078E2">
        <w:t xml:space="preserve"> </w:t>
      </w:r>
      <w:r w:rsidR="00926DF1" w:rsidRPr="000078E2">
        <w:t xml:space="preserve">et du ou des produits ou livrables du projet, suivant les usages qui en sont faits. </w:t>
      </w:r>
      <w:r w:rsidR="00ED49C7">
        <w:t>Au</w:t>
      </w:r>
      <w:r w:rsidR="00926DF1" w:rsidRPr="000078E2">
        <w:t>tan</w:t>
      </w:r>
      <w:r w:rsidR="00CE54A3" w:rsidRPr="00CE54A3">
        <w:rPr>
          <w:noProof/>
          <w:lang w:eastAsia="fr-FR"/>
        </w:rPr>
        <w:t xml:space="preserve"> </w:t>
      </w:r>
      <w:r w:rsidR="00926DF1" w:rsidRPr="000078E2">
        <w:t>t que de besoin, ces estimations pourront être étayées par des analyses en cycle de vie plus complètes.</w:t>
      </w:r>
      <w:bookmarkStart w:id="62" w:name="_1ksv4uv" w:colFirst="0" w:colLast="0"/>
      <w:bookmarkEnd w:id="62"/>
    </w:p>
    <w:p w14:paraId="79629330" w14:textId="77777777" w:rsidR="00926DF1" w:rsidRDefault="00926DF1" w:rsidP="00926DF1"/>
    <w:p w14:paraId="55B57FB0" w14:textId="77777777" w:rsidR="00926DF1" w:rsidRPr="009F6627" w:rsidRDefault="00926DF1" w:rsidP="00926DF1">
      <w:pPr>
        <w:tabs>
          <w:tab w:val="left" w:pos="2185"/>
        </w:tabs>
      </w:pPr>
    </w:p>
    <w:p w14:paraId="2EF06877" w14:textId="77777777" w:rsidR="00926DF1" w:rsidRDefault="00926DF1" w:rsidP="00926DF1">
      <w:pPr>
        <w:tabs>
          <w:tab w:val="left" w:pos="2185"/>
        </w:tabs>
      </w:pPr>
    </w:p>
    <w:p w14:paraId="57E47BCA" w14:textId="77777777" w:rsidR="00926DF1" w:rsidRPr="009F6627" w:rsidRDefault="00926DF1" w:rsidP="00926DF1">
      <w:pPr>
        <w:tabs>
          <w:tab w:val="left" w:pos="2185"/>
        </w:tabs>
        <w:sectPr w:rsidR="00926DF1" w:rsidRPr="009F6627" w:rsidSect="00DE1113">
          <w:footerReference w:type="default" r:id="rId19"/>
          <w:pgSz w:w="11906" w:h="16838" w:code="9"/>
          <w:pgMar w:top="1418" w:right="1418" w:bottom="1418" w:left="1418" w:header="709" w:footer="709" w:gutter="0"/>
          <w:cols w:space="708"/>
          <w:docGrid w:linePitch="360"/>
        </w:sectPr>
      </w:pPr>
    </w:p>
    <w:p w14:paraId="736DD710" w14:textId="77777777" w:rsidR="00926DF1" w:rsidRPr="000B00DF" w:rsidRDefault="00926DF1" w:rsidP="00926DF1">
      <w:pPr>
        <w:pStyle w:val="Titre1"/>
        <w:numPr>
          <w:ilvl w:val="0"/>
          <w:numId w:val="0"/>
        </w:numPr>
        <w:rPr>
          <w:b/>
        </w:rPr>
      </w:pPr>
      <w:bookmarkStart w:id="63" w:name="_Toc90287637"/>
      <w:bookmarkStart w:id="64" w:name="_Toc95386123"/>
      <w:r w:rsidRPr="000B00DF">
        <w:rPr>
          <w:b/>
        </w:rPr>
        <w:t>Annexe B :  Dépenses éligibles</w:t>
      </w:r>
      <w:bookmarkEnd w:id="63"/>
      <w:bookmarkEnd w:id="64"/>
    </w:p>
    <w:p w14:paraId="57E0631E" w14:textId="77777777" w:rsidR="00926DF1" w:rsidRPr="005D207D" w:rsidRDefault="00926DF1" w:rsidP="00926DF1">
      <w:pPr>
        <w:spacing w:before="240"/>
        <w:rPr>
          <w:b/>
        </w:rPr>
      </w:pPr>
      <w:r w:rsidRPr="0006783E">
        <w:t xml:space="preserve">L’ensemble des dépenses prévisionnelles relatives au projet doit être détaillé dans le dossier de candidature, </w:t>
      </w:r>
      <w:r w:rsidRPr="000B00DF">
        <w:rPr>
          <w:rFonts w:ascii="Marianne" w:hAnsi="Marianne"/>
        </w:rPr>
        <w:t>l’ADEME se réservant le droit de ne retenir comme éligible qu’une partie des dépenses.</w:t>
      </w:r>
    </w:p>
    <w:p w14:paraId="56475BBA" w14:textId="77777777" w:rsidR="00926DF1" w:rsidRPr="0006783E" w:rsidRDefault="00926DF1" w:rsidP="00926DF1">
      <w:pPr>
        <w:spacing w:before="240"/>
      </w:pPr>
      <w:r w:rsidRPr="0006783E">
        <w:t>En principe, les dépenses d’investissement éligibles correspondent notamment aux :</w:t>
      </w:r>
    </w:p>
    <w:p w14:paraId="0A96C2A5" w14:textId="77777777" w:rsidR="00926DF1" w:rsidRPr="0006783E" w:rsidRDefault="00926DF1" w:rsidP="00F459D6">
      <w:pPr>
        <w:pStyle w:val="Paragraphedeliste"/>
        <w:numPr>
          <w:ilvl w:val="0"/>
          <w:numId w:val="9"/>
        </w:numPr>
        <w:spacing w:after="0" w:line="252" w:lineRule="auto"/>
      </w:pPr>
      <w:r w:rsidRPr="0006783E">
        <w:t>Équipements de production (outil productif) ;</w:t>
      </w:r>
    </w:p>
    <w:p w14:paraId="54B5DFC6" w14:textId="77777777" w:rsidR="00926DF1" w:rsidRPr="0006783E" w:rsidRDefault="00926DF1" w:rsidP="00F459D6">
      <w:pPr>
        <w:pStyle w:val="Paragraphedeliste"/>
        <w:numPr>
          <w:ilvl w:val="0"/>
          <w:numId w:val="9"/>
        </w:numPr>
        <w:spacing w:after="0" w:line="252" w:lineRule="auto"/>
      </w:pPr>
      <w:r w:rsidRPr="0006783E">
        <w:t>Équipements nécessaires à l’outil productif telles que les utilités (vapeur, air comprimé, etc.) ;</w:t>
      </w:r>
    </w:p>
    <w:p w14:paraId="605692BC" w14:textId="77777777" w:rsidR="00926DF1" w:rsidRPr="0006783E" w:rsidRDefault="00926DF1" w:rsidP="00F459D6">
      <w:pPr>
        <w:pStyle w:val="Paragraphedeliste"/>
        <w:numPr>
          <w:ilvl w:val="0"/>
          <w:numId w:val="9"/>
        </w:numPr>
        <w:spacing w:after="0" w:line="252" w:lineRule="auto"/>
      </w:pPr>
      <w:r w:rsidRPr="0006783E">
        <w:t>Équipements périphériques tels que : raccordement/armoire électrique, tuyauterie, automatisme, etc. ;</w:t>
      </w:r>
    </w:p>
    <w:p w14:paraId="74480E09" w14:textId="77777777" w:rsidR="00926DF1" w:rsidRPr="0006783E" w:rsidRDefault="00926DF1" w:rsidP="00F459D6">
      <w:pPr>
        <w:pStyle w:val="Paragraphedeliste"/>
        <w:numPr>
          <w:ilvl w:val="0"/>
          <w:numId w:val="9"/>
        </w:numPr>
        <w:spacing w:after="0" w:line="252" w:lineRule="auto"/>
      </w:pPr>
      <w:r w:rsidRPr="0006783E">
        <w:t xml:space="preserve">Équipements de mesure, comptage, suivi et </w:t>
      </w:r>
      <w:proofErr w:type="spellStart"/>
      <w:r w:rsidRPr="0006783E">
        <w:t>reporting</w:t>
      </w:r>
      <w:proofErr w:type="spellEnd"/>
      <w:r w:rsidRPr="0006783E">
        <w:t xml:space="preserve"> des consommations d’énergie ou des émissions de GES ; </w:t>
      </w:r>
    </w:p>
    <w:p w14:paraId="0B4F6403" w14:textId="77777777" w:rsidR="00926DF1" w:rsidRPr="0006783E" w:rsidRDefault="00926DF1" w:rsidP="00F459D6">
      <w:pPr>
        <w:pStyle w:val="Paragraphedeliste"/>
        <w:numPr>
          <w:ilvl w:val="0"/>
          <w:numId w:val="9"/>
        </w:numPr>
        <w:spacing w:after="0" w:line="252" w:lineRule="auto"/>
      </w:pPr>
      <w:r w:rsidRPr="0006783E">
        <w:t>Les travaux d’installation des équipements listés ci-dessus, y compris le génie civil, terrassement, VRD ;</w:t>
      </w:r>
    </w:p>
    <w:p w14:paraId="7FBC7A90" w14:textId="590818E5" w:rsidR="00926DF1" w:rsidRPr="0006783E" w:rsidRDefault="00ED49C7" w:rsidP="00F459D6">
      <w:pPr>
        <w:pStyle w:val="Paragraphedeliste"/>
        <w:numPr>
          <w:ilvl w:val="0"/>
          <w:numId w:val="9"/>
        </w:numPr>
        <w:spacing w:after="0" w:line="252" w:lineRule="auto"/>
      </w:pPr>
      <w:r>
        <w:t>Les é</w:t>
      </w:r>
      <w:r w:rsidR="00926DF1" w:rsidRPr="0006783E">
        <w:t>tudes d’ingénierie</w:t>
      </w:r>
      <w:r>
        <w:t xml:space="preserve"> </w:t>
      </w:r>
      <w:r w:rsidR="00926DF1" w:rsidRPr="0006783E">
        <w:t>ainsi que les études de suivi de réalisation et la coordination des travaux. Pour les études réalisées en interne, les dépenses seront limitées à 10% de l’ensemble des autres dépenses éligibles ; le pourcentage de ces coûts au regard des dépenses éligibles totales devra être validé par un CAC ou un expert-comptable externe ;</w:t>
      </w:r>
    </w:p>
    <w:p w14:paraId="7CB6DE58" w14:textId="77777777" w:rsidR="00926DF1" w:rsidRPr="0006783E" w:rsidRDefault="00926DF1" w:rsidP="00F459D6">
      <w:pPr>
        <w:pStyle w:val="Paragraphedeliste"/>
        <w:numPr>
          <w:ilvl w:val="0"/>
          <w:numId w:val="9"/>
        </w:numPr>
        <w:spacing w:after="0" w:line="252" w:lineRule="auto"/>
      </w:pPr>
      <w:r w:rsidRPr="0006783E">
        <w:t>Les dépenses externes de formation du personnel, dans la limite de 5% des autres dépenses éligibles.</w:t>
      </w:r>
      <w:r w:rsidRPr="0006783E">
        <w:rPr>
          <w:sz w:val="24"/>
          <w:szCs w:val="24"/>
        </w:rPr>
        <w:t xml:space="preserve"> </w:t>
      </w:r>
    </w:p>
    <w:p w14:paraId="0179344A" w14:textId="4E3F2158" w:rsidR="00366AFC" w:rsidRDefault="00926DF1" w:rsidP="00926DF1">
      <w:pPr>
        <w:spacing w:before="240"/>
      </w:pPr>
      <w:r w:rsidRPr="0006783E">
        <w:t>Ne sont notamment pas éligibles les pièces de rechange, les dépenses d’achat de terrain.</w:t>
      </w:r>
    </w:p>
    <w:p w14:paraId="3D7AD5F5" w14:textId="4604F170" w:rsidR="00ED49C7" w:rsidRDefault="00ED49C7" w:rsidP="00926DF1">
      <w:pPr>
        <w:spacing w:before="240"/>
        <w:sectPr w:rsidR="00ED49C7" w:rsidSect="00926DF1">
          <w:pgSz w:w="11906" w:h="16838" w:code="9"/>
          <w:pgMar w:top="1418" w:right="1418" w:bottom="1418" w:left="1418" w:header="709" w:footer="709" w:gutter="0"/>
          <w:cols w:space="708"/>
          <w:docGrid w:linePitch="360"/>
        </w:sectPr>
      </w:pPr>
    </w:p>
    <w:p w14:paraId="7FEA658C" w14:textId="7E541771" w:rsidR="00A63FD4" w:rsidRDefault="00A63FD4" w:rsidP="00A63FD4">
      <w:pPr>
        <w:pStyle w:val="Titre1"/>
        <w:numPr>
          <w:ilvl w:val="0"/>
          <w:numId w:val="0"/>
        </w:numPr>
        <w:rPr>
          <w:b/>
        </w:rPr>
      </w:pPr>
      <w:bookmarkStart w:id="65" w:name="_Toc95386124"/>
      <w:r>
        <w:rPr>
          <w:b/>
        </w:rPr>
        <w:t>Annexe C</w:t>
      </w:r>
      <w:r w:rsidRPr="000B00DF">
        <w:rPr>
          <w:b/>
        </w:rPr>
        <w:t xml:space="preserve"> :  </w:t>
      </w:r>
      <w:r>
        <w:rPr>
          <w:b/>
        </w:rPr>
        <w:t>Dates de relèves prévisionnelles de l’AAP</w:t>
      </w:r>
      <w:bookmarkEnd w:id="65"/>
    </w:p>
    <w:p w14:paraId="7B145770" w14:textId="4D9D9048" w:rsidR="00A63FD4" w:rsidRDefault="00A63FD4" w:rsidP="00A63FD4"/>
    <w:p w14:paraId="30B4F379" w14:textId="0B51090C" w:rsidR="00A63FD4" w:rsidRDefault="00A63FD4" w:rsidP="00A63FD4"/>
    <w:p w14:paraId="0FFBB827" w14:textId="77777777" w:rsidR="00A63FD4" w:rsidRPr="00154343" w:rsidRDefault="00A63FD4" w:rsidP="00A63FD4">
      <w:pPr>
        <w:autoSpaceDE w:val="0"/>
        <w:autoSpaceDN w:val="0"/>
        <w:rPr>
          <w:rFonts w:cstheme="minorHAnsi"/>
          <w:b/>
          <w:sz w:val="28"/>
          <w:szCs w:val="28"/>
        </w:rPr>
      </w:pPr>
      <w:r>
        <w:rPr>
          <w:rFonts w:cstheme="minorHAnsi"/>
          <w:b/>
          <w:sz w:val="28"/>
          <w:szCs w:val="28"/>
        </w:rPr>
        <w:t xml:space="preserve">Relèves </w:t>
      </w:r>
      <w:r w:rsidRPr="00154343">
        <w:rPr>
          <w:rFonts w:cstheme="minorHAnsi"/>
          <w:b/>
          <w:sz w:val="28"/>
          <w:szCs w:val="28"/>
        </w:rPr>
        <w:t xml:space="preserve">2022 : </w:t>
      </w:r>
    </w:p>
    <w:p w14:paraId="46D472A1" w14:textId="77777777" w:rsidR="00A63FD4" w:rsidRPr="00154343" w:rsidRDefault="00A63FD4" w:rsidP="00A63FD4">
      <w:pPr>
        <w:autoSpaceDE w:val="0"/>
        <w:autoSpaceDN w:val="0"/>
        <w:rPr>
          <w:rFonts w:cstheme="minorHAnsi"/>
          <w:b/>
          <w:sz w:val="28"/>
          <w:szCs w:val="28"/>
        </w:rPr>
      </w:pPr>
    </w:p>
    <w:p w14:paraId="5F3E68BF" w14:textId="77777777" w:rsidR="00A63FD4" w:rsidRPr="00154343" w:rsidRDefault="00A63FD4" w:rsidP="00A63FD4">
      <w:pPr>
        <w:pStyle w:val="Paragraphedeliste"/>
        <w:numPr>
          <w:ilvl w:val="0"/>
          <w:numId w:val="21"/>
        </w:numPr>
        <w:autoSpaceDE w:val="0"/>
        <w:autoSpaceDN w:val="0"/>
        <w:spacing w:after="0"/>
        <w:rPr>
          <w:rFonts w:cstheme="minorHAnsi"/>
          <w:sz w:val="28"/>
          <w:szCs w:val="28"/>
        </w:rPr>
      </w:pPr>
      <w:r w:rsidRPr="00154343">
        <w:rPr>
          <w:rFonts w:cstheme="minorHAnsi"/>
          <w:sz w:val="28"/>
          <w:szCs w:val="28"/>
        </w:rPr>
        <w:t>30 juin</w:t>
      </w:r>
    </w:p>
    <w:p w14:paraId="7845548E" w14:textId="77777777" w:rsidR="00A63FD4" w:rsidRPr="00154343" w:rsidRDefault="00A63FD4" w:rsidP="00A63FD4">
      <w:pPr>
        <w:pStyle w:val="Paragraphedeliste"/>
        <w:numPr>
          <w:ilvl w:val="0"/>
          <w:numId w:val="21"/>
        </w:numPr>
        <w:autoSpaceDE w:val="0"/>
        <w:autoSpaceDN w:val="0"/>
        <w:spacing w:after="0"/>
        <w:rPr>
          <w:rFonts w:cstheme="minorHAnsi"/>
          <w:sz w:val="28"/>
          <w:szCs w:val="28"/>
        </w:rPr>
      </w:pPr>
      <w:r w:rsidRPr="00154343">
        <w:rPr>
          <w:rFonts w:cstheme="minorHAnsi"/>
          <w:sz w:val="28"/>
          <w:szCs w:val="28"/>
        </w:rPr>
        <w:t>15 octobre</w:t>
      </w:r>
    </w:p>
    <w:p w14:paraId="16C9BE61" w14:textId="77777777" w:rsidR="00A63FD4" w:rsidRPr="00154343" w:rsidRDefault="00A63FD4" w:rsidP="00A63FD4">
      <w:pPr>
        <w:autoSpaceDE w:val="0"/>
        <w:autoSpaceDN w:val="0"/>
        <w:rPr>
          <w:rFonts w:cstheme="minorHAnsi"/>
          <w:b/>
          <w:sz w:val="28"/>
          <w:szCs w:val="28"/>
        </w:rPr>
      </w:pPr>
    </w:p>
    <w:p w14:paraId="54994D34" w14:textId="7591D282" w:rsidR="00A63FD4" w:rsidRPr="00154343" w:rsidRDefault="00A63FD4" w:rsidP="00A63FD4">
      <w:pPr>
        <w:autoSpaceDE w:val="0"/>
        <w:autoSpaceDN w:val="0"/>
        <w:rPr>
          <w:rFonts w:cstheme="minorHAnsi"/>
          <w:b/>
          <w:sz w:val="28"/>
          <w:szCs w:val="28"/>
        </w:rPr>
      </w:pPr>
      <w:r>
        <w:rPr>
          <w:rFonts w:cstheme="minorHAnsi"/>
          <w:b/>
          <w:sz w:val="28"/>
          <w:szCs w:val="28"/>
        </w:rPr>
        <w:t xml:space="preserve">Relèves </w:t>
      </w:r>
      <w:r w:rsidRPr="00154343">
        <w:rPr>
          <w:rFonts w:cstheme="minorHAnsi"/>
          <w:b/>
          <w:sz w:val="28"/>
          <w:szCs w:val="28"/>
        </w:rPr>
        <w:t xml:space="preserve">2023 et 2024, et années suivantes </w:t>
      </w:r>
      <w:bookmarkStart w:id="66" w:name="_GoBack"/>
      <w:bookmarkEnd w:id="66"/>
      <w:r w:rsidRPr="00154343">
        <w:rPr>
          <w:rFonts w:cstheme="minorHAnsi"/>
          <w:b/>
          <w:sz w:val="28"/>
          <w:szCs w:val="28"/>
        </w:rPr>
        <w:t>:</w:t>
      </w:r>
    </w:p>
    <w:p w14:paraId="1833A60D" w14:textId="77777777" w:rsidR="00A63FD4" w:rsidRPr="00154343" w:rsidRDefault="00A63FD4" w:rsidP="00A63FD4">
      <w:pPr>
        <w:autoSpaceDE w:val="0"/>
        <w:autoSpaceDN w:val="0"/>
        <w:rPr>
          <w:rFonts w:cstheme="minorHAnsi"/>
          <w:b/>
          <w:sz w:val="28"/>
          <w:szCs w:val="28"/>
        </w:rPr>
      </w:pPr>
    </w:p>
    <w:p w14:paraId="1075F241" w14:textId="77777777" w:rsidR="00A63FD4" w:rsidRPr="00154343" w:rsidRDefault="00A63FD4" w:rsidP="00A63FD4">
      <w:pPr>
        <w:pStyle w:val="Paragraphedeliste"/>
        <w:numPr>
          <w:ilvl w:val="0"/>
          <w:numId w:val="21"/>
        </w:numPr>
        <w:autoSpaceDE w:val="0"/>
        <w:autoSpaceDN w:val="0"/>
        <w:spacing w:after="0"/>
        <w:rPr>
          <w:rFonts w:cstheme="minorHAnsi"/>
          <w:sz w:val="28"/>
          <w:szCs w:val="28"/>
        </w:rPr>
      </w:pPr>
      <w:r w:rsidRPr="00154343">
        <w:rPr>
          <w:rFonts w:cstheme="minorHAnsi"/>
          <w:sz w:val="28"/>
          <w:szCs w:val="28"/>
        </w:rPr>
        <w:t>31 mai</w:t>
      </w:r>
    </w:p>
    <w:p w14:paraId="17DB5D90" w14:textId="77777777" w:rsidR="00A63FD4" w:rsidRPr="00154343" w:rsidRDefault="00A63FD4" w:rsidP="00A63FD4">
      <w:pPr>
        <w:pStyle w:val="Paragraphedeliste"/>
        <w:numPr>
          <w:ilvl w:val="0"/>
          <w:numId w:val="21"/>
        </w:numPr>
        <w:autoSpaceDE w:val="0"/>
        <w:autoSpaceDN w:val="0"/>
        <w:spacing w:after="0"/>
        <w:rPr>
          <w:rFonts w:cstheme="minorHAnsi"/>
          <w:sz w:val="28"/>
          <w:szCs w:val="28"/>
        </w:rPr>
      </w:pPr>
      <w:r w:rsidRPr="00154343">
        <w:rPr>
          <w:rFonts w:cstheme="minorHAnsi"/>
          <w:sz w:val="28"/>
          <w:szCs w:val="28"/>
        </w:rPr>
        <w:t>15 octobre</w:t>
      </w:r>
    </w:p>
    <w:p w14:paraId="3ED4BB9F" w14:textId="77777777" w:rsidR="00A63FD4" w:rsidRPr="00A63FD4" w:rsidRDefault="00A63FD4" w:rsidP="00A63FD4"/>
    <w:p w14:paraId="01C91D5E" w14:textId="74A769A3" w:rsidR="00E77DED" w:rsidRDefault="00E77DED" w:rsidP="00BB2298">
      <w:pPr>
        <w:spacing w:after="221"/>
      </w:pPr>
    </w:p>
    <w:sectPr w:rsidR="00E77DED" w:rsidSect="00BB229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BACC" w14:textId="77777777" w:rsidR="00E16959" w:rsidRDefault="00E16959" w:rsidP="00E03096">
      <w:r>
        <w:separator/>
      </w:r>
    </w:p>
    <w:p w14:paraId="3750EBE4" w14:textId="77777777" w:rsidR="00E16959" w:rsidRDefault="00E16959" w:rsidP="00E03096"/>
  </w:endnote>
  <w:endnote w:type="continuationSeparator" w:id="0">
    <w:p w14:paraId="76EBA804" w14:textId="77777777" w:rsidR="00E16959" w:rsidRDefault="00E16959" w:rsidP="00E03096">
      <w:r>
        <w:continuationSeparator/>
      </w:r>
    </w:p>
    <w:p w14:paraId="4999887B" w14:textId="77777777" w:rsidR="00E16959" w:rsidRDefault="00E16959" w:rsidP="00E03096"/>
  </w:endnote>
  <w:endnote w:type="continuationNotice" w:id="1">
    <w:p w14:paraId="33BD6664" w14:textId="77777777" w:rsidR="00E16959" w:rsidRDefault="00E16959" w:rsidP="00E03096"/>
    <w:p w14:paraId="040DC9A6" w14:textId="77777777" w:rsidR="00E16959" w:rsidRDefault="00E16959" w:rsidP="00E03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Marianne Thin">
    <w:panose1 w:val="02000000000000000000"/>
    <w:charset w:val="00"/>
    <w:family w:val="auto"/>
    <w:pitch w:val="variable"/>
    <w:sig w:usb0="0000000F"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rlito">
    <w:panose1 w:val="020F0502020204030204"/>
    <w:charset w:val="00"/>
    <w:family w:val="swiss"/>
    <w:pitch w:val="variable"/>
    <w:sig w:usb0="E10002FF" w:usb1="5000E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82635"/>
      <w:docPartObj>
        <w:docPartGallery w:val="Page Numbers (Bottom of Page)"/>
        <w:docPartUnique/>
      </w:docPartObj>
    </w:sdtPr>
    <w:sdtEndPr>
      <w:rPr>
        <w:sz w:val="16"/>
      </w:rPr>
    </w:sdtEndPr>
    <w:sdtContent>
      <w:p w14:paraId="4B503F60" w14:textId="0B53DAD7" w:rsidR="004947CF" w:rsidRPr="00553E78" w:rsidRDefault="004947CF" w:rsidP="00087058">
        <w:pPr>
          <w:pStyle w:val="Pieddepage"/>
          <w:jc w:val="left"/>
          <w:rPr>
            <w:sz w:val="16"/>
          </w:rPr>
        </w:pPr>
        <w:r>
          <w:rPr>
            <w:rFonts w:eastAsia="Times New Roman"/>
            <w:color w:val="000000"/>
            <w:sz w:val="18"/>
            <w:szCs w:val="18"/>
          </w:rPr>
          <w:t xml:space="preserve">France 2030 – AAP </w:t>
        </w:r>
        <w:r w:rsidRPr="00087058">
          <w:rPr>
            <w:rFonts w:eastAsia="Times New Roman"/>
            <w:color w:val="000000"/>
            <w:sz w:val="18"/>
            <w:szCs w:val="18"/>
          </w:rPr>
          <w:t>AIDE A L’INVESTISSEMENT DE L’OFFRE INDUSTRIELLE DES ENERGIES RENOUVELABLES</w:t>
        </w:r>
        <w:r>
          <w:rPr>
            <w:rFonts w:eastAsia="Times New Roman"/>
            <w:color w:val="000000"/>
            <w:sz w:val="18"/>
            <w:szCs w:val="18"/>
          </w:rPr>
          <w:tab/>
        </w:r>
        <w:r>
          <w:rPr>
            <w:rFonts w:eastAsia="Times New Roman"/>
            <w:color w:val="000000"/>
            <w:sz w:val="18"/>
            <w:szCs w:val="18"/>
          </w:rPr>
          <w:tab/>
          <w:t xml:space="preserve">                           </w:t>
        </w:r>
        <w:r w:rsidRPr="00553E78">
          <w:rPr>
            <w:sz w:val="16"/>
          </w:rPr>
          <w:fldChar w:fldCharType="begin"/>
        </w:r>
        <w:r w:rsidRPr="00553E78">
          <w:rPr>
            <w:sz w:val="16"/>
          </w:rPr>
          <w:instrText>PAGE   \* MERGEFORMAT</w:instrText>
        </w:r>
        <w:r w:rsidRPr="00553E78">
          <w:rPr>
            <w:sz w:val="16"/>
          </w:rPr>
          <w:fldChar w:fldCharType="separate"/>
        </w:r>
        <w:r w:rsidR="00427F01">
          <w:rPr>
            <w:noProof/>
            <w:sz w:val="16"/>
          </w:rPr>
          <w:t>3</w:t>
        </w:r>
        <w:r w:rsidRPr="00553E78">
          <w:rPr>
            <w:sz w:val="16"/>
          </w:rPr>
          <w:fldChar w:fldCharType="end"/>
        </w:r>
      </w:p>
    </w:sdtContent>
  </w:sdt>
  <w:p w14:paraId="226BFE7D" w14:textId="77777777" w:rsidR="004947CF" w:rsidRDefault="004947CF" w:rsidP="00E030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E1176" w14:textId="77777777" w:rsidR="00E16959" w:rsidRDefault="00E16959" w:rsidP="00E03096">
      <w:r>
        <w:separator/>
      </w:r>
    </w:p>
    <w:p w14:paraId="1EE0AA05" w14:textId="77777777" w:rsidR="00E16959" w:rsidRDefault="00E16959" w:rsidP="00E03096"/>
  </w:footnote>
  <w:footnote w:type="continuationSeparator" w:id="0">
    <w:p w14:paraId="628C520B" w14:textId="77777777" w:rsidR="00E16959" w:rsidRDefault="00E16959" w:rsidP="00E03096">
      <w:r>
        <w:continuationSeparator/>
      </w:r>
    </w:p>
    <w:p w14:paraId="3C345081" w14:textId="77777777" w:rsidR="00E16959" w:rsidRDefault="00E16959" w:rsidP="00E03096"/>
  </w:footnote>
  <w:footnote w:type="continuationNotice" w:id="1">
    <w:p w14:paraId="508A542A" w14:textId="77777777" w:rsidR="00E16959" w:rsidRDefault="00E16959" w:rsidP="00E03096"/>
    <w:p w14:paraId="65CBBED3" w14:textId="77777777" w:rsidR="00E16959" w:rsidRDefault="00E16959" w:rsidP="00E03096"/>
  </w:footnote>
  <w:footnote w:id="2">
    <w:p w14:paraId="3557BCFB" w14:textId="77777777" w:rsidR="008A4E88" w:rsidRDefault="008A4E88" w:rsidP="008A4E88">
      <w:pPr>
        <w:pStyle w:val="Notedebasdepage"/>
      </w:pPr>
      <w:r>
        <w:rPr>
          <w:rStyle w:val="Appelnotedebasdep"/>
        </w:rPr>
        <w:footnoteRef/>
      </w:r>
      <w:r>
        <w:t xml:space="preserve"> </w:t>
      </w:r>
      <w:proofErr w:type="gramStart"/>
      <w:r>
        <w:t>sous</w:t>
      </w:r>
      <w:proofErr w:type="gramEnd"/>
      <w:r>
        <w:t xml:space="preserve"> réserve de publication de l’arrêté du Premier ministre approuvant le cahier des charges de cet appel à projets</w:t>
      </w:r>
    </w:p>
  </w:footnote>
  <w:footnote w:id="3">
    <w:p w14:paraId="3E9A08B2" w14:textId="77777777" w:rsidR="004947CF" w:rsidRDefault="004947CF" w:rsidP="00F74F88">
      <w:pPr>
        <w:pStyle w:val="Notedebasdepage"/>
        <w:rPr>
          <w:rFonts w:asciiTheme="minorHAnsi" w:hAnsiTheme="minorHAnsi"/>
        </w:rPr>
      </w:pPr>
      <w:r>
        <w:rPr>
          <w:rStyle w:val="Appelnotedebasdep"/>
        </w:rPr>
        <w:footnoteRef/>
      </w:r>
      <w:r>
        <w:t xml:space="preserve"> </w:t>
      </w:r>
      <w:r>
        <w:rPr>
          <w:rFonts w:ascii="Marianne" w:hAnsi="Marianne"/>
          <w:sz w:val="16"/>
          <w:szCs w:val="16"/>
        </w:rPr>
        <w:t>Au sens de l’article 17 du règlement sur la taxonomie (règlement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 w:id="4">
    <w:p w14:paraId="364C7805" w14:textId="77777777" w:rsidR="004947CF" w:rsidRDefault="004947CF" w:rsidP="00F74F88">
      <w:pPr>
        <w:pStyle w:val="Notedebasdepage"/>
      </w:pPr>
      <w:r>
        <w:rPr>
          <w:rStyle w:val="Appelnotedebasdep"/>
        </w:rPr>
        <w:footnoteRef/>
      </w:r>
      <w:r>
        <w:t xml:space="preserve"> </w:t>
      </w:r>
      <w:r>
        <w:rPr>
          <w:rFonts w:ascii="Marianne" w:hAnsi="Marianne"/>
          <w:sz w:val="16"/>
          <w:szCs w:val="16"/>
        </w:rPr>
        <w:t>ETI : entreprise qui emploie entre 250 et 4 999 salariés, et présente soit un chiffre d'affaires n'excédant pas 1,5 milliard d'euros soit un total de bilan n'excédant pas 2 milliards d'euros</w:t>
      </w:r>
    </w:p>
  </w:footnote>
  <w:footnote w:id="5">
    <w:p w14:paraId="5EE1583E" w14:textId="77777777" w:rsidR="004947CF" w:rsidRDefault="004947CF" w:rsidP="00C475FC">
      <w:pPr>
        <w:pStyle w:val="Notedebasdepage"/>
        <w:rPr>
          <w:rFonts w:asciiTheme="minorHAnsi" w:hAnsiTheme="minorHAnsi"/>
        </w:rPr>
      </w:pPr>
      <w:r>
        <w:rPr>
          <w:rStyle w:val="Appelnotedebasdep"/>
        </w:rPr>
        <w:footnoteRef/>
      </w:r>
      <w:r>
        <w:t xml:space="preserve"> </w:t>
      </w:r>
      <w:r>
        <w:rPr>
          <w:rFonts w:cstheme="minorHAnsi"/>
          <w:sz w:val="18"/>
        </w:rPr>
        <w:t>Si l’entreprise est une « </w:t>
      </w:r>
      <w:hyperlink r:id="rId1" w:history="1">
        <w:r>
          <w:rPr>
            <w:rStyle w:val="LienInternet"/>
            <w:rFonts w:cstheme="minorHAnsi"/>
            <w:sz w:val="18"/>
          </w:rPr>
          <w:t>entreprise en difficulté</w:t>
        </w:r>
      </w:hyperlink>
      <w:r>
        <w:rPr>
          <w:rFonts w:cstheme="minorHAnsi"/>
          <w:sz w:val="18"/>
        </w:rPr>
        <w:t xml:space="preserve"> » </w:t>
      </w:r>
      <w:r>
        <w:rPr>
          <w:sz w:val="18"/>
          <w:lang w:eastAsia="fr-FR"/>
        </w:rPr>
        <w:t>au sens de l’article 2 point 18 du règlement général d’exemption par catégories avant le 31 décembre 2019</w:t>
      </w:r>
      <w:r>
        <w:rPr>
          <w:rFonts w:cstheme="minorHAnsi"/>
          <w:sz w:val="18"/>
        </w:rPr>
        <w:t>, son projet déposé ne sera considéré comme éligible et donc instruit que si elle présente lors du dépôt de son dossier des éléments probants et jugés satisfaisants par l’Opérateur justifiant sa sortie du statut d’ « entreprise en difficulté » avant la décision sur le financement potentiel.</w:t>
      </w:r>
    </w:p>
  </w:footnote>
  <w:footnote w:id="6">
    <w:p w14:paraId="0EB8C534" w14:textId="77777777" w:rsidR="004947CF" w:rsidRDefault="004947CF" w:rsidP="00A9182C">
      <w:pPr>
        <w:pStyle w:val="Notedebasdepage"/>
      </w:pPr>
      <w:r w:rsidRPr="00636176">
        <w:rPr>
          <w:rStyle w:val="Appelnotedebasdep"/>
        </w:rPr>
        <w:footnoteRef/>
      </w:r>
      <w:r w:rsidRPr="00636176">
        <w:t xml:space="preserve"> </w:t>
      </w:r>
      <w:r w:rsidRPr="00636176">
        <w:rPr>
          <w:sz w:val="18"/>
        </w:rPr>
        <w:t>En accord avec le RGEC, une</w:t>
      </w:r>
      <w:r w:rsidRPr="00636176">
        <w:rPr>
          <w:color w:val="000000"/>
          <w:sz w:val="18"/>
        </w:rPr>
        <w:t xml:space="preserve"> demande d'aide doit </w:t>
      </w:r>
      <w:proofErr w:type="gramStart"/>
      <w:r w:rsidRPr="00636176">
        <w:rPr>
          <w:color w:val="000000"/>
          <w:sz w:val="18"/>
        </w:rPr>
        <w:t>a</w:t>
      </w:r>
      <w:proofErr w:type="gramEnd"/>
      <w:r w:rsidRPr="00636176">
        <w:rPr>
          <w:color w:val="000000"/>
          <w:sz w:val="18"/>
        </w:rPr>
        <w:t xml:space="preserve"> minima contenir les informations suivantes : a) le nom et la taille d</w:t>
      </w:r>
      <w:r>
        <w:rPr>
          <w:color w:val="000000"/>
          <w:sz w:val="18"/>
        </w:rPr>
        <w:t>e la société</w:t>
      </w:r>
      <w:r w:rsidRPr="00636176">
        <w:rPr>
          <w:color w:val="000000"/>
          <w:sz w:val="18"/>
        </w:rPr>
        <w:t xml:space="preserve"> porteur de projet; b) une description du projet, y compris ses dates de début et de fin ; c) la localisation du projet ; d) une liste des coûts admissibles ; e) le type d’aide sollicitée (subvention, avance récupérable) f) le montant de l’aide sollicitée.</w:t>
      </w:r>
    </w:p>
  </w:footnote>
  <w:footnote w:id="7">
    <w:p w14:paraId="777A2CDF" w14:textId="3799D417" w:rsidR="00C819BA" w:rsidRDefault="00C819BA" w:rsidP="00C819BA">
      <w:pPr>
        <w:spacing w:before="120" w:after="120"/>
      </w:pPr>
      <w:r>
        <w:rPr>
          <w:rStyle w:val="Appelnotedebasdep"/>
        </w:rPr>
        <w:footnoteRef/>
      </w:r>
      <w:r>
        <w:t xml:space="preserve"> </w:t>
      </w:r>
      <w:r w:rsidRPr="00C819BA">
        <w:rPr>
          <w:sz w:val="18"/>
          <w:szCs w:val="18"/>
        </w:rPr>
        <w:t>Le RGEC défini par ailleurs le «</w:t>
      </w:r>
      <w:r w:rsidRPr="00C819BA">
        <w:rPr>
          <w:rFonts w:ascii="Calibri" w:hAnsi="Calibri" w:cs="Calibri"/>
          <w:sz w:val="18"/>
          <w:szCs w:val="18"/>
        </w:rPr>
        <w:t> </w:t>
      </w:r>
      <w:r w:rsidRPr="00C819BA">
        <w:rPr>
          <w:sz w:val="18"/>
          <w:szCs w:val="18"/>
        </w:rPr>
        <w:t>d</w:t>
      </w:r>
      <w:r w:rsidRPr="00C819BA">
        <w:rPr>
          <w:rFonts w:cs="Marianne Thin"/>
          <w:sz w:val="18"/>
          <w:szCs w:val="18"/>
        </w:rPr>
        <w:t>é</w:t>
      </w:r>
      <w:r w:rsidRPr="00C819BA">
        <w:rPr>
          <w:sz w:val="18"/>
          <w:szCs w:val="18"/>
        </w:rPr>
        <w:t>but des travaux</w:t>
      </w:r>
      <w:r w:rsidRPr="00C819BA">
        <w:rPr>
          <w:rFonts w:ascii="Calibri" w:hAnsi="Calibri" w:cs="Calibri"/>
          <w:sz w:val="18"/>
          <w:szCs w:val="18"/>
        </w:rPr>
        <w:t> </w:t>
      </w:r>
      <w:r w:rsidRPr="00C819BA">
        <w:rPr>
          <w:rFonts w:cs="Marianne Thin"/>
          <w:sz w:val="18"/>
          <w:szCs w:val="18"/>
        </w:rPr>
        <w:t>»</w:t>
      </w:r>
      <w:r w:rsidRPr="00C819BA">
        <w:rPr>
          <w:sz w:val="18"/>
          <w:szCs w:val="18"/>
        </w:rPr>
        <w:t xml:space="preserve"> comme </w:t>
      </w:r>
      <w:r w:rsidRPr="00C819BA">
        <w:rPr>
          <w:rFonts w:cs="Marianne Thin"/>
          <w:sz w:val="18"/>
          <w:szCs w:val="18"/>
        </w:rPr>
        <w:t>«</w:t>
      </w:r>
      <w:r w:rsidRPr="00C819BA">
        <w:rPr>
          <w:rFonts w:ascii="Calibri" w:hAnsi="Calibri" w:cs="Calibri"/>
          <w:sz w:val="18"/>
          <w:szCs w:val="18"/>
        </w:rPr>
        <w:t> </w:t>
      </w:r>
      <w:r w:rsidRPr="00C819BA">
        <w:rPr>
          <w:sz w:val="18"/>
          <w:szCs w:val="18"/>
        </w:rPr>
        <w:t>soit le d</w:t>
      </w:r>
      <w:r w:rsidRPr="00C819BA">
        <w:rPr>
          <w:rFonts w:cs="Marianne Thin"/>
          <w:sz w:val="18"/>
          <w:szCs w:val="18"/>
        </w:rPr>
        <w:t>é</w:t>
      </w:r>
      <w:r w:rsidRPr="00C819BA">
        <w:rPr>
          <w:sz w:val="18"/>
          <w:szCs w:val="18"/>
        </w:rPr>
        <w:t>but des travaux de construction li</w:t>
      </w:r>
      <w:r w:rsidRPr="00C819BA">
        <w:rPr>
          <w:rFonts w:cs="Marianne Thin"/>
          <w:sz w:val="18"/>
          <w:szCs w:val="18"/>
        </w:rPr>
        <w:t>é</w:t>
      </w:r>
      <w:r w:rsidRPr="00C819BA">
        <w:rPr>
          <w:sz w:val="18"/>
          <w:szCs w:val="18"/>
        </w:rPr>
        <w:t xml:space="preserve">s </w:t>
      </w:r>
      <w:r w:rsidRPr="00C819BA">
        <w:rPr>
          <w:rFonts w:cs="Marianne Thin"/>
          <w:sz w:val="18"/>
          <w:szCs w:val="18"/>
        </w:rPr>
        <w:t>à</w:t>
      </w:r>
      <w:r w:rsidRPr="00C819BA">
        <w:rPr>
          <w:sz w:val="18"/>
          <w:szCs w:val="18"/>
        </w:rPr>
        <w:t xml:space="preserve"> l'investissement, soit le premier engagement juridiquement contraignant de commande d'équipement ou tout autre engagement rendant l'investissement irréversible, selon l'événement qui se produit en premier.</w:t>
      </w:r>
      <w:r w:rsidRPr="000078E2">
        <w:t xml:space="preserve"> </w:t>
      </w:r>
    </w:p>
  </w:footnote>
  <w:footnote w:id="8">
    <w:p w14:paraId="71986CE3" w14:textId="0CBE4A32" w:rsidR="00C819BA" w:rsidRDefault="00C819BA">
      <w:pPr>
        <w:pStyle w:val="Notedebasdepage"/>
      </w:pPr>
      <w:r>
        <w:rPr>
          <w:rStyle w:val="Appelnotedebasdep"/>
        </w:rPr>
        <w:footnoteRef/>
      </w:r>
      <w:r>
        <w:t xml:space="preserve"> </w:t>
      </w:r>
      <w:r w:rsidRPr="00C819BA">
        <w:rPr>
          <w:sz w:val="18"/>
          <w:szCs w:val="18"/>
        </w:rPr>
        <w:t>Attention à bien prendre en compte ce délai de validation par tous les partenaires participant au projet pour le dépôt du dossier.</w:t>
      </w:r>
    </w:p>
  </w:footnote>
  <w:footnote w:id="9">
    <w:p w14:paraId="6E88D4DC" w14:textId="77777777" w:rsidR="004947CF" w:rsidRDefault="004947CF" w:rsidP="00C32530">
      <w:pPr>
        <w:pStyle w:val="Notedebasdepage"/>
      </w:pPr>
      <w:r>
        <w:rPr>
          <w:rStyle w:val="Appelnotedebasdep"/>
        </w:rPr>
        <w:footnoteRef/>
      </w:r>
      <w:r>
        <w:t xml:space="preserve"> Définition dans le règlement (UE) 1407/2013, article 2, paragraphe 2</w:t>
      </w:r>
    </w:p>
  </w:footnote>
  <w:footnote w:id="10">
    <w:p w14:paraId="125AF4B6" w14:textId="77777777" w:rsidR="004947CF" w:rsidRDefault="004947CF" w:rsidP="00C32530">
      <w:pPr>
        <w:pStyle w:val="Notedebasdepage"/>
      </w:pPr>
      <w:r>
        <w:rPr>
          <w:rStyle w:val="Appelnotedebasdep"/>
        </w:rPr>
        <w:footnoteRef/>
      </w:r>
      <w:r>
        <w:t xml:space="preserve"> Selon les taux d’intensité d’aide fixés par la prochaine carte des aides à finalité régionale pour la période 2022-2027 et sous réserve d’une confirmation de l’utilisation de ces taux par la Commission européenne dans le cadre du régime d’aides à la relance durable.</w:t>
      </w:r>
    </w:p>
  </w:footnote>
  <w:footnote w:id="11">
    <w:p w14:paraId="466A961A" w14:textId="77777777" w:rsidR="004947CF" w:rsidRDefault="004947CF" w:rsidP="00C32530">
      <w:pPr>
        <w:pStyle w:val="Notedebasdepage"/>
      </w:pPr>
      <w:r>
        <w:rPr>
          <w:rStyle w:val="Appelnotedebasdep"/>
        </w:rPr>
        <w:footnoteRef/>
      </w:r>
      <w:r>
        <w:t xml:space="preserve"> </w:t>
      </w:r>
      <w:r>
        <w:rPr>
          <w:color w:val="000000"/>
          <w:sz w:val="18"/>
          <w:szCs w:val="18"/>
        </w:rPr>
        <w:t>Sous réserve que celle-ci soit d’un code NACE à 4 chiffres différents de ceux dont relèvent les activités en cours sur l’établissement considéré). L’aide aux services de conseil extérieur associée au projet est éligible pour les PME/ TPE</w:t>
      </w:r>
      <w:r>
        <w:rPr>
          <w:color w:val="000000"/>
        </w:rPr>
        <w:t>.</w:t>
      </w:r>
      <w:r>
        <w:rPr>
          <w:color w:val="000000"/>
          <w:sz w:val="23"/>
          <w:szCs w:val="23"/>
        </w:rPr>
        <w:t xml:space="preserve"> </w:t>
      </w:r>
    </w:p>
  </w:footnote>
  <w:footnote w:id="12">
    <w:p w14:paraId="020D2ED4" w14:textId="77777777" w:rsidR="004947CF" w:rsidRDefault="004947CF" w:rsidP="00C32530">
      <w:pPr>
        <w:pStyle w:val="Notedebasdepage"/>
      </w:pPr>
      <w:r>
        <w:rPr>
          <w:rStyle w:val="Appelnotedebasdep"/>
        </w:rPr>
        <w:footnoteRef/>
      </w:r>
      <w:r>
        <w:t xml:space="preserve"> Les matières recyclées ou réemployées seraient, à défaut, éliminées ou traitées d'une façon moins respectueuse de l'environnement. Les aides en faveur des opérations de valorisation autres que le recyclage ne sont pas autorisées au titre de ce régime. Les aides ne doivent pas avoir pour effet de soulager indirectement les pollueurs de charges qu'ils devraient supporter en vertu du droit de l'UE, ou de charges devant être considérées comme des coûts normaux pour une entreprise. Les investissements n'ont pas pour seul effet d'accroître la demande de matières à recycler sans que cela ne débouche sur une intensification de la collecte desdites matières. Les investissements vont au-delà de l'état de la technique.</w:t>
      </w:r>
    </w:p>
  </w:footnote>
  <w:footnote w:id="13">
    <w:p w14:paraId="4ECA2427" w14:textId="77777777" w:rsidR="004947CF" w:rsidRDefault="004947CF" w:rsidP="00C32530">
      <w:pPr>
        <w:pStyle w:val="Notedebasdepage"/>
        <w:rPr>
          <w:rFonts w:cstheme="minorHAnsi"/>
          <w:sz w:val="18"/>
          <w:szCs w:val="18"/>
        </w:rPr>
      </w:pPr>
      <w:r>
        <w:rPr>
          <w:rStyle w:val="Appelnotedebasdep"/>
          <w:rFonts w:cstheme="minorHAnsi"/>
          <w:sz w:val="18"/>
          <w:szCs w:val="18"/>
        </w:rPr>
        <w:footnoteRef/>
      </w:r>
      <w:r>
        <w:rPr>
          <w:rFonts w:cstheme="minorHAnsi"/>
          <w:sz w:val="18"/>
          <w:szCs w:val="18"/>
        </w:rPr>
        <w:t xml:space="preserve"> Entreprise de moins de 50 salariés et dont le chiffre d’affaires et le total de bilan annuel n’excède pas 10 M€ et satisfaisant au critère d’indépendance de la recommandation 2003/361/CE de la Commission, du 6 mai 2003.</w:t>
      </w:r>
    </w:p>
  </w:footnote>
  <w:footnote w:id="14">
    <w:p w14:paraId="3BD9BB4C" w14:textId="77777777" w:rsidR="004947CF" w:rsidRDefault="004947CF" w:rsidP="00C32530">
      <w:pPr>
        <w:pStyle w:val="textecourant"/>
        <w:spacing w:after="0" w:line="240" w:lineRule="auto"/>
        <w:jc w:val="both"/>
      </w:pPr>
      <w:r>
        <w:rPr>
          <w:rStyle w:val="Appelnotedebasdep"/>
          <w:rFonts w:asciiTheme="minorHAnsi" w:hAnsiTheme="minorHAnsi" w:cstheme="minorHAnsi"/>
          <w:sz w:val="18"/>
          <w:szCs w:val="18"/>
        </w:rPr>
        <w:footnoteRef/>
      </w:r>
      <w:r>
        <w:rPr>
          <w:rFonts w:asciiTheme="minorHAnsi" w:hAnsiTheme="minorHAnsi" w:cstheme="minorHAnsi"/>
        </w:rPr>
        <w:t xml:space="preserve"> </w:t>
      </w:r>
      <w:r w:rsidRPr="008B6F8A">
        <w:rPr>
          <w:rFonts w:ascii="Marianne Thin" w:eastAsiaTheme="minorHAnsi" w:hAnsi="Marianne Thin" w:cstheme="minorHAnsi"/>
          <w:noProof w:val="0"/>
          <w:sz w:val="18"/>
          <w:szCs w:val="18"/>
          <w:lang w:eastAsia="en-US"/>
        </w:rPr>
        <w:t>Entreprise de moins de 250 salariés et dont le chiffre d’affaires n’excède pas 50</w:t>
      </w:r>
      <w:r w:rsidRPr="008B6F8A">
        <w:rPr>
          <w:rFonts w:ascii="Calibri" w:eastAsiaTheme="minorHAnsi" w:hAnsi="Calibri" w:cs="Calibri"/>
          <w:noProof w:val="0"/>
          <w:sz w:val="18"/>
          <w:szCs w:val="18"/>
          <w:lang w:eastAsia="en-US"/>
        </w:rPr>
        <w:t> </w:t>
      </w:r>
      <w:r w:rsidRPr="008B6F8A">
        <w:rPr>
          <w:rFonts w:ascii="Marianne Thin" w:eastAsiaTheme="minorHAnsi" w:hAnsi="Marianne Thin" w:cstheme="minorHAnsi"/>
          <w:noProof w:val="0"/>
          <w:sz w:val="18"/>
          <w:szCs w:val="18"/>
          <w:lang w:eastAsia="en-US"/>
        </w:rPr>
        <w:t>M</w:t>
      </w:r>
      <w:r w:rsidRPr="008B6F8A">
        <w:rPr>
          <w:rFonts w:ascii="Marianne Thin" w:eastAsiaTheme="minorHAnsi" w:hAnsi="Marianne Thin" w:cs="Marianne Thin"/>
          <w:noProof w:val="0"/>
          <w:sz w:val="18"/>
          <w:szCs w:val="18"/>
          <w:lang w:eastAsia="en-US"/>
        </w:rPr>
        <w:t>€</w:t>
      </w:r>
      <w:r w:rsidRPr="008B6F8A">
        <w:rPr>
          <w:rFonts w:ascii="Marianne Thin" w:eastAsiaTheme="minorHAnsi" w:hAnsi="Marianne Thin" w:cstheme="minorHAnsi"/>
          <w:noProof w:val="0"/>
          <w:sz w:val="18"/>
          <w:szCs w:val="18"/>
          <w:lang w:eastAsia="en-US"/>
        </w:rPr>
        <w:t xml:space="preserve"> ou dont le total de bilan annuel n’excède pas 43 M€ et satisfaisant au critère d’indépendance visé par la recommandation 2003/361/CE de la Commission, du 6 mai 2003 (régime N215/2009).</w:t>
      </w:r>
    </w:p>
  </w:footnote>
  <w:footnote w:id="15">
    <w:p w14:paraId="2AF315E6" w14:textId="77777777" w:rsidR="004947CF" w:rsidRDefault="004947CF" w:rsidP="00C32530">
      <w:pPr>
        <w:pStyle w:val="Notedebasdepage"/>
        <w:rPr>
          <w:sz w:val="18"/>
        </w:rPr>
      </w:pPr>
      <w:r>
        <w:rPr>
          <w:rStyle w:val="Appelnotedebasdep"/>
          <w:sz w:val="18"/>
        </w:rPr>
        <w:footnoteRef/>
      </w:r>
      <w:r>
        <w:rPr>
          <w:sz w:val="18"/>
        </w:rPr>
        <w:t xml:space="preserve"> Les intensités d’aides varient selon les régimes mobilisables lors de l’instruction des dossiers et selon les dossiers.</w:t>
      </w:r>
    </w:p>
  </w:footnote>
  <w:footnote w:id="16">
    <w:p w14:paraId="4A9BD060" w14:textId="77777777" w:rsidR="004947CF" w:rsidRDefault="004947CF" w:rsidP="00C32530">
      <w:pPr>
        <w:pStyle w:val="Notedebasdepage"/>
      </w:pPr>
      <w:r>
        <w:rPr>
          <w:rStyle w:val="Appelnotedebasdep"/>
          <w:sz w:val="18"/>
        </w:rPr>
        <w:footnoteRef/>
      </w:r>
      <w:r>
        <w:rPr>
          <w:sz w:val="18"/>
        </w:rPr>
        <w:t xml:space="preserve"> Pour les projets d’investissements inférieurs à 50 millions d’euros. Au-delà, l’intensité d’aide est dégressive. </w:t>
      </w:r>
    </w:p>
  </w:footnote>
  <w:footnote w:id="17">
    <w:p w14:paraId="5695D913" w14:textId="77777777" w:rsidR="004947CF" w:rsidRDefault="004947CF" w:rsidP="00C32530">
      <w:pPr>
        <w:pStyle w:val="textecourant"/>
        <w:spacing w:after="0" w:line="240" w:lineRule="auto"/>
        <w:contextualSpacing/>
        <w:jc w:val="both"/>
        <w:rPr>
          <w:rFonts w:asciiTheme="minorHAnsi" w:hAnsiTheme="minorHAnsi" w:cstheme="minorHAnsi"/>
          <w:sz w:val="18"/>
          <w:szCs w:val="18"/>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w:t>
      </w:r>
      <w:proofErr w:type="gramStart"/>
      <w:r w:rsidRPr="008B6F8A">
        <w:rPr>
          <w:rFonts w:ascii="Marianne Thin" w:eastAsiaTheme="minorHAnsi" w:hAnsi="Marianne Thin" w:cstheme="minorBidi"/>
          <w:noProof w:val="0"/>
          <w:sz w:val="18"/>
          <w:szCs w:val="20"/>
          <w:lang w:eastAsia="en-US"/>
        </w:rPr>
        <w:t>Les taux maximum</w:t>
      </w:r>
      <w:proofErr w:type="gramEnd"/>
      <w:r w:rsidRPr="008B6F8A">
        <w:rPr>
          <w:rFonts w:ascii="Marianne Thin" w:eastAsiaTheme="minorHAnsi" w:hAnsi="Marianne Thin" w:cstheme="minorBidi"/>
          <w:noProof w:val="0"/>
          <w:sz w:val="18"/>
          <w:szCs w:val="20"/>
          <w:lang w:eastAsia="en-US"/>
        </w:rPr>
        <w:t xml:space="preserve"> peuvent être atteints uniquement dans les cas de création d’un nouvel établissement ou de diversification d’activité au sein d’un établissement existant en zone AFR et sous réserve que celle-ci soit d’un code NACE à 4 chiffres différents de ceux dont relèvent les activités en cours sur l’établissement considéré.</w:t>
      </w:r>
    </w:p>
  </w:footnote>
  <w:footnote w:id="18">
    <w:p w14:paraId="4DB5A4D0" w14:textId="77777777" w:rsidR="004947CF" w:rsidRDefault="004947CF" w:rsidP="00C32530">
      <w:pPr>
        <w:pStyle w:val="textecourant"/>
        <w:spacing w:after="0" w:line="240" w:lineRule="auto"/>
        <w:contextualSpacing/>
        <w:jc w:val="both"/>
        <w:rPr>
          <w:rFonts w:asciiTheme="minorHAnsi" w:hAnsiTheme="minorHAnsi"/>
        </w:rPr>
      </w:pPr>
      <w:r>
        <w:rPr>
          <w:rStyle w:val="Appelnotedebasdep"/>
          <w:rFonts w:asciiTheme="minorHAnsi" w:hAnsiTheme="minorHAnsi" w:cstheme="minorHAnsi"/>
          <w:sz w:val="18"/>
          <w:szCs w:val="18"/>
        </w:rPr>
        <w:footnoteRef/>
      </w:r>
      <w:r>
        <w:rPr>
          <w:rFonts w:asciiTheme="minorHAnsi" w:hAnsiTheme="minorHAnsi" w:cstheme="minorHAnsi"/>
          <w:sz w:val="18"/>
          <w:szCs w:val="18"/>
        </w:rPr>
        <w:t xml:space="preserve"> </w:t>
      </w:r>
      <w:r w:rsidRPr="008B6F8A">
        <w:rPr>
          <w:rFonts w:ascii="Marianne Thin" w:eastAsiaTheme="minorHAnsi" w:hAnsi="Marianne Thin" w:cstheme="minorHAnsi"/>
          <w:noProof w:val="0"/>
          <w:sz w:val="18"/>
          <w:szCs w:val="18"/>
          <w:lang w:eastAsia="en-US"/>
        </w:rPr>
        <w:t xml:space="preserve">En zone AFR, </w:t>
      </w:r>
      <w:proofErr w:type="gramStart"/>
      <w:r w:rsidRPr="008B6F8A">
        <w:rPr>
          <w:rFonts w:ascii="Marianne Thin" w:eastAsiaTheme="minorHAnsi" w:hAnsi="Marianne Thin" w:cstheme="minorHAnsi"/>
          <w:noProof w:val="0"/>
          <w:sz w:val="18"/>
          <w:szCs w:val="18"/>
          <w:lang w:eastAsia="en-US"/>
        </w:rPr>
        <w:t>les taux maximum</w:t>
      </w:r>
      <w:proofErr w:type="gramEnd"/>
      <w:r w:rsidRPr="008B6F8A">
        <w:rPr>
          <w:rFonts w:ascii="Marianne Thin" w:eastAsiaTheme="minorHAnsi" w:hAnsi="Marianne Thin" w:cstheme="minorHAnsi"/>
          <w:noProof w:val="0"/>
          <w:sz w:val="18"/>
          <w:szCs w:val="18"/>
          <w:lang w:eastAsia="en-US"/>
        </w:rPr>
        <w:t xml:space="preserve"> autorisés par les encadrements européens sont augmentés de 5 points.</w:t>
      </w:r>
    </w:p>
  </w:footnote>
  <w:footnote w:id="19">
    <w:p w14:paraId="4C80A384" w14:textId="0DFD6C8A" w:rsidR="004947CF" w:rsidRDefault="004947CF" w:rsidP="00C32530">
      <w:pPr>
        <w:pStyle w:val="Notedebasdepage"/>
        <w:rPr>
          <w:rFonts w:asciiTheme="minorHAnsi" w:hAnsiTheme="minorHAnsi"/>
        </w:rPr>
      </w:pPr>
      <w:r>
        <w:rPr>
          <w:rFonts w:eastAsia="Times New Roman" w:cstheme="minorHAnsi"/>
          <w:noProof/>
          <w:sz w:val="18"/>
          <w:szCs w:val="18"/>
          <w:lang w:eastAsia="fr-FR"/>
        </w:rPr>
        <w:footnoteRef/>
      </w:r>
      <w:r>
        <w:rPr>
          <w:rFonts w:eastAsia="Times New Roman" w:cstheme="minorHAnsi"/>
          <w:noProof/>
          <w:sz w:val="18"/>
          <w:szCs w:val="18"/>
          <w:lang w:eastAsia="fr-FR"/>
        </w:rPr>
        <w:t xml:space="preserve"> Une collaboration effective existe : entre des entreprises parmi lesquelles figure au moins une PME, ou est menée dans au moins deux États membres, ou dans un État membre et une partie contractante à l’accord EEE, et aucune entreprise unique ne supporte seule plus de 70 % des coûts admissibles ou entre une entreprise et un ou plusieurs organismes de recherche et de diffusion des connaissances, et ce ou ces derniers supportent au moins 10 % des coûts admissibles et ont le droit de publier les résultats de leurs propres recherches. Une collaboration effective implique une collaboration entre au moins deux parties indépendantes l’une de l’autre visant à échanger des connaissances ou des technologies, ou à atteindre un objectif commun, fondée sur une division du travail impliquant que les parties définissent conjointement la portée du projet collaboratif, contribuent à sa réalisation, et en partagent les risques et les résultats. Une ou plusieurs parties peuvent supporter l’intégralité des coûts du projet et donc soustraire d’autres parties à tout risque financier. Les contrats de recherche et la fourniture de services de recherche ne sont pas considérés comme des formes de collaboration</w:t>
      </w:r>
      <w:r>
        <w:t xml:space="preserve">. </w:t>
      </w:r>
    </w:p>
  </w:footnote>
  <w:footnote w:id="20">
    <w:p w14:paraId="0254D054" w14:textId="77777777" w:rsidR="004947CF" w:rsidRDefault="004947CF" w:rsidP="00926DF1">
      <w:pPr>
        <w:pStyle w:val="Notedebasdepage"/>
      </w:pPr>
      <w:r w:rsidRPr="00AF5229">
        <w:rPr>
          <w:rStyle w:val="Appelnotedebasdep"/>
          <w:sz w:val="18"/>
        </w:rPr>
        <w:footnoteRef/>
      </w:r>
      <w:r w:rsidRPr="00AF5229">
        <w:rPr>
          <w:sz w:val="18"/>
        </w:rPr>
        <w:t xml:space="preserve"> </w:t>
      </w:r>
      <w:r w:rsidRPr="00AF5229">
        <w:rPr>
          <w:sz w:val="18"/>
          <w:szCs w:val="23"/>
        </w:rPr>
        <w:t>Règlement (UE) 2020/852 sur l’établissement d’un cadre visant à favoriser les investissements durables, en mettant en place un système de classification (ou « taxonomie ») pour les activités économiques durables sur le plan environnemental, publié au journal officiel de l’UE le 22 juin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4F27293"/>
    <w:multiLevelType w:val="hybridMultilevel"/>
    <w:tmpl w:val="A9E06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2A29E5"/>
    <w:multiLevelType w:val="hybridMultilevel"/>
    <w:tmpl w:val="B81EEC16"/>
    <w:lvl w:ilvl="0" w:tplc="95488A22">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880F02"/>
    <w:multiLevelType w:val="hybridMultilevel"/>
    <w:tmpl w:val="0386A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C2DE4"/>
    <w:multiLevelType w:val="multilevel"/>
    <w:tmpl w:val="63AE9BE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D96355D"/>
    <w:multiLevelType w:val="hybridMultilevel"/>
    <w:tmpl w:val="7416E6AA"/>
    <w:lvl w:ilvl="0" w:tplc="89AAA91E">
      <w:start w:val="1"/>
      <w:numFmt w:val="bullet"/>
      <w:pStyle w:val="Listes"/>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7F13DE"/>
    <w:multiLevelType w:val="hybridMultilevel"/>
    <w:tmpl w:val="B960236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FE54880"/>
    <w:multiLevelType w:val="hybridMultilevel"/>
    <w:tmpl w:val="63FC10EA"/>
    <w:lvl w:ilvl="0" w:tplc="C2DADD96">
      <w:start w:val="1"/>
      <w:numFmt w:val="bullet"/>
      <w:lvlText w:val="-"/>
      <w:lvlJc w:val="left"/>
      <w:pPr>
        <w:ind w:left="720" w:hanging="360"/>
      </w:pPr>
      <w:rPr>
        <w:rFonts w:ascii="Calibri" w:eastAsiaTheme="minorHAns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A454CC"/>
    <w:multiLevelType w:val="hybridMultilevel"/>
    <w:tmpl w:val="B960236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15:restartNumberingAfterBreak="0">
    <w:nsid w:val="2CF874C5"/>
    <w:multiLevelType w:val="hybridMultilevel"/>
    <w:tmpl w:val="0CE2A1DA"/>
    <w:lvl w:ilvl="0" w:tplc="040C000B">
      <w:start w:val="1"/>
      <w:numFmt w:val="bullet"/>
      <w:lvlText w:val=""/>
      <w:lvlJc w:val="left"/>
      <w:pPr>
        <w:ind w:left="283"/>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A0FA1692">
      <w:start w:val="1"/>
      <w:numFmt w:val="bullet"/>
      <w:lvlText w:val="o"/>
      <w:lvlJc w:val="left"/>
      <w:pPr>
        <w:ind w:left="1066"/>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1D165F92">
      <w:start w:val="1"/>
      <w:numFmt w:val="bullet"/>
      <w:lvlText w:val="▪"/>
      <w:lvlJc w:val="left"/>
      <w:pPr>
        <w:ind w:left="17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07456D6">
      <w:start w:val="1"/>
      <w:numFmt w:val="bullet"/>
      <w:lvlText w:val="•"/>
      <w:lvlJc w:val="left"/>
      <w:pPr>
        <w:ind w:left="25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DAE875E6">
      <w:start w:val="1"/>
      <w:numFmt w:val="bullet"/>
      <w:lvlText w:val="o"/>
      <w:lvlJc w:val="left"/>
      <w:pPr>
        <w:ind w:left="322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4121386">
      <w:start w:val="1"/>
      <w:numFmt w:val="bullet"/>
      <w:lvlText w:val="▪"/>
      <w:lvlJc w:val="left"/>
      <w:pPr>
        <w:ind w:left="394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3E4A2FA">
      <w:start w:val="1"/>
      <w:numFmt w:val="bullet"/>
      <w:lvlText w:val="•"/>
      <w:lvlJc w:val="left"/>
      <w:pPr>
        <w:ind w:left="46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B810E4C8">
      <w:start w:val="1"/>
      <w:numFmt w:val="bullet"/>
      <w:lvlText w:val="o"/>
      <w:lvlJc w:val="left"/>
      <w:pPr>
        <w:ind w:left="538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AAEEE9A">
      <w:start w:val="1"/>
      <w:numFmt w:val="bullet"/>
      <w:lvlText w:val="▪"/>
      <w:lvlJc w:val="left"/>
      <w:pPr>
        <w:ind w:left="61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8313E4"/>
    <w:multiLevelType w:val="hybridMultilevel"/>
    <w:tmpl w:val="A4524E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721536"/>
    <w:multiLevelType w:val="hybridMultilevel"/>
    <w:tmpl w:val="CDA276DE"/>
    <w:lvl w:ilvl="0" w:tplc="C182400E">
      <w:start w:val="1"/>
      <w:numFmt w:val="bullet"/>
      <w:pStyle w:val="Titre3"/>
      <w:lvlText w:val=""/>
      <w:lvlJc w:val="left"/>
      <w:pPr>
        <w:ind w:left="720"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295836"/>
    <w:multiLevelType w:val="hybridMultilevel"/>
    <w:tmpl w:val="B66E14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38CE0748"/>
    <w:multiLevelType w:val="hybridMultilevel"/>
    <w:tmpl w:val="06F64A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1C72740"/>
    <w:multiLevelType w:val="hybridMultilevel"/>
    <w:tmpl w:val="5B6CC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F8080B"/>
    <w:multiLevelType w:val="multilevel"/>
    <w:tmpl w:val="93CEF194"/>
    <w:lvl w:ilvl="0">
      <w:start w:val="1"/>
      <w:numFmt w:val="decimal"/>
      <w:pStyle w:val="Titre1"/>
      <w:lvlText w:val="%1."/>
      <w:lvlJc w:val="left"/>
      <w:pPr>
        <w:ind w:left="2345" w:hanging="360"/>
      </w:pPr>
    </w:lvl>
    <w:lvl w:ilvl="1">
      <w:start w:val="1"/>
      <w:numFmt w:val="decimal"/>
      <w:pStyle w:val="Titre2"/>
      <w:lvlText w:val="%1.%2."/>
      <w:lvlJc w:val="left"/>
      <w:pPr>
        <w:ind w:left="8513"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6B7B09"/>
    <w:multiLevelType w:val="hybridMultilevel"/>
    <w:tmpl w:val="BF70BD5C"/>
    <w:lvl w:ilvl="0" w:tplc="040C000B">
      <w:start w:val="1"/>
      <w:numFmt w:val="bullet"/>
      <w:lvlText w:val=""/>
      <w:lvlJc w:val="left"/>
      <w:pPr>
        <w:ind w:left="765" w:hanging="360"/>
      </w:pPr>
      <w:rPr>
        <w:rFonts w:ascii="Wingdings" w:hAnsi="Wingdings"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7" w15:restartNumberingAfterBreak="0">
    <w:nsid w:val="533E4528"/>
    <w:multiLevelType w:val="multilevel"/>
    <w:tmpl w:val="C44AF45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B539BC"/>
    <w:multiLevelType w:val="hybridMultilevel"/>
    <w:tmpl w:val="B5725DD6"/>
    <w:lvl w:ilvl="0" w:tplc="C052AB5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CED4199"/>
    <w:multiLevelType w:val="hybridMultilevel"/>
    <w:tmpl w:val="FF40006E"/>
    <w:lvl w:ilvl="0" w:tplc="C29672BC">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12232F8"/>
    <w:multiLevelType w:val="hybridMultilevel"/>
    <w:tmpl w:val="9624856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61C936E4"/>
    <w:multiLevelType w:val="hybridMultilevel"/>
    <w:tmpl w:val="275C3FAE"/>
    <w:lvl w:ilvl="0" w:tplc="49A241DA">
      <w:start w:val="1"/>
      <w:numFmt w:val="bullet"/>
      <w:lvlText w:val="-"/>
      <w:lvlJc w:val="left"/>
      <w:pPr>
        <w:ind w:left="3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A5CC2730">
      <w:start w:val="1"/>
      <w:numFmt w:val="bullet"/>
      <w:lvlText w:val="o"/>
      <w:lvlJc w:val="left"/>
      <w:pPr>
        <w:ind w:left="10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A6381ED6">
      <w:start w:val="1"/>
      <w:numFmt w:val="bullet"/>
      <w:lvlText w:val="▪"/>
      <w:lvlJc w:val="left"/>
      <w:pPr>
        <w:ind w:left="18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82C43E64">
      <w:start w:val="1"/>
      <w:numFmt w:val="bullet"/>
      <w:lvlText w:val="•"/>
      <w:lvlJc w:val="left"/>
      <w:pPr>
        <w:ind w:left="25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F566DB5C">
      <w:start w:val="1"/>
      <w:numFmt w:val="bullet"/>
      <w:lvlText w:val="o"/>
      <w:lvlJc w:val="left"/>
      <w:pPr>
        <w:ind w:left="32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D31449D4">
      <w:start w:val="1"/>
      <w:numFmt w:val="bullet"/>
      <w:lvlText w:val="▪"/>
      <w:lvlJc w:val="left"/>
      <w:pPr>
        <w:ind w:left="39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D00A8A5C">
      <w:start w:val="1"/>
      <w:numFmt w:val="bullet"/>
      <w:lvlText w:val="•"/>
      <w:lvlJc w:val="left"/>
      <w:pPr>
        <w:ind w:left="46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5BFA015A">
      <w:start w:val="1"/>
      <w:numFmt w:val="bullet"/>
      <w:lvlText w:val="o"/>
      <w:lvlJc w:val="left"/>
      <w:pPr>
        <w:ind w:left="54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38625324">
      <w:start w:val="1"/>
      <w:numFmt w:val="bullet"/>
      <w:lvlText w:val="▪"/>
      <w:lvlJc w:val="left"/>
      <w:pPr>
        <w:ind w:left="61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22" w15:restartNumberingAfterBreak="0">
    <w:nsid w:val="6AE472A2"/>
    <w:multiLevelType w:val="hybridMultilevel"/>
    <w:tmpl w:val="CF58E4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47E47A4"/>
    <w:multiLevelType w:val="hybridMultilevel"/>
    <w:tmpl w:val="0BE0F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85404C"/>
    <w:multiLevelType w:val="hybridMultilevel"/>
    <w:tmpl w:val="97AC2A10"/>
    <w:lvl w:ilvl="0" w:tplc="040C0001">
      <w:start w:val="1"/>
      <w:numFmt w:val="bullet"/>
      <w:lvlText w:val=""/>
      <w:lvlJc w:val="left"/>
      <w:pPr>
        <w:ind w:left="720" w:hanging="360"/>
      </w:pPr>
      <w:rPr>
        <w:rFonts w:ascii="Symbol" w:hAnsi="Symbol" w:hint="default"/>
      </w:rPr>
    </w:lvl>
    <w:lvl w:ilvl="1" w:tplc="009493D8">
      <w:numFmt w:val="bullet"/>
      <w:lvlText w:val="•"/>
      <w:lvlJc w:val="left"/>
      <w:pPr>
        <w:ind w:left="1800" w:hanging="720"/>
      </w:pPr>
      <w:rPr>
        <w:rFonts w:ascii="Marianne" w:eastAsia="Arial" w:hAnsi="Marianne"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93B18BB"/>
    <w:multiLevelType w:val="hybridMultilevel"/>
    <w:tmpl w:val="EF16D1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7F326AF3"/>
    <w:multiLevelType w:val="multilevel"/>
    <w:tmpl w:val="6BEA791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13"/>
  </w:num>
  <w:num w:numId="3">
    <w:abstractNumId w:val="11"/>
  </w:num>
  <w:num w:numId="4">
    <w:abstractNumId w:val="22"/>
  </w:num>
  <w:num w:numId="5">
    <w:abstractNumId w:val="4"/>
  </w:num>
  <w:num w:numId="6">
    <w:abstractNumId w:val="26"/>
  </w:num>
  <w:num w:numId="7">
    <w:abstractNumId w:val="24"/>
  </w:num>
  <w:num w:numId="8">
    <w:abstractNumId w:val="1"/>
  </w:num>
  <w:num w:numId="9">
    <w:abstractNumId w:val="16"/>
  </w:num>
  <w:num w:numId="10">
    <w:abstractNumId w:val="5"/>
  </w:num>
  <w:num w:numId="11">
    <w:abstractNumId w:val="10"/>
  </w:num>
  <w:num w:numId="12">
    <w:abstractNumId w:val="9"/>
  </w:num>
  <w:num w:numId="13">
    <w:abstractNumId w:val="3"/>
  </w:num>
  <w:num w:numId="14">
    <w:abstractNumId w:val="1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2"/>
  </w:num>
  <w:num w:numId="23">
    <w:abstractNumId w:val="18"/>
  </w:num>
  <w:num w:numId="24">
    <w:abstractNumId w:val="7"/>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1"/>
  </w:num>
  <w:num w:numId="29">
    <w:abstractNumId w:val="6"/>
  </w:num>
  <w:num w:numId="30">
    <w:abstractNumId w:val="14"/>
  </w:num>
  <w:num w:numId="31">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4E"/>
    <w:rsid w:val="0000099E"/>
    <w:rsid w:val="00000BEC"/>
    <w:rsid w:val="0000267D"/>
    <w:rsid w:val="00005244"/>
    <w:rsid w:val="00005297"/>
    <w:rsid w:val="000065F1"/>
    <w:rsid w:val="00012EB3"/>
    <w:rsid w:val="00013563"/>
    <w:rsid w:val="00014747"/>
    <w:rsid w:val="00020A23"/>
    <w:rsid w:val="00020B42"/>
    <w:rsid w:val="00020C75"/>
    <w:rsid w:val="00022AC7"/>
    <w:rsid w:val="000233A8"/>
    <w:rsid w:val="00023609"/>
    <w:rsid w:val="00023FC2"/>
    <w:rsid w:val="000248D6"/>
    <w:rsid w:val="0002654F"/>
    <w:rsid w:val="00027E4D"/>
    <w:rsid w:val="00031595"/>
    <w:rsid w:val="000316F5"/>
    <w:rsid w:val="00032E6F"/>
    <w:rsid w:val="0003527A"/>
    <w:rsid w:val="000372BD"/>
    <w:rsid w:val="0004090A"/>
    <w:rsid w:val="0004159C"/>
    <w:rsid w:val="00041E15"/>
    <w:rsid w:val="00041E8A"/>
    <w:rsid w:val="00042848"/>
    <w:rsid w:val="000476B6"/>
    <w:rsid w:val="00047D19"/>
    <w:rsid w:val="0005032E"/>
    <w:rsid w:val="00052770"/>
    <w:rsid w:val="000529E8"/>
    <w:rsid w:val="0005349B"/>
    <w:rsid w:val="000553DA"/>
    <w:rsid w:val="00055476"/>
    <w:rsid w:val="00061330"/>
    <w:rsid w:val="00061F22"/>
    <w:rsid w:val="000621D0"/>
    <w:rsid w:val="00064686"/>
    <w:rsid w:val="00064C0B"/>
    <w:rsid w:val="00065B81"/>
    <w:rsid w:val="0006631A"/>
    <w:rsid w:val="00067057"/>
    <w:rsid w:val="000675CC"/>
    <w:rsid w:val="00070BD4"/>
    <w:rsid w:val="0007217C"/>
    <w:rsid w:val="0007412F"/>
    <w:rsid w:val="0007586F"/>
    <w:rsid w:val="00080019"/>
    <w:rsid w:val="00083074"/>
    <w:rsid w:val="00083BB7"/>
    <w:rsid w:val="00084A96"/>
    <w:rsid w:val="00087058"/>
    <w:rsid w:val="000904AC"/>
    <w:rsid w:val="00090559"/>
    <w:rsid w:val="00091123"/>
    <w:rsid w:val="00092C9B"/>
    <w:rsid w:val="000A1E61"/>
    <w:rsid w:val="000A3E46"/>
    <w:rsid w:val="000A4EA2"/>
    <w:rsid w:val="000A62BE"/>
    <w:rsid w:val="000A64A1"/>
    <w:rsid w:val="000A78D3"/>
    <w:rsid w:val="000B00DF"/>
    <w:rsid w:val="000B16C2"/>
    <w:rsid w:val="000B306F"/>
    <w:rsid w:val="000B43E4"/>
    <w:rsid w:val="000B7DB9"/>
    <w:rsid w:val="000C0E08"/>
    <w:rsid w:val="000C1C0C"/>
    <w:rsid w:val="000C4848"/>
    <w:rsid w:val="000C676C"/>
    <w:rsid w:val="000D11B2"/>
    <w:rsid w:val="000E0603"/>
    <w:rsid w:val="000E3925"/>
    <w:rsid w:val="000F06F9"/>
    <w:rsid w:val="000F1504"/>
    <w:rsid w:val="000F1B50"/>
    <w:rsid w:val="000F1C52"/>
    <w:rsid w:val="000F3332"/>
    <w:rsid w:val="000F3B60"/>
    <w:rsid w:val="000F4165"/>
    <w:rsid w:val="000F5763"/>
    <w:rsid w:val="000F61B1"/>
    <w:rsid w:val="000F7385"/>
    <w:rsid w:val="00100220"/>
    <w:rsid w:val="00103176"/>
    <w:rsid w:val="00110C30"/>
    <w:rsid w:val="00111359"/>
    <w:rsid w:val="0011164E"/>
    <w:rsid w:val="00112E21"/>
    <w:rsid w:val="0011697F"/>
    <w:rsid w:val="00116EDE"/>
    <w:rsid w:val="001220BB"/>
    <w:rsid w:val="001256A4"/>
    <w:rsid w:val="00125ED2"/>
    <w:rsid w:val="001314AC"/>
    <w:rsid w:val="00134EB3"/>
    <w:rsid w:val="001352FF"/>
    <w:rsid w:val="00136A0E"/>
    <w:rsid w:val="00141BD3"/>
    <w:rsid w:val="00141CED"/>
    <w:rsid w:val="0014241A"/>
    <w:rsid w:val="0014351D"/>
    <w:rsid w:val="00143BCB"/>
    <w:rsid w:val="001440B4"/>
    <w:rsid w:val="00150741"/>
    <w:rsid w:val="001523D7"/>
    <w:rsid w:val="00153373"/>
    <w:rsid w:val="00153E14"/>
    <w:rsid w:val="00154DB6"/>
    <w:rsid w:val="00157D46"/>
    <w:rsid w:val="00160141"/>
    <w:rsid w:val="001602B1"/>
    <w:rsid w:val="001617B4"/>
    <w:rsid w:val="00165BC7"/>
    <w:rsid w:val="0016613E"/>
    <w:rsid w:val="0016620B"/>
    <w:rsid w:val="001665D6"/>
    <w:rsid w:val="001665F5"/>
    <w:rsid w:val="00170405"/>
    <w:rsid w:val="00171305"/>
    <w:rsid w:val="001729BF"/>
    <w:rsid w:val="00172A86"/>
    <w:rsid w:val="001742AA"/>
    <w:rsid w:val="00181C0F"/>
    <w:rsid w:val="00181C31"/>
    <w:rsid w:val="00181D7C"/>
    <w:rsid w:val="00182D77"/>
    <w:rsid w:val="00183544"/>
    <w:rsid w:val="00184384"/>
    <w:rsid w:val="00185680"/>
    <w:rsid w:val="00185D38"/>
    <w:rsid w:val="00186AE5"/>
    <w:rsid w:val="00187F9D"/>
    <w:rsid w:val="001912EB"/>
    <w:rsid w:val="001A112C"/>
    <w:rsid w:val="001A2120"/>
    <w:rsid w:val="001A2608"/>
    <w:rsid w:val="001A3F27"/>
    <w:rsid w:val="001A5141"/>
    <w:rsid w:val="001A5451"/>
    <w:rsid w:val="001B10B3"/>
    <w:rsid w:val="001B1175"/>
    <w:rsid w:val="001B58CA"/>
    <w:rsid w:val="001B5BCD"/>
    <w:rsid w:val="001B6B40"/>
    <w:rsid w:val="001B71B2"/>
    <w:rsid w:val="001C0DAD"/>
    <w:rsid w:val="001C2229"/>
    <w:rsid w:val="001C2F39"/>
    <w:rsid w:val="001C3EC4"/>
    <w:rsid w:val="001C51DA"/>
    <w:rsid w:val="001C5C01"/>
    <w:rsid w:val="001D1063"/>
    <w:rsid w:val="001D23CC"/>
    <w:rsid w:val="001D29FE"/>
    <w:rsid w:val="001D4847"/>
    <w:rsid w:val="001D6339"/>
    <w:rsid w:val="001D7806"/>
    <w:rsid w:val="001E1419"/>
    <w:rsid w:val="001E2D0B"/>
    <w:rsid w:val="001E375A"/>
    <w:rsid w:val="001E3BE7"/>
    <w:rsid w:val="001E61C4"/>
    <w:rsid w:val="001E6E2B"/>
    <w:rsid w:val="001E7358"/>
    <w:rsid w:val="001E7899"/>
    <w:rsid w:val="001E7E69"/>
    <w:rsid w:val="001F07C1"/>
    <w:rsid w:val="001F0F21"/>
    <w:rsid w:val="001F0FD0"/>
    <w:rsid w:val="001F1330"/>
    <w:rsid w:val="001F5B55"/>
    <w:rsid w:val="002010BD"/>
    <w:rsid w:val="00203761"/>
    <w:rsid w:val="0020422D"/>
    <w:rsid w:val="002113AC"/>
    <w:rsid w:val="00211CE7"/>
    <w:rsid w:val="002168B2"/>
    <w:rsid w:val="00217B36"/>
    <w:rsid w:val="00221B5F"/>
    <w:rsid w:val="002275E5"/>
    <w:rsid w:val="002305E9"/>
    <w:rsid w:val="00230ACA"/>
    <w:rsid w:val="00232EFB"/>
    <w:rsid w:val="002331EF"/>
    <w:rsid w:val="0023357D"/>
    <w:rsid w:val="0023550B"/>
    <w:rsid w:val="0023589A"/>
    <w:rsid w:val="0023656D"/>
    <w:rsid w:val="00236D8D"/>
    <w:rsid w:val="0023731C"/>
    <w:rsid w:val="0024051D"/>
    <w:rsid w:val="00241C57"/>
    <w:rsid w:val="002434E5"/>
    <w:rsid w:val="00245BE2"/>
    <w:rsid w:val="00245D83"/>
    <w:rsid w:val="00245FA1"/>
    <w:rsid w:val="0025170B"/>
    <w:rsid w:val="0025575C"/>
    <w:rsid w:val="0025613F"/>
    <w:rsid w:val="002574C2"/>
    <w:rsid w:val="00262F37"/>
    <w:rsid w:val="002662F8"/>
    <w:rsid w:val="00266BDC"/>
    <w:rsid w:val="00267DFB"/>
    <w:rsid w:val="0027137D"/>
    <w:rsid w:val="0027503E"/>
    <w:rsid w:val="002758C6"/>
    <w:rsid w:val="00275D0A"/>
    <w:rsid w:val="00281840"/>
    <w:rsid w:val="00281DE1"/>
    <w:rsid w:val="00283FAB"/>
    <w:rsid w:val="00287779"/>
    <w:rsid w:val="00290C20"/>
    <w:rsid w:val="00294BC6"/>
    <w:rsid w:val="0029622B"/>
    <w:rsid w:val="002A177B"/>
    <w:rsid w:val="002B0F7E"/>
    <w:rsid w:val="002B3707"/>
    <w:rsid w:val="002B387A"/>
    <w:rsid w:val="002B725F"/>
    <w:rsid w:val="002B7718"/>
    <w:rsid w:val="002B7EC7"/>
    <w:rsid w:val="002C1BDC"/>
    <w:rsid w:val="002C351C"/>
    <w:rsid w:val="002D497B"/>
    <w:rsid w:val="002D4AE5"/>
    <w:rsid w:val="002E076F"/>
    <w:rsid w:val="002E1DE9"/>
    <w:rsid w:val="002E6AAC"/>
    <w:rsid w:val="002E7A4F"/>
    <w:rsid w:val="002F18DE"/>
    <w:rsid w:val="002F323C"/>
    <w:rsid w:val="002F3733"/>
    <w:rsid w:val="002F4611"/>
    <w:rsid w:val="002F65FC"/>
    <w:rsid w:val="003012FF"/>
    <w:rsid w:val="00301777"/>
    <w:rsid w:val="00302B20"/>
    <w:rsid w:val="0030322E"/>
    <w:rsid w:val="00305692"/>
    <w:rsid w:val="00305C76"/>
    <w:rsid w:val="00312840"/>
    <w:rsid w:val="00313335"/>
    <w:rsid w:val="0031398C"/>
    <w:rsid w:val="00315234"/>
    <w:rsid w:val="00315F24"/>
    <w:rsid w:val="00323C4C"/>
    <w:rsid w:val="00324617"/>
    <w:rsid w:val="00332F2F"/>
    <w:rsid w:val="00334238"/>
    <w:rsid w:val="003350FA"/>
    <w:rsid w:val="00335708"/>
    <w:rsid w:val="00337719"/>
    <w:rsid w:val="003406C1"/>
    <w:rsid w:val="00342618"/>
    <w:rsid w:val="00344591"/>
    <w:rsid w:val="003446BF"/>
    <w:rsid w:val="00347F9A"/>
    <w:rsid w:val="003504C7"/>
    <w:rsid w:val="00350CB1"/>
    <w:rsid w:val="003517CA"/>
    <w:rsid w:val="00364952"/>
    <w:rsid w:val="00365FAE"/>
    <w:rsid w:val="003664BD"/>
    <w:rsid w:val="00366AFC"/>
    <w:rsid w:val="00372239"/>
    <w:rsid w:val="003727E1"/>
    <w:rsid w:val="00373659"/>
    <w:rsid w:val="00374441"/>
    <w:rsid w:val="00375097"/>
    <w:rsid w:val="003758F8"/>
    <w:rsid w:val="0037722D"/>
    <w:rsid w:val="00383E34"/>
    <w:rsid w:val="00385445"/>
    <w:rsid w:val="00395F45"/>
    <w:rsid w:val="00397489"/>
    <w:rsid w:val="003A0445"/>
    <w:rsid w:val="003A330D"/>
    <w:rsid w:val="003B2C82"/>
    <w:rsid w:val="003B307A"/>
    <w:rsid w:val="003B594B"/>
    <w:rsid w:val="003C28E5"/>
    <w:rsid w:val="003C2DA4"/>
    <w:rsid w:val="003C625C"/>
    <w:rsid w:val="003D1828"/>
    <w:rsid w:val="003D2FBB"/>
    <w:rsid w:val="003D30BF"/>
    <w:rsid w:val="003D53C7"/>
    <w:rsid w:val="003D5BD5"/>
    <w:rsid w:val="003E0335"/>
    <w:rsid w:val="003E148E"/>
    <w:rsid w:val="003E18AB"/>
    <w:rsid w:val="003E5807"/>
    <w:rsid w:val="003E5DD0"/>
    <w:rsid w:val="003F0FB8"/>
    <w:rsid w:val="003F1F6F"/>
    <w:rsid w:val="003F277F"/>
    <w:rsid w:val="003F31DE"/>
    <w:rsid w:val="003F3241"/>
    <w:rsid w:val="003F5FE6"/>
    <w:rsid w:val="003F68D2"/>
    <w:rsid w:val="00405226"/>
    <w:rsid w:val="00406B60"/>
    <w:rsid w:val="00407833"/>
    <w:rsid w:val="004120BC"/>
    <w:rsid w:val="00417AD3"/>
    <w:rsid w:val="00421207"/>
    <w:rsid w:val="00421CF8"/>
    <w:rsid w:val="004234FE"/>
    <w:rsid w:val="00423D70"/>
    <w:rsid w:val="0042414C"/>
    <w:rsid w:val="00425B16"/>
    <w:rsid w:val="0042657D"/>
    <w:rsid w:val="00427B9E"/>
    <w:rsid w:val="00427F01"/>
    <w:rsid w:val="004364E7"/>
    <w:rsid w:val="00436989"/>
    <w:rsid w:val="004436E5"/>
    <w:rsid w:val="00444257"/>
    <w:rsid w:val="00445F35"/>
    <w:rsid w:val="0044703B"/>
    <w:rsid w:val="00451B02"/>
    <w:rsid w:val="00452C31"/>
    <w:rsid w:val="0045545E"/>
    <w:rsid w:val="00455846"/>
    <w:rsid w:val="00463069"/>
    <w:rsid w:val="00463247"/>
    <w:rsid w:val="004649D2"/>
    <w:rsid w:val="00466DCB"/>
    <w:rsid w:val="0047096B"/>
    <w:rsid w:val="00472776"/>
    <w:rsid w:val="0047406A"/>
    <w:rsid w:val="004776C9"/>
    <w:rsid w:val="00480ABB"/>
    <w:rsid w:val="00480D01"/>
    <w:rsid w:val="00487B82"/>
    <w:rsid w:val="004926E2"/>
    <w:rsid w:val="004947CF"/>
    <w:rsid w:val="004A00EA"/>
    <w:rsid w:val="004A0713"/>
    <w:rsid w:val="004A0E13"/>
    <w:rsid w:val="004A1A18"/>
    <w:rsid w:val="004A1A19"/>
    <w:rsid w:val="004A43CA"/>
    <w:rsid w:val="004A767B"/>
    <w:rsid w:val="004B023A"/>
    <w:rsid w:val="004B2B6B"/>
    <w:rsid w:val="004C09C1"/>
    <w:rsid w:val="004C1CD1"/>
    <w:rsid w:val="004C2023"/>
    <w:rsid w:val="004C204F"/>
    <w:rsid w:val="004C2B71"/>
    <w:rsid w:val="004C3F0F"/>
    <w:rsid w:val="004C5F5D"/>
    <w:rsid w:val="004C7CC7"/>
    <w:rsid w:val="004D0F4C"/>
    <w:rsid w:val="004D392F"/>
    <w:rsid w:val="004D5499"/>
    <w:rsid w:val="004D7BF5"/>
    <w:rsid w:val="004E375B"/>
    <w:rsid w:val="004E477A"/>
    <w:rsid w:val="004E6582"/>
    <w:rsid w:val="004F3206"/>
    <w:rsid w:val="004F4B94"/>
    <w:rsid w:val="00501284"/>
    <w:rsid w:val="00504106"/>
    <w:rsid w:val="00505597"/>
    <w:rsid w:val="005071E0"/>
    <w:rsid w:val="0051086B"/>
    <w:rsid w:val="00510996"/>
    <w:rsid w:val="00511282"/>
    <w:rsid w:val="0051149B"/>
    <w:rsid w:val="00511CC0"/>
    <w:rsid w:val="00512749"/>
    <w:rsid w:val="0051303A"/>
    <w:rsid w:val="00513A73"/>
    <w:rsid w:val="00513C57"/>
    <w:rsid w:val="00514EED"/>
    <w:rsid w:val="00516147"/>
    <w:rsid w:val="005164FC"/>
    <w:rsid w:val="00521E2A"/>
    <w:rsid w:val="005224DE"/>
    <w:rsid w:val="00523D39"/>
    <w:rsid w:val="00523FA5"/>
    <w:rsid w:val="00524EED"/>
    <w:rsid w:val="00525F2E"/>
    <w:rsid w:val="00526C81"/>
    <w:rsid w:val="005273CC"/>
    <w:rsid w:val="005305A0"/>
    <w:rsid w:val="00530B8B"/>
    <w:rsid w:val="005365F4"/>
    <w:rsid w:val="00536BEC"/>
    <w:rsid w:val="00537E7C"/>
    <w:rsid w:val="00542766"/>
    <w:rsid w:val="00545598"/>
    <w:rsid w:val="0054652A"/>
    <w:rsid w:val="00547258"/>
    <w:rsid w:val="005476DD"/>
    <w:rsid w:val="005504C5"/>
    <w:rsid w:val="0055334E"/>
    <w:rsid w:val="00553E78"/>
    <w:rsid w:val="00554981"/>
    <w:rsid w:val="00554EE3"/>
    <w:rsid w:val="00556E67"/>
    <w:rsid w:val="00557EC8"/>
    <w:rsid w:val="0056337B"/>
    <w:rsid w:val="00563FF8"/>
    <w:rsid w:val="00564EA1"/>
    <w:rsid w:val="00565E88"/>
    <w:rsid w:val="005660C5"/>
    <w:rsid w:val="00566741"/>
    <w:rsid w:val="00567086"/>
    <w:rsid w:val="00570E93"/>
    <w:rsid w:val="005722DD"/>
    <w:rsid w:val="00572B28"/>
    <w:rsid w:val="00573325"/>
    <w:rsid w:val="00574C55"/>
    <w:rsid w:val="005752F7"/>
    <w:rsid w:val="0057654B"/>
    <w:rsid w:val="005857D9"/>
    <w:rsid w:val="005871B9"/>
    <w:rsid w:val="00587A4D"/>
    <w:rsid w:val="00592538"/>
    <w:rsid w:val="00592AA8"/>
    <w:rsid w:val="005935CF"/>
    <w:rsid w:val="00593A7B"/>
    <w:rsid w:val="00596DC2"/>
    <w:rsid w:val="00597840"/>
    <w:rsid w:val="005A15D6"/>
    <w:rsid w:val="005A1EE3"/>
    <w:rsid w:val="005A291D"/>
    <w:rsid w:val="005A3619"/>
    <w:rsid w:val="005A4F9B"/>
    <w:rsid w:val="005A6E38"/>
    <w:rsid w:val="005B406B"/>
    <w:rsid w:val="005B421A"/>
    <w:rsid w:val="005B4EC1"/>
    <w:rsid w:val="005B7264"/>
    <w:rsid w:val="005B7B27"/>
    <w:rsid w:val="005B7D7F"/>
    <w:rsid w:val="005C1460"/>
    <w:rsid w:val="005C3353"/>
    <w:rsid w:val="005C3D18"/>
    <w:rsid w:val="005C5EB6"/>
    <w:rsid w:val="005C6930"/>
    <w:rsid w:val="005C6B39"/>
    <w:rsid w:val="005D077A"/>
    <w:rsid w:val="005D207D"/>
    <w:rsid w:val="005D30CC"/>
    <w:rsid w:val="005D41C7"/>
    <w:rsid w:val="005E072C"/>
    <w:rsid w:val="005E2BFA"/>
    <w:rsid w:val="005E6F8B"/>
    <w:rsid w:val="005E70A9"/>
    <w:rsid w:val="005F1E30"/>
    <w:rsid w:val="005F6BD2"/>
    <w:rsid w:val="0060167F"/>
    <w:rsid w:val="00601977"/>
    <w:rsid w:val="00602E0F"/>
    <w:rsid w:val="006066CD"/>
    <w:rsid w:val="00606A37"/>
    <w:rsid w:val="00610444"/>
    <w:rsid w:val="00611E8B"/>
    <w:rsid w:val="006135D1"/>
    <w:rsid w:val="00613F30"/>
    <w:rsid w:val="00615E3C"/>
    <w:rsid w:val="00617199"/>
    <w:rsid w:val="00620AA5"/>
    <w:rsid w:val="0062102F"/>
    <w:rsid w:val="00622956"/>
    <w:rsid w:val="00623294"/>
    <w:rsid w:val="00626737"/>
    <w:rsid w:val="00627D07"/>
    <w:rsid w:val="0063162B"/>
    <w:rsid w:val="00633E90"/>
    <w:rsid w:val="00637F24"/>
    <w:rsid w:val="00641E3E"/>
    <w:rsid w:val="00644D9C"/>
    <w:rsid w:val="006453AA"/>
    <w:rsid w:val="00645635"/>
    <w:rsid w:val="00651D5A"/>
    <w:rsid w:val="00653FBC"/>
    <w:rsid w:val="00655565"/>
    <w:rsid w:val="00663B4C"/>
    <w:rsid w:val="00665429"/>
    <w:rsid w:val="00665E82"/>
    <w:rsid w:val="0066758A"/>
    <w:rsid w:val="00671338"/>
    <w:rsid w:val="00674142"/>
    <w:rsid w:val="00674350"/>
    <w:rsid w:val="00674671"/>
    <w:rsid w:val="00675FB5"/>
    <w:rsid w:val="00682F70"/>
    <w:rsid w:val="006838C4"/>
    <w:rsid w:val="00684186"/>
    <w:rsid w:val="006855BE"/>
    <w:rsid w:val="00686348"/>
    <w:rsid w:val="006922E1"/>
    <w:rsid w:val="00692CFE"/>
    <w:rsid w:val="00694F18"/>
    <w:rsid w:val="00695024"/>
    <w:rsid w:val="0069580E"/>
    <w:rsid w:val="006960CD"/>
    <w:rsid w:val="00697F8B"/>
    <w:rsid w:val="006A0427"/>
    <w:rsid w:val="006A125B"/>
    <w:rsid w:val="006A147F"/>
    <w:rsid w:val="006A68B3"/>
    <w:rsid w:val="006A7517"/>
    <w:rsid w:val="006A78EF"/>
    <w:rsid w:val="006A7B7A"/>
    <w:rsid w:val="006B02F3"/>
    <w:rsid w:val="006B2841"/>
    <w:rsid w:val="006B6564"/>
    <w:rsid w:val="006C0787"/>
    <w:rsid w:val="006C0DE9"/>
    <w:rsid w:val="006C39B1"/>
    <w:rsid w:val="006C3E92"/>
    <w:rsid w:val="006C69EC"/>
    <w:rsid w:val="006C7A12"/>
    <w:rsid w:val="006C7B4B"/>
    <w:rsid w:val="006D0C50"/>
    <w:rsid w:val="006D10D6"/>
    <w:rsid w:val="006D14DC"/>
    <w:rsid w:val="006D1BB0"/>
    <w:rsid w:val="006D272A"/>
    <w:rsid w:val="006D2863"/>
    <w:rsid w:val="006D31F4"/>
    <w:rsid w:val="006D5D64"/>
    <w:rsid w:val="006D6109"/>
    <w:rsid w:val="006D75AF"/>
    <w:rsid w:val="006E0A07"/>
    <w:rsid w:val="006E1A0D"/>
    <w:rsid w:val="006E6142"/>
    <w:rsid w:val="006E7475"/>
    <w:rsid w:val="006F00A9"/>
    <w:rsid w:val="006F4B09"/>
    <w:rsid w:val="006F5F17"/>
    <w:rsid w:val="006F7E95"/>
    <w:rsid w:val="00701A51"/>
    <w:rsid w:val="007022F8"/>
    <w:rsid w:val="00702A3A"/>
    <w:rsid w:val="007050BD"/>
    <w:rsid w:val="00710339"/>
    <w:rsid w:val="00710D19"/>
    <w:rsid w:val="00713794"/>
    <w:rsid w:val="00714AC9"/>
    <w:rsid w:val="00715765"/>
    <w:rsid w:val="00716A13"/>
    <w:rsid w:val="0072018F"/>
    <w:rsid w:val="0072104E"/>
    <w:rsid w:val="00721B96"/>
    <w:rsid w:val="00721BF9"/>
    <w:rsid w:val="007301CF"/>
    <w:rsid w:val="00730E66"/>
    <w:rsid w:val="00733244"/>
    <w:rsid w:val="00734E27"/>
    <w:rsid w:val="00735499"/>
    <w:rsid w:val="00735568"/>
    <w:rsid w:val="00735C64"/>
    <w:rsid w:val="00736807"/>
    <w:rsid w:val="0073753C"/>
    <w:rsid w:val="00737709"/>
    <w:rsid w:val="00740E27"/>
    <w:rsid w:val="0074172F"/>
    <w:rsid w:val="00742204"/>
    <w:rsid w:val="00742705"/>
    <w:rsid w:val="00745EAE"/>
    <w:rsid w:val="00746BE9"/>
    <w:rsid w:val="00746C29"/>
    <w:rsid w:val="00750D11"/>
    <w:rsid w:val="00751E48"/>
    <w:rsid w:val="00756010"/>
    <w:rsid w:val="007569A9"/>
    <w:rsid w:val="00756A82"/>
    <w:rsid w:val="00764231"/>
    <w:rsid w:val="00767B4E"/>
    <w:rsid w:val="00771228"/>
    <w:rsid w:val="00772A4A"/>
    <w:rsid w:val="007811EF"/>
    <w:rsid w:val="00781717"/>
    <w:rsid w:val="00781854"/>
    <w:rsid w:val="007840EC"/>
    <w:rsid w:val="00784B9E"/>
    <w:rsid w:val="007862FD"/>
    <w:rsid w:val="00786862"/>
    <w:rsid w:val="00791703"/>
    <w:rsid w:val="007917F9"/>
    <w:rsid w:val="00792664"/>
    <w:rsid w:val="007941C0"/>
    <w:rsid w:val="007A0804"/>
    <w:rsid w:val="007A18FF"/>
    <w:rsid w:val="007A407F"/>
    <w:rsid w:val="007A4483"/>
    <w:rsid w:val="007A5118"/>
    <w:rsid w:val="007B4FFB"/>
    <w:rsid w:val="007B54FA"/>
    <w:rsid w:val="007C1124"/>
    <w:rsid w:val="007C5451"/>
    <w:rsid w:val="007D0570"/>
    <w:rsid w:val="007D368B"/>
    <w:rsid w:val="007D4734"/>
    <w:rsid w:val="007E0357"/>
    <w:rsid w:val="007E2074"/>
    <w:rsid w:val="007E20E6"/>
    <w:rsid w:val="007E3E7F"/>
    <w:rsid w:val="007E4F4B"/>
    <w:rsid w:val="007E5D7E"/>
    <w:rsid w:val="007E6A72"/>
    <w:rsid w:val="007E7DFD"/>
    <w:rsid w:val="007F0EF4"/>
    <w:rsid w:val="007F3C72"/>
    <w:rsid w:val="007F42CA"/>
    <w:rsid w:val="00800D3B"/>
    <w:rsid w:val="00800F44"/>
    <w:rsid w:val="0080178B"/>
    <w:rsid w:val="00801EA6"/>
    <w:rsid w:val="008022A3"/>
    <w:rsid w:val="008031EB"/>
    <w:rsid w:val="00803B67"/>
    <w:rsid w:val="00807318"/>
    <w:rsid w:val="008119FB"/>
    <w:rsid w:val="00812C1B"/>
    <w:rsid w:val="00815BC3"/>
    <w:rsid w:val="008172F6"/>
    <w:rsid w:val="008203AE"/>
    <w:rsid w:val="00822576"/>
    <w:rsid w:val="0082361F"/>
    <w:rsid w:val="00823A84"/>
    <w:rsid w:val="00823F1F"/>
    <w:rsid w:val="00826103"/>
    <w:rsid w:val="00826CC4"/>
    <w:rsid w:val="008307C2"/>
    <w:rsid w:val="00831010"/>
    <w:rsid w:val="00832959"/>
    <w:rsid w:val="00832C39"/>
    <w:rsid w:val="00834CBA"/>
    <w:rsid w:val="00836242"/>
    <w:rsid w:val="00841A65"/>
    <w:rsid w:val="008501FE"/>
    <w:rsid w:val="00852B05"/>
    <w:rsid w:val="00853421"/>
    <w:rsid w:val="00853DE6"/>
    <w:rsid w:val="00853FBE"/>
    <w:rsid w:val="00853FF6"/>
    <w:rsid w:val="008573F4"/>
    <w:rsid w:val="008604B2"/>
    <w:rsid w:val="008624B2"/>
    <w:rsid w:val="00863E1C"/>
    <w:rsid w:val="00866BA4"/>
    <w:rsid w:val="0086785C"/>
    <w:rsid w:val="008724D6"/>
    <w:rsid w:val="0087318C"/>
    <w:rsid w:val="00873907"/>
    <w:rsid w:val="00874ED1"/>
    <w:rsid w:val="008754AD"/>
    <w:rsid w:val="00876238"/>
    <w:rsid w:val="0087697C"/>
    <w:rsid w:val="0088082E"/>
    <w:rsid w:val="0088098B"/>
    <w:rsid w:val="00882EC3"/>
    <w:rsid w:val="0088331D"/>
    <w:rsid w:val="00886F25"/>
    <w:rsid w:val="00891407"/>
    <w:rsid w:val="00894897"/>
    <w:rsid w:val="008A3539"/>
    <w:rsid w:val="008A4C43"/>
    <w:rsid w:val="008A4E88"/>
    <w:rsid w:val="008A508F"/>
    <w:rsid w:val="008A5286"/>
    <w:rsid w:val="008A72BD"/>
    <w:rsid w:val="008A754C"/>
    <w:rsid w:val="008B0334"/>
    <w:rsid w:val="008B0A44"/>
    <w:rsid w:val="008B0B8F"/>
    <w:rsid w:val="008B2C2D"/>
    <w:rsid w:val="008B3264"/>
    <w:rsid w:val="008B4EEA"/>
    <w:rsid w:val="008B5B7D"/>
    <w:rsid w:val="008B5CC7"/>
    <w:rsid w:val="008B6B26"/>
    <w:rsid w:val="008B6F8A"/>
    <w:rsid w:val="008C040D"/>
    <w:rsid w:val="008C0F93"/>
    <w:rsid w:val="008C1382"/>
    <w:rsid w:val="008C289A"/>
    <w:rsid w:val="008C436E"/>
    <w:rsid w:val="008C4B9D"/>
    <w:rsid w:val="008C4C3B"/>
    <w:rsid w:val="008C547A"/>
    <w:rsid w:val="008C5C88"/>
    <w:rsid w:val="008C6008"/>
    <w:rsid w:val="008C6276"/>
    <w:rsid w:val="008C7C32"/>
    <w:rsid w:val="008D0B8E"/>
    <w:rsid w:val="008D0C1A"/>
    <w:rsid w:val="008D561B"/>
    <w:rsid w:val="008D656A"/>
    <w:rsid w:val="008D69DD"/>
    <w:rsid w:val="008D7764"/>
    <w:rsid w:val="008E1117"/>
    <w:rsid w:val="008E21BC"/>
    <w:rsid w:val="008E2B62"/>
    <w:rsid w:val="008E4123"/>
    <w:rsid w:val="008E4634"/>
    <w:rsid w:val="008E6006"/>
    <w:rsid w:val="008E71A1"/>
    <w:rsid w:val="008E7838"/>
    <w:rsid w:val="008E7B86"/>
    <w:rsid w:val="008F45F8"/>
    <w:rsid w:val="008F7038"/>
    <w:rsid w:val="009016D9"/>
    <w:rsid w:val="009020C0"/>
    <w:rsid w:val="00902F59"/>
    <w:rsid w:val="0090338E"/>
    <w:rsid w:val="009053D4"/>
    <w:rsid w:val="0090689C"/>
    <w:rsid w:val="009073BC"/>
    <w:rsid w:val="00916872"/>
    <w:rsid w:val="009177AC"/>
    <w:rsid w:val="00921EC4"/>
    <w:rsid w:val="00924FFA"/>
    <w:rsid w:val="009250B6"/>
    <w:rsid w:val="009254DA"/>
    <w:rsid w:val="00926824"/>
    <w:rsid w:val="00926921"/>
    <w:rsid w:val="00926DF1"/>
    <w:rsid w:val="009306FB"/>
    <w:rsid w:val="00931B1E"/>
    <w:rsid w:val="00932188"/>
    <w:rsid w:val="009322A8"/>
    <w:rsid w:val="0093342D"/>
    <w:rsid w:val="00946470"/>
    <w:rsid w:val="00946791"/>
    <w:rsid w:val="009508A9"/>
    <w:rsid w:val="009548D0"/>
    <w:rsid w:val="00957250"/>
    <w:rsid w:val="00957927"/>
    <w:rsid w:val="00962674"/>
    <w:rsid w:val="0096412D"/>
    <w:rsid w:val="00964D1F"/>
    <w:rsid w:val="009658DC"/>
    <w:rsid w:val="009659DC"/>
    <w:rsid w:val="00966BE1"/>
    <w:rsid w:val="009748E5"/>
    <w:rsid w:val="00974954"/>
    <w:rsid w:val="0097513C"/>
    <w:rsid w:val="00975606"/>
    <w:rsid w:val="00975ADA"/>
    <w:rsid w:val="00975DD3"/>
    <w:rsid w:val="00982ECD"/>
    <w:rsid w:val="009832D2"/>
    <w:rsid w:val="00983A80"/>
    <w:rsid w:val="00984288"/>
    <w:rsid w:val="00990C92"/>
    <w:rsid w:val="009930F6"/>
    <w:rsid w:val="00994AA6"/>
    <w:rsid w:val="009954D7"/>
    <w:rsid w:val="00995555"/>
    <w:rsid w:val="009955C7"/>
    <w:rsid w:val="0099787E"/>
    <w:rsid w:val="009A29E3"/>
    <w:rsid w:val="009A40F5"/>
    <w:rsid w:val="009A597F"/>
    <w:rsid w:val="009A6CFD"/>
    <w:rsid w:val="009A75D4"/>
    <w:rsid w:val="009B046E"/>
    <w:rsid w:val="009B1444"/>
    <w:rsid w:val="009B19A1"/>
    <w:rsid w:val="009B1C65"/>
    <w:rsid w:val="009B1F90"/>
    <w:rsid w:val="009B4D1F"/>
    <w:rsid w:val="009B5DF3"/>
    <w:rsid w:val="009B6181"/>
    <w:rsid w:val="009B6607"/>
    <w:rsid w:val="009B7EAE"/>
    <w:rsid w:val="009C0CAA"/>
    <w:rsid w:val="009C0DCD"/>
    <w:rsid w:val="009C10CA"/>
    <w:rsid w:val="009C13ED"/>
    <w:rsid w:val="009C41EF"/>
    <w:rsid w:val="009C5BDC"/>
    <w:rsid w:val="009C64EB"/>
    <w:rsid w:val="009C7B7D"/>
    <w:rsid w:val="009D1F85"/>
    <w:rsid w:val="009D253F"/>
    <w:rsid w:val="009D4B42"/>
    <w:rsid w:val="009D567E"/>
    <w:rsid w:val="009D5CCC"/>
    <w:rsid w:val="009D5E7E"/>
    <w:rsid w:val="009E05A6"/>
    <w:rsid w:val="009E20A6"/>
    <w:rsid w:val="009E6817"/>
    <w:rsid w:val="009E693A"/>
    <w:rsid w:val="009F07B7"/>
    <w:rsid w:val="009F279C"/>
    <w:rsid w:val="009F4E17"/>
    <w:rsid w:val="009F6627"/>
    <w:rsid w:val="009F6BEF"/>
    <w:rsid w:val="009F6F19"/>
    <w:rsid w:val="00A06DB1"/>
    <w:rsid w:val="00A0787B"/>
    <w:rsid w:val="00A13D3E"/>
    <w:rsid w:val="00A15EC1"/>
    <w:rsid w:val="00A2122D"/>
    <w:rsid w:val="00A21512"/>
    <w:rsid w:val="00A21A7A"/>
    <w:rsid w:val="00A23796"/>
    <w:rsid w:val="00A237D2"/>
    <w:rsid w:val="00A24924"/>
    <w:rsid w:val="00A25372"/>
    <w:rsid w:val="00A271D2"/>
    <w:rsid w:val="00A276E2"/>
    <w:rsid w:val="00A31AAA"/>
    <w:rsid w:val="00A336D1"/>
    <w:rsid w:val="00A345D9"/>
    <w:rsid w:val="00A354ED"/>
    <w:rsid w:val="00A362D5"/>
    <w:rsid w:val="00A36F78"/>
    <w:rsid w:val="00A37A05"/>
    <w:rsid w:val="00A40C41"/>
    <w:rsid w:val="00A40FE1"/>
    <w:rsid w:val="00A4127A"/>
    <w:rsid w:val="00A42114"/>
    <w:rsid w:val="00A42F0E"/>
    <w:rsid w:val="00A44FD0"/>
    <w:rsid w:val="00A457D7"/>
    <w:rsid w:val="00A47CA3"/>
    <w:rsid w:val="00A50761"/>
    <w:rsid w:val="00A60C6B"/>
    <w:rsid w:val="00A6134F"/>
    <w:rsid w:val="00A61B3E"/>
    <w:rsid w:val="00A63FD4"/>
    <w:rsid w:val="00A70F7D"/>
    <w:rsid w:val="00A71F7D"/>
    <w:rsid w:val="00A73081"/>
    <w:rsid w:val="00A774C2"/>
    <w:rsid w:val="00A81F2E"/>
    <w:rsid w:val="00A83BBB"/>
    <w:rsid w:val="00A84E86"/>
    <w:rsid w:val="00A9182C"/>
    <w:rsid w:val="00A927C1"/>
    <w:rsid w:val="00A9457C"/>
    <w:rsid w:val="00AA0A01"/>
    <w:rsid w:val="00AA26B2"/>
    <w:rsid w:val="00AA3036"/>
    <w:rsid w:val="00AA5179"/>
    <w:rsid w:val="00AA52E8"/>
    <w:rsid w:val="00AA5A5A"/>
    <w:rsid w:val="00AB1A5D"/>
    <w:rsid w:val="00AB1AB4"/>
    <w:rsid w:val="00AB1CC7"/>
    <w:rsid w:val="00AB2863"/>
    <w:rsid w:val="00AB3DD2"/>
    <w:rsid w:val="00AC1F39"/>
    <w:rsid w:val="00AC2E37"/>
    <w:rsid w:val="00AC3910"/>
    <w:rsid w:val="00AC4768"/>
    <w:rsid w:val="00AC7231"/>
    <w:rsid w:val="00AC7288"/>
    <w:rsid w:val="00AC7D7D"/>
    <w:rsid w:val="00AD4E38"/>
    <w:rsid w:val="00AD56FA"/>
    <w:rsid w:val="00AD627C"/>
    <w:rsid w:val="00AD7D67"/>
    <w:rsid w:val="00AE320E"/>
    <w:rsid w:val="00AE4435"/>
    <w:rsid w:val="00AE4988"/>
    <w:rsid w:val="00AE5B83"/>
    <w:rsid w:val="00AE6694"/>
    <w:rsid w:val="00AF0AA2"/>
    <w:rsid w:val="00AF346C"/>
    <w:rsid w:val="00AF5F69"/>
    <w:rsid w:val="00AF63BD"/>
    <w:rsid w:val="00AF6DBC"/>
    <w:rsid w:val="00B044D8"/>
    <w:rsid w:val="00B06130"/>
    <w:rsid w:val="00B0774C"/>
    <w:rsid w:val="00B119C3"/>
    <w:rsid w:val="00B16E22"/>
    <w:rsid w:val="00B241CE"/>
    <w:rsid w:val="00B2451D"/>
    <w:rsid w:val="00B2781C"/>
    <w:rsid w:val="00B30BC2"/>
    <w:rsid w:val="00B30E21"/>
    <w:rsid w:val="00B333E9"/>
    <w:rsid w:val="00B33754"/>
    <w:rsid w:val="00B34605"/>
    <w:rsid w:val="00B356E4"/>
    <w:rsid w:val="00B35A98"/>
    <w:rsid w:val="00B36FB9"/>
    <w:rsid w:val="00B453F2"/>
    <w:rsid w:val="00B45890"/>
    <w:rsid w:val="00B45931"/>
    <w:rsid w:val="00B47232"/>
    <w:rsid w:val="00B522F9"/>
    <w:rsid w:val="00B53348"/>
    <w:rsid w:val="00B53B7C"/>
    <w:rsid w:val="00B53DD0"/>
    <w:rsid w:val="00B545A0"/>
    <w:rsid w:val="00B54E7C"/>
    <w:rsid w:val="00B60DCC"/>
    <w:rsid w:val="00B634C8"/>
    <w:rsid w:val="00B63B33"/>
    <w:rsid w:val="00B649D2"/>
    <w:rsid w:val="00B64B10"/>
    <w:rsid w:val="00B65585"/>
    <w:rsid w:val="00B659E3"/>
    <w:rsid w:val="00B70513"/>
    <w:rsid w:val="00B758D6"/>
    <w:rsid w:val="00B774DE"/>
    <w:rsid w:val="00B7757F"/>
    <w:rsid w:val="00B779C8"/>
    <w:rsid w:val="00B8015B"/>
    <w:rsid w:val="00B812F3"/>
    <w:rsid w:val="00B8182B"/>
    <w:rsid w:val="00B8265B"/>
    <w:rsid w:val="00B83911"/>
    <w:rsid w:val="00B83BF3"/>
    <w:rsid w:val="00B910B8"/>
    <w:rsid w:val="00B9267D"/>
    <w:rsid w:val="00B9502E"/>
    <w:rsid w:val="00B95D37"/>
    <w:rsid w:val="00B97EDC"/>
    <w:rsid w:val="00BA1558"/>
    <w:rsid w:val="00BA48E6"/>
    <w:rsid w:val="00BB100B"/>
    <w:rsid w:val="00BB18EA"/>
    <w:rsid w:val="00BB2298"/>
    <w:rsid w:val="00BB37BF"/>
    <w:rsid w:val="00BB4813"/>
    <w:rsid w:val="00BB4A1D"/>
    <w:rsid w:val="00BB68C5"/>
    <w:rsid w:val="00BB6DCB"/>
    <w:rsid w:val="00BB7FBB"/>
    <w:rsid w:val="00BC09B2"/>
    <w:rsid w:val="00BD0C8A"/>
    <w:rsid w:val="00BD194A"/>
    <w:rsid w:val="00BD29AA"/>
    <w:rsid w:val="00BD603E"/>
    <w:rsid w:val="00BD66F4"/>
    <w:rsid w:val="00BD688D"/>
    <w:rsid w:val="00BD7583"/>
    <w:rsid w:val="00BE0569"/>
    <w:rsid w:val="00BE32B6"/>
    <w:rsid w:val="00BE60E5"/>
    <w:rsid w:val="00BE635D"/>
    <w:rsid w:val="00BE6FA6"/>
    <w:rsid w:val="00BF0645"/>
    <w:rsid w:val="00BF0892"/>
    <w:rsid w:val="00BF207D"/>
    <w:rsid w:val="00BF2CCE"/>
    <w:rsid w:val="00C025AC"/>
    <w:rsid w:val="00C02BCC"/>
    <w:rsid w:val="00C05B30"/>
    <w:rsid w:val="00C12EDC"/>
    <w:rsid w:val="00C13623"/>
    <w:rsid w:val="00C15255"/>
    <w:rsid w:val="00C160FD"/>
    <w:rsid w:val="00C170CA"/>
    <w:rsid w:val="00C173ED"/>
    <w:rsid w:val="00C17455"/>
    <w:rsid w:val="00C17A34"/>
    <w:rsid w:val="00C17D2D"/>
    <w:rsid w:val="00C210E9"/>
    <w:rsid w:val="00C23DBE"/>
    <w:rsid w:val="00C27A8E"/>
    <w:rsid w:val="00C305C4"/>
    <w:rsid w:val="00C318D9"/>
    <w:rsid w:val="00C31953"/>
    <w:rsid w:val="00C319F0"/>
    <w:rsid w:val="00C32530"/>
    <w:rsid w:val="00C34F6D"/>
    <w:rsid w:val="00C3785A"/>
    <w:rsid w:val="00C41918"/>
    <w:rsid w:val="00C42366"/>
    <w:rsid w:val="00C464F7"/>
    <w:rsid w:val="00C475FC"/>
    <w:rsid w:val="00C50090"/>
    <w:rsid w:val="00C51AB4"/>
    <w:rsid w:val="00C51C80"/>
    <w:rsid w:val="00C521B9"/>
    <w:rsid w:val="00C56C6B"/>
    <w:rsid w:val="00C56D2B"/>
    <w:rsid w:val="00C5718C"/>
    <w:rsid w:val="00C624CE"/>
    <w:rsid w:val="00C627C8"/>
    <w:rsid w:val="00C65FB4"/>
    <w:rsid w:val="00C70683"/>
    <w:rsid w:val="00C756F9"/>
    <w:rsid w:val="00C7679A"/>
    <w:rsid w:val="00C77A22"/>
    <w:rsid w:val="00C805AC"/>
    <w:rsid w:val="00C819BA"/>
    <w:rsid w:val="00C82C08"/>
    <w:rsid w:val="00C84DEC"/>
    <w:rsid w:val="00C85094"/>
    <w:rsid w:val="00C85686"/>
    <w:rsid w:val="00C86BA2"/>
    <w:rsid w:val="00C876E5"/>
    <w:rsid w:val="00C87B59"/>
    <w:rsid w:val="00C903CB"/>
    <w:rsid w:val="00C918D0"/>
    <w:rsid w:val="00C92234"/>
    <w:rsid w:val="00C92676"/>
    <w:rsid w:val="00C92721"/>
    <w:rsid w:val="00C92F5D"/>
    <w:rsid w:val="00C95F1C"/>
    <w:rsid w:val="00C96B77"/>
    <w:rsid w:val="00CA1456"/>
    <w:rsid w:val="00CA3E0B"/>
    <w:rsid w:val="00CA4D38"/>
    <w:rsid w:val="00CA652D"/>
    <w:rsid w:val="00CB0825"/>
    <w:rsid w:val="00CB0DF1"/>
    <w:rsid w:val="00CB31FC"/>
    <w:rsid w:val="00CB3A08"/>
    <w:rsid w:val="00CB7D25"/>
    <w:rsid w:val="00CC0338"/>
    <w:rsid w:val="00CC09D0"/>
    <w:rsid w:val="00CC382D"/>
    <w:rsid w:val="00CC3B3B"/>
    <w:rsid w:val="00CC3B7B"/>
    <w:rsid w:val="00CC4654"/>
    <w:rsid w:val="00CC5DD6"/>
    <w:rsid w:val="00CC604C"/>
    <w:rsid w:val="00CC7F61"/>
    <w:rsid w:val="00CD034B"/>
    <w:rsid w:val="00CD1E49"/>
    <w:rsid w:val="00CD1E90"/>
    <w:rsid w:val="00CD38CA"/>
    <w:rsid w:val="00CD5110"/>
    <w:rsid w:val="00CD55B3"/>
    <w:rsid w:val="00CD5FC5"/>
    <w:rsid w:val="00CD71B5"/>
    <w:rsid w:val="00CD7548"/>
    <w:rsid w:val="00CE02F2"/>
    <w:rsid w:val="00CE1263"/>
    <w:rsid w:val="00CE54A3"/>
    <w:rsid w:val="00CF1E83"/>
    <w:rsid w:val="00CF28A9"/>
    <w:rsid w:val="00CF3973"/>
    <w:rsid w:val="00CF47FD"/>
    <w:rsid w:val="00CF6457"/>
    <w:rsid w:val="00CF673A"/>
    <w:rsid w:val="00D02849"/>
    <w:rsid w:val="00D06217"/>
    <w:rsid w:val="00D0637E"/>
    <w:rsid w:val="00D072E1"/>
    <w:rsid w:val="00D10C41"/>
    <w:rsid w:val="00D11F5E"/>
    <w:rsid w:val="00D141C1"/>
    <w:rsid w:val="00D160D9"/>
    <w:rsid w:val="00D16C9C"/>
    <w:rsid w:val="00D20F3F"/>
    <w:rsid w:val="00D20FFF"/>
    <w:rsid w:val="00D21595"/>
    <w:rsid w:val="00D215B8"/>
    <w:rsid w:val="00D226A2"/>
    <w:rsid w:val="00D26706"/>
    <w:rsid w:val="00D26D13"/>
    <w:rsid w:val="00D30564"/>
    <w:rsid w:val="00D308A9"/>
    <w:rsid w:val="00D312DE"/>
    <w:rsid w:val="00D33B78"/>
    <w:rsid w:val="00D33C08"/>
    <w:rsid w:val="00D33ED1"/>
    <w:rsid w:val="00D409FF"/>
    <w:rsid w:val="00D42A2A"/>
    <w:rsid w:val="00D46060"/>
    <w:rsid w:val="00D47FA8"/>
    <w:rsid w:val="00D50CBB"/>
    <w:rsid w:val="00D51F92"/>
    <w:rsid w:val="00D531E6"/>
    <w:rsid w:val="00D537D9"/>
    <w:rsid w:val="00D54077"/>
    <w:rsid w:val="00D54E9E"/>
    <w:rsid w:val="00D57E0D"/>
    <w:rsid w:val="00D60130"/>
    <w:rsid w:val="00D61053"/>
    <w:rsid w:val="00D61658"/>
    <w:rsid w:val="00D61B12"/>
    <w:rsid w:val="00D65AAE"/>
    <w:rsid w:val="00D67AA3"/>
    <w:rsid w:val="00D721BE"/>
    <w:rsid w:val="00D73543"/>
    <w:rsid w:val="00D7363E"/>
    <w:rsid w:val="00D74703"/>
    <w:rsid w:val="00D77CA3"/>
    <w:rsid w:val="00D8703B"/>
    <w:rsid w:val="00D90FE6"/>
    <w:rsid w:val="00D925CD"/>
    <w:rsid w:val="00D93911"/>
    <w:rsid w:val="00D94ABF"/>
    <w:rsid w:val="00D955C7"/>
    <w:rsid w:val="00D967D5"/>
    <w:rsid w:val="00D96C85"/>
    <w:rsid w:val="00D974A1"/>
    <w:rsid w:val="00DA03B5"/>
    <w:rsid w:val="00DA0AB9"/>
    <w:rsid w:val="00DA0DB5"/>
    <w:rsid w:val="00DA33B6"/>
    <w:rsid w:val="00DA3B45"/>
    <w:rsid w:val="00DA47C8"/>
    <w:rsid w:val="00DA5B33"/>
    <w:rsid w:val="00DB124D"/>
    <w:rsid w:val="00DB2F75"/>
    <w:rsid w:val="00DB31CB"/>
    <w:rsid w:val="00DB4DA0"/>
    <w:rsid w:val="00DC27A6"/>
    <w:rsid w:val="00DC3B19"/>
    <w:rsid w:val="00DC3C01"/>
    <w:rsid w:val="00DC3CB3"/>
    <w:rsid w:val="00DC3EE0"/>
    <w:rsid w:val="00DC489F"/>
    <w:rsid w:val="00DC5D8D"/>
    <w:rsid w:val="00DD04D8"/>
    <w:rsid w:val="00DD13F7"/>
    <w:rsid w:val="00DD1CFA"/>
    <w:rsid w:val="00DD30F9"/>
    <w:rsid w:val="00DD3294"/>
    <w:rsid w:val="00DD48CA"/>
    <w:rsid w:val="00DD78E1"/>
    <w:rsid w:val="00DE1113"/>
    <w:rsid w:val="00DE1A9E"/>
    <w:rsid w:val="00DE5316"/>
    <w:rsid w:val="00DE6D09"/>
    <w:rsid w:val="00DE7593"/>
    <w:rsid w:val="00DF4577"/>
    <w:rsid w:val="00DF7A67"/>
    <w:rsid w:val="00E012A9"/>
    <w:rsid w:val="00E01566"/>
    <w:rsid w:val="00E01A9B"/>
    <w:rsid w:val="00E03096"/>
    <w:rsid w:val="00E05669"/>
    <w:rsid w:val="00E12F0C"/>
    <w:rsid w:val="00E14E7B"/>
    <w:rsid w:val="00E14E89"/>
    <w:rsid w:val="00E14FEC"/>
    <w:rsid w:val="00E156F4"/>
    <w:rsid w:val="00E157D0"/>
    <w:rsid w:val="00E16959"/>
    <w:rsid w:val="00E16DF3"/>
    <w:rsid w:val="00E16E0E"/>
    <w:rsid w:val="00E17437"/>
    <w:rsid w:val="00E2085B"/>
    <w:rsid w:val="00E22C75"/>
    <w:rsid w:val="00E244AD"/>
    <w:rsid w:val="00E250E0"/>
    <w:rsid w:val="00E30CCB"/>
    <w:rsid w:val="00E33240"/>
    <w:rsid w:val="00E33705"/>
    <w:rsid w:val="00E34001"/>
    <w:rsid w:val="00E342DB"/>
    <w:rsid w:val="00E349BD"/>
    <w:rsid w:val="00E35B6D"/>
    <w:rsid w:val="00E35FAE"/>
    <w:rsid w:val="00E360C9"/>
    <w:rsid w:val="00E36C6E"/>
    <w:rsid w:val="00E37049"/>
    <w:rsid w:val="00E3708D"/>
    <w:rsid w:val="00E3738C"/>
    <w:rsid w:val="00E41139"/>
    <w:rsid w:val="00E43390"/>
    <w:rsid w:val="00E4367A"/>
    <w:rsid w:val="00E44714"/>
    <w:rsid w:val="00E450CA"/>
    <w:rsid w:val="00E4511C"/>
    <w:rsid w:val="00E4758F"/>
    <w:rsid w:val="00E47841"/>
    <w:rsid w:val="00E51C31"/>
    <w:rsid w:val="00E51C46"/>
    <w:rsid w:val="00E52FA7"/>
    <w:rsid w:val="00E53551"/>
    <w:rsid w:val="00E536A9"/>
    <w:rsid w:val="00E565E2"/>
    <w:rsid w:val="00E57FDC"/>
    <w:rsid w:val="00E6546F"/>
    <w:rsid w:val="00E66F06"/>
    <w:rsid w:val="00E71614"/>
    <w:rsid w:val="00E71BE9"/>
    <w:rsid w:val="00E71CD0"/>
    <w:rsid w:val="00E73050"/>
    <w:rsid w:val="00E73CB6"/>
    <w:rsid w:val="00E77DED"/>
    <w:rsid w:val="00E80131"/>
    <w:rsid w:val="00E80663"/>
    <w:rsid w:val="00E80A16"/>
    <w:rsid w:val="00E80E78"/>
    <w:rsid w:val="00E81691"/>
    <w:rsid w:val="00E83E52"/>
    <w:rsid w:val="00E85543"/>
    <w:rsid w:val="00E87E11"/>
    <w:rsid w:val="00E95331"/>
    <w:rsid w:val="00E95AEE"/>
    <w:rsid w:val="00E96461"/>
    <w:rsid w:val="00E96A3D"/>
    <w:rsid w:val="00E97C48"/>
    <w:rsid w:val="00E97E08"/>
    <w:rsid w:val="00EA023B"/>
    <w:rsid w:val="00EA0802"/>
    <w:rsid w:val="00EA22E8"/>
    <w:rsid w:val="00EA2696"/>
    <w:rsid w:val="00EA37B1"/>
    <w:rsid w:val="00EA3D41"/>
    <w:rsid w:val="00EA4801"/>
    <w:rsid w:val="00EA5753"/>
    <w:rsid w:val="00EA589C"/>
    <w:rsid w:val="00EA638C"/>
    <w:rsid w:val="00EA7768"/>
    <w:rsid w:val="00EA7AA1"/>
    <w:rsid w:val="00EB223F"/>
    <w:rsid w:val="00EB3D17"/>
    <w:rsid w:val="00EB61D2"/>
    <w:rsid w:val="00EC1417"/>
    <w:rsid w:val="00EC19CB"/>
    <w:rsid w:val="00EC3DF5"/>
    <w:rsid w:val="00EC43F9"/>
    <w:rsid w:val="00EC4977"/>
    <w:rsid w:val="00EC59AC"/>
    <w:rsid w:val="00EC740B"/>
    <w:rsid w:val="00ED25AB"/>
    <w:rsid w:val="00ED2BDC"/>
    <w:rsid w:val="00ED49C7"/>
    <w:rsid w:val="00ED5809"/>
    <w:rsid w:val="00EE0D0A"/>
    <w:rsid w:val="00EE2C40"/>
    <w:rsid w:val="00EE3F22"/>
    <w:rsid w:val="00EE4A1A"/>
    <w:rsid w:val="00EE7115"/>
    <w:rsid w:val="00EF120B"/>
    <w:rsid w:val="00EF4EE9"/>
    <w:rsid w:val="00EF55EE"/>
    <w:rsid w:val="00EF6640"/>
    <w:rsid w:val="00EF6E8F"/>
    <w:rsid w:val="00EF77A4"/>
    <w:rsid w:val="00F00BB7"/>
    <w:rsid w:val="00F021FD"/>
    <w:rsid w:val="00F03571"/>
    <w:rsid w:val="00F059B6"/>
    <w:rsid w:val="00F11495"/>
    <w:rsid w:val="00F14C3C"/>
    <w:rsid w:val="00F17CEA"/>
    <w:rsid w:val="00F2469C"/>
    <w:rsid w:val="00F24DA7"/>
    <w:rsid w:val="00F253CD"/>
    <w:rsid w:val="00F316FA"/>
    <w:rsid w:val="00F3388C"/>
    <w:rsid w:val="00F34F44"/>
    <w:rsid w:val="00F355D5"/>
    <w:rsid w:val="00F371EA"/>
    <w:rsid w:val="00F40A0E"/>
    <w:rsid w:val="00F410A9"/>
    <w:rsid w:val="00F41336"/>
    <w:rsid w:val="00F41370"/>
    <w:rsid w:val="00F425E1"/>
    <w:rsid w:val="00F42F6D"/>
    <w:rsid w:val="00F43CD2"/>
    <w:rsid w:val="00F444E5"/>
    <w:rsid w:val="00F459D6"/>
    <w:rsid w:val="00F46BBC"/>
    <w:rsid w:val="00F46BC6"/>
    <w:rsid w:val="00F4775F"/>
    <w:rsid w:val="00F479D0"/>
    <w:rsid w:val="00F55ECD"/>
    <w:rsid w:val="00F6014B"/>
    <w:rsid w:val="00F6237D"/>
    <w:rsid w:val="00F63128"/>
    <w:rsid w:val="00F63F74"/>
    <w:rsid w:val="00F641B4"/>
    <w:rsid w:val="00F64ED3"/>
    <w:rsid w:val="00F65B11"/>
    <w:rsid w:val="00F664C3"/>
    <w:rsid w:val="00F712FB"/>
    <w:rsid w:val="00F7133F"/>
    <w:rsid w:val="00F74F88"/>
    <w:rsid w:val="00F75A78"/>
    <w:rsid w:val="00F761F3"/>
    <w:rsid w:val="00F7716A"/>
    <w:rsid w:val="00F808BD"/>
    <w:rsid w:val="00F904B5"/>
    <w:rsid w:val="00F9109C"/>
    <w:rsid w:val="00F921B0"/>
    <w:rsid w:val="00F9249C"/>
    <w:rsid w:val="00F92ADC"/>
    <w:rsid w:val="00F939B5"/>
    <w:rsid w:val="00F95D7A"/>
    <w:rsid w:val="00FA0651"/>
    <w:rsid w:val="00FA3184"/>
    <w:rsid w:val="00FA4DCB"/>
    <w:rsid w:val="00FA626D"/>
    <w:rsid w:val="00FA6D59"/>
    <w:rsid w:val="00FA7D22"/>
    <w:rsid w:val="00FB52EB"/>
    <w:rsid w:val="00FB7F27"/>
    <w:rsid w:val="00FC326C"/>
    <w:rsid w:val="00FC4F1D"/>
    <w:rsid w:val="00FC5BC7"/>
    <w:rsid w:val="00FC5C91"/>
    <w:rsid w:val="00FC683F"/>
    <w:rsid w:val="00FC6A81"/>
    <w:rsid w:val="00FC6BE2"/>
    <w:rsid w:val="00FC7BFE"/>
    <w:rsid w:val="00FD0222"/>
    <w:rsid w:val="00FD1BCC"/>
    <w:rsid w:val="00FD2C4D"/>
    <w:rsid w:val="00FD6E44"/>
    <w:rsid w:val="00FD7705"/>
    <w:rsid w:val="00FE069D"/>
    <w:rsid w:val="00FE2DC3"/>
    <w:rsid w:val="00FE5C36"/>
    <w:rsid w:val="00FE66ED"/>
    <w:rsid w:val="00FE7117"/>
    <w:rsid w:val="00FE75BD"/>
    <w:rsid w:val="00FF159F"/>
    <w:rsid w:val="00FF2F0F"/>
    <w:rsid w:val="00FF388E"/>
    <w:rsid w:val="00FF571C"/>
    <w:rsid w:val="00FF6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FB072"/>
  <w15:chartTrackingRefBased/>
  <w15:docId w15:val="{F2EE9F27-607A-4854-90A2-263E4B439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096"/>
    <w:pPr>
      <w:jc w:val="both"/>
    </w:pPr>
    <w:rPr>
      <w:rFonts w:ascii="Marianne Thin" w:hAnsi="Marianne Thin"/>
    </w:rPr>
  </w:style>
  <w:style w:type="paragraph" w:styleId="Titre1">
    <w:name w:val="heading 1"/>
    <w:basedOn w:val="Normal"/>
    <w:next w:val="Normal"/>
    <w:link w:val="Titre1Car"/>
    <w:qFormat/>
    <w:rsid w:val="00E03096"/>
    <w:pPr>
      <w:keepNext/>
      <w:keepLines/>
      <w:numPr>
        <w:numId w:val="1"/>
      </w:numPr>
      <w:outlineLvl w:val="0"/>
    </w:pPr>
    <w:rPr>
      <w:rFonts w:ascii="Marianne" w:eastAsiaTheme="majorEastAsia" w:hAnsi="Marianne" w:cstheme="majorBidi"/>
      <w:color w:val="2E74B5" w:themeColor="accent1" w:themeShade="BF"/>
      <w:sz w:val="24"/>
      <w:szCs w:val="32"/>
    </w:rPr>
  </w:style>
  <w:style w:type="paragraph" w:styleId="Titre2">
    <w:name w:val="heading 2"/>
    <w:basedOn w:val="Titre1"/>
    <w:next w:val="Normal"/>
    <w:link w:val="Titre2Car"/>
    <w:unhideWhenUsed/>
    <w:qFormat/>
    <w:rsid w:val="00E03096"/>
    <w:pPr>
      <w:numPr>
        <w:ilvl w:val="1"/>
      </w:numPr>
      <w:spacing w:before="40"/>
      <w:outlineLvl w:val="1"/>
    </w:pPr>
    <w:rPr>
      <w:szCs w:val="26"/>
    </w:rPr>
  </w:style>
  <w:style w:type="paragraph" w:styleId="Titre3">
    <w:name w:val="heading 3"/>
    <w:basedOn w:val="Paragraphedeliste"/>
    <w:next w:val="Normal"/>
    <w:link w:val="Titre3Car"/>
    <w:unhideWhenUsed/>
    <w:qFormat/>
    <w:rsid w:val="006C0787"/>
    <w:pPr>
      <w:numPr>
        <w:numId w:val="3"/>
      </w:numPr>
      <w:outlineLvl w:val="2"/>
    </w:pPr>
  </w:style>
  <w:style w:type="paragraph" w:styleId="Titre4">
    <w:name w:val="heading 4"/>
    <w:basedOn w:val="Normal"/>
    <w:next w:val="Normal"/>
    <w:link w:val="Titre4Car"/>
    <w:rsid w:val="00C70683"/>
    <w:pPr>
      <w:keepNext/>
      <w:keepLines/>
      <w:spacing w:before="240" w:after="40"/>
      <w:ind w:left="864" w:hanging="864"/>
      <w:outlineLvl w:val="3"/>
    </w:pPr>
    <w:rPr>
      <w:rFonts w:ascii="Arial" w:eastAsia="Arial" w:hAnsi="Arial" w:cs="Arial"/>
      <w:b/>
      <w:sz w:val="24"/>
      <w:szCs w:val="24"/>
      <w:lang w:eastAsia="fr-FR"/>
    </w:rPr>
  </w:style>
  <w:style w:type="paragraph" w:styleId="Titre5">
    <w:name w:val="heading 5"/>
    <w:basedOn w:val="Normal"/>
    <w:next w:val="Normal"/>
    <w:link w:val="Titre5Car"/>
    <w:rsid w:val="00C70683"/>
    <w:pPr>
      <w:keepNext/>
      <w:spacing w:after="60"/>
      <w:ind w:left="1008" w:hanging="1008"/>
      <w:outlineLvl w:val="4"/>
    </w:pPr>
    <w:rPr>
      <w:rFonts w:ascii="Garamond" w:eastAsia="Garamond" w:hAnsi="Garamond" w:cs="Garamond"/>
      <w:color w:val="000000"/>
      <w:u w:val="single"/>
      <w:lang w:eastAsia="fr-FR"/>
    </w:rPr>
  </w:style>
  <w:style w:type="paragraph" w:styleId="Titre6">
    <w:name w:val="heading 6"/>
    <w:basedOn w:val="Normal"/>
    <w:next w:val="Normal"/>
    <w:link w:val="Titre6Car"/>
    <w:rsid w:val="00C70683"/>
    <w:pPr>
      <w:keepNext/>
      <w:keepLines/>
      <w:spacing w:before="200" w:after="40"/>
      <w:ind w:left="1152" w:hanging="1152"/>
      <w:outlineLvl w:val="5"/>
    </w:pPr>
    <w:rPr>
      <w:rFonts w:ascii="Arial" w:eastAsia="Arial" w:hAnsi="Arial" w:cs="Arial"/>
      <w:b/>
      <w:sz w:val="20"/>
      <w:szCs w:val="20"/>
      <w:lang w:eastAsia="fr-FR"/>
    </w:rPr>
  </w:style>
  <w:style w:type="paragraph" w:styleId="Titre7">
    <w:name w:val="heading 7"/>
    <w:basedOn w:val="Normal"/>
    <w:next w:val="Normal"/>
    <w:link w:val="Titre7Car"/>
    <w:uiPriority w:val="9"/>
    <w:semiHidden/>
    <w:unhideWhenUsed/>
    <w:qFormat/>
    <w:rsid w:val="00C70683"/>
    <w:pPr>
      <w:keepNext/>
      <w:keepLines/>
      <w:spacing w:before="40"/>
      <w:ind w:left="1296" w:hanging="1296"/>
      <w:outlineLvl w:val="6"/>
    </w:pPr>
    <w:rPr>
      <w:rFonts w:asciiTheme="majorHAnsi" w:eastAsiaTheme="majorEastAsia" w:hAnsiTheme="majorHAnsi" w:cstheme="majorBidi"/>
      <w:i/>
      <w:iCs/>
      <w:color w:val="1F4D78" w:themeColor="accent1" w:themeShade="7F"/>
      <w:lang w:eastAsia="fr-FR"/>
    </w:rPr>
  </w:style>
  <w:style w:type="paragraph" w:styleId="Titre8">
    <w:name w:val="heading 8"/>
    <w:basedOn w:val="Normal"/>
    <w:next w:val="Normal"/>
    <w:link w:val="Titre8Car"/>
    <w:uiPriority w:val="9"/>
    <w:semiHidden/>
    <w:unhideWhenUsed/>
    <w:qFormat/>
    <w:rsid w:val="00C70683"/>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fr-FR"/>
    </w:rPr>
  </w:style>
  <w:style w:type="paragraph" w:styleId="Titre9">
    <w:name w:val="heading 9"/>
    <w:basedOn w:val="Normal"/>
    <w:next w:val="Normal"/>
    <w:link w:val="Titre9Car"/>
    <w:uiPriority w:val="9"/>
    <w:semiHidden/>
    <w:unhideWhenUsed/>
    <w:qFormat/>
    <w:rsid w:val="00C7068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03096"/>
    <w:rPr>
      <w:rFonts w:ascii="Marianne" w:eastAsiaTheme="majorEastAsia" w:hAnsi="Marianne" w:cstheme="majorBidi"/>
      <w:color w:val="2E74B5" w:themeColor="accent1" w:themeShade="BF"/>
      <w:sz w:val="24"/>
      <w:szCs w:val="32"/>
    </w:rPr>
  </w:style>
  <w:style w:type="character" w:customStyle="1" w:styleId="Titre2Car">
    <w:name w:val="Titre 2 Car"/>
    <w:basedOn w:val="Policepardfaut"/>
    <w:link w:val="Titre2"/>
    <w:rsid w:val="00E03096"/>
    <w:rPr>
      <w:rFonts w:ascii="Marianne" w:eastAsiaTheme="majorEastAsia" w:hAnsi="Marianne" w:cstheme="majorBidi"/>
      <w:color w:val="2E74B5" w:themeColor="accent1" w:themeShade="BF"/>
      <w:sz w:val="24"/>
      <w:szCs w:val="26"/>
    </w:rPr>
  </w:style>
  <w:style w:type="character" w:customStyle="1" w:styleId="Titre3Car">
    <w:name w:val="Titre 3 Car"/>
    <w:basedOn w:val="Policepardfaut"/>
    <w:link w:val="Titre3"/>
    <w:rsid w:val="006C0787"/>
    <w:rPr>
      <w:rFonts w:ascii="Marianne Thin" w:hAnsi="Marianne Thin"/>
    </w:rPr>
  </w:style>
  <w:style w:type="character" w:styleId="Lienhypertexte">
    <w:name w:val="Hyperlink"/>
    <w:basedOn w:val="Policepardfaut"/>
    <w:uiPriority w:val="99"/>
    <w:unhideWhenUsed/>
    <w:rsid w:val="0055334E"/>
    <w:rPr>
      <w:color w:val="0563C1" w:themeColor="hyperlink"/>
      <w:u w:val="single"/>
    </w:rPr>
  </w:style>
  <w:style w:type="character" w:styleId="Lienhypertextesuivivisit">
    <w:name w:val="FollowedHyperlink"/>
    <w:basedOn w:val="Policepardfaut"/>
    <w:uiPriority w:val="99"/>
    <w:semiHidden/>
    <w:unhideWhenUsed/>
    <w:rsid w:val="0055334E"/>
    <w:rPr>
      <w:color w:val="954F72" w:themeColor="followedHyperlink"/>
      <w:u w:val="single"/>
    </w:rPr>
  </w:style>
  <w:style w:type="paragraph" w:styleId="Paragraphedeliste">
    <w:name w:val="List Paragraph"/>
    <w:aliases w:val="ADEME Paragraphe de liste,EC,Paragraphe de liste11,Puce,Colorful List Accent 1,List Paragraph (numbered (a)),List_Paragraph,Multilevel para_II,List Paragraph1,Rec para,Dot pt,F5 List Paragraph,No Spacing1,L"/>
    <w:basedOn w:val="Normal"/>
    <w:link w:val="ParagraphedelisteCar"/>
    <w:uiPriority w:val="34"/>
    <w:qFormat/>
    <w:rsid w:val="0055334E"/>
    <w:pPr>
      <w:ind w:left="720"/>
      <w:contextualSpacing/>
    </w:pPr>
  </w:style>
  <w:style w:type="paragraph" w:styleId="Textedebulles">
    <w:name w:val="Balloon Text"/>
    <w:basedOn w:val="Normal"/>
    <w:link w:val="TextedebullesCar"/>
    <w:uiPriority w:val="99"/>
    <w:semiHidden/>
    <w:unhideWhenUsed/>
    <w:rsid w:val="0055334E"/>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334E"/>
    <w:rPr>
      <w:rFonts w:ascii="Segoe UI" w:hAnsi="Segoe UI" w:cs="Segoe UI"/>
      <w:sz w:val="18"/>
      <w:szCs w:val="18"/>
    </w:rPr>
  </w:style>
  <w:style w:type="table" w:styleId="Grilledutableau">
    <w:name w:val="Table Grid"/>
    <w:aliases w:val="Tableau CISI"/>
    <w:basedOn w:val="TableauNormal"/>
    <w:uiPriority w:val="39"/>
    <w:rsid w:val="005533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fn,footnote text,Footnotes,Footnote ak,Char5,Reference"/>
    <w:basedOn w:val="Normal"/>
    <w:link w:val="NotedebasdepageCar"/>
    <w:uiPriority w:val="99"/>
    <w:unhideWhenUsed/>
    <w:qFormat/>
    <w:rsid w:val="0055334E"/>
    <w:rPr>
      <w:sz w:val="20"/>
      <w:szCs w:val="20"/>
    </w:rPr>
  </w:style>
  <w:style w:type="character" w:customStyle="1" w:styleId="NotedebasdepageCar">
    <w:name w:val="Note de bas de page Car"/>
    <w:aliases w:val="fn Car,footnote text Car,Footnotes Car,Footnote ak Car,Char5 Car,Reference Car"/>
    <w:basedOn w:val="Policepardfaut"/>
    <w:link w:val="Notedebasdepage"/>
    <w:uiPriority w:val="99"/>
    <w:qFormat/>
    <w:rsid w:val="0055334E"/>
    <w:rPr>
      <w:sz w:val="20"/>
      <w:szCs w:val="20"/>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sid w:val="0055334E"/>
    <w:rPr>
      <w:vertAlign w:val="superscript"/>
    </w:rPr>
  </w:style>
  <w:style w:type="paragraph" w:styleId="Sansinterligne">
    <w:name w:val="No Spacing"/>
    <w:basedOn w:val="Normal"/>
    <w:uiPriority w:val="1"/>
    <w:qFormat/>
    <w:rsid w:val="00DE6D09"/>
    <w:pPr>
      <w:jc w:val="center"/>
    </w:pPr>
    <w:rPr>
      <w:rFonts w:ascii="Marianne" w:hAnsi="Marianne"/>
      <w:sz w:val="28"/>
    </w:rPr>
  </w:style>
  <w:style w:type="character" w:styleId="Marquedecommentaire">
    <w:name w:val="annotation reference"/>
    <w:basedOn w:val="Policepardfaut"/>
    <w:unhideWhenUsed/>
    <w:qFormat/>
    <w:rsid w:val="0055334E"/>
    <w:rPr>
      <w:sz w:val="16"/>
      <w:szCs w:val="16"/>
    </w:rPr>
  </w:style>
  <w:style w:type="paragraph" w:styleId="Commentaire">
    <w:name w:val="annotation text"/>
    <w:basedOn w:val="Normal"/>
    <w:link w:val="CommentaireCar"/>
    <w:uiPriority w:val="99"/>
    <w:unhideWhenUsed/>
    <w:qFormat/>
    <w:rsid w:val="0055334E"/>
    <w:rPr>
      <w:sz w:val="20"/>
      <w:szCs w:val="20"/>
    </w:rPr>
  </w:style>
  <w:style w:type="character" w:customStyle="1" w:styleId="CommentaireCar">
    <w:name w:val="Commentaire Car"/>
    <w:basedOn w:val="Policepardfaut"/>
    <w:link w:val="Commentaire"/>
    <w:uiPriority w:val="99"/>
    <w:rsid w:val="0055334E"/>
    <w:rPr>
      <w:sz w:val="20"/>
      <w:szCs w:val="20"/>
    </w:rPr>
  </w:style>
  <w:style w:type="paragraph" w:styleId="Objetducommentaire">
    <w:name w:val="annotation subject"/>
    <w:basedOn w:val="Commentaire"/>
    <w:next w:val="Commentaire"/>
    <w:link w:val="ObjetducommentaireCar"/>
    <w:uiPriority w:val="99"/>
    <w:semiHidden/>
    <w:unhideWhenUsed/>
    <w:rsid w:val="0055334E"/>
    <w:rPr>
      <w:b/>
      <w:bCs/>
    </w:rPr>
  </w:style>
  <w:style w:type="character" w:customStyle="1" w:styleId="ObjetducommentaireCar">
    <w:name w:val="Objet du commentaire Car"/>
    <w:basedOn w:val="CommentaireCar"/>
    <w:link w:val="Objetducommentaire"/>
    <w:uiPriority w:val="99"/>
    <w:semiHidden/>
    <w:rsid w:val="0055334E"/>
    <w:rPr>
      <w:b/>
      <w:bCs/>
      <w:sz w:val="20"/>
      <w:szCs w:val="20"/>
    </w:rPr>
  </w:style>
  <w:style w:type="paragraph" w:styleId="En-ttedetabledesmatires">
    <w:name w:val="TOC Heading"/>
    <w:basedOn w:val="Titre1"/>
    <w:next w:val="Normal"/>
    <w:uiPriority w:val="39"/>
    <w:unhideWhenUsed/>
    <w:qFormat/>
    <w:rsid w:val="0055334E"/>
    <w:pPr>
      <w:outlineLvl w:val="9"/>
    </w:pPr>
    <w:rPr>
      <w:lang w:eastAsia="fr-FR"/>
    </w:rPr>
  </w:style>
  <w:style w:type="paragraph" w:styleId="TM1">
    <w:name w:val="toc 1"/>
    <w:basedOn w:val="Normal"/>
    <w:next w:val="Normal"/>
    <w:autoRedefine/>
    <w:uiPriority w:val="39"/>
    <w:unhideWhenUsed/>
    <w:rsid w:val="00593A7B"/>
    <w:pPr>
      <w:tabs>
        <w:tab w:val="left" w:pos="440"/>
        <w:tab w:val="right" w:leader="dot" w:pos="9062"/>
      </w:tabs>
      <w:spacing w:after="100"/>
    </w:pPr>
  </w:style>
  <w:style w:type="paragraph" w:styleId="TM2">
    <w:name w:val="toc 2"/>
    <w:basedOn w:val="Normal"/>
    <w:next w:val="Normal"/>
    <w:autoRedefine/>
    <w:uiPriority w:val="39"/>
    <w:unhideWhenUsed/>
    <w:rsid w:val="00593A7B"/>
    <w:pPr>
      <w:tabs>
        <w:tab w:val="left" w:pos="1100"/>
        <w:tab w:val="right" w:leader="dot" w:pos="9062"/>
      </w:tabs>
      <w:spacing w:after="100"/>
      <w:ind w:left="220"/>
    </w:pPr>
  </w:style>
  <w:style w:type="paragraph" w:styleId="En-tte">
    <w:name w:val="header"/>
    <w:basedOn w:val="Normal"/>
    <w:link w:val="En-tteCar"/>
    <w:uiPriority w:val="99"/>
    <w:unhideWhenUsed/>
    <w:rsid w:val="0055334E"/>
    <w:pPr>
      <w:tabs>
        <w:tab w:val="center" w:pos="4536"/>
        <w:tab w:val="right" w:pos="9072"/>
      </w:tabs>
    </w:pPr>
  </w:style>
  <w:style w:type="character" w:customStyle="1" w:styleId="En-tteCar">
    <w:name w:val="En-tête Car"/>
    <w:basedOn w:val="Policepardfaut"/>
    <w:link w:val="En-tte"/>
    <w:uiPriority w:val="99"/>
    <w:rsid w:val="0055334E"/>
  </w:style>
  <w:style w:type="paragraph" w:styleId="Pieddepage">
    <w:name w:val="footer"/>
    <w:basedOn w:val="Normal"/>
    <w:link w:val="PieddepageCar"/>
    <w:uiPriority w:val="99"/>
    <w:unhideWhenUsed/>
    <w:rsid w:val="0055334E"/>
    <w:pPr>
      <w:tabs>
        <w:tab w:val="center" w:pos="4536"/>
        <w:tab w:val="right" w:pos="9072"/>
      </w:tabs>
    </w:pPr>
  </w:style>
  <w:style w:type="character" w:customStyle="1" w:styleId="PieddepageCar">
    <w:name w:val="Pied de page Car"/>
    <w:basedOn w:val="Policepardfaut"/>
    <w:link w:val="Pieddepage"/>
    <w:uiPriority w:val="99"/>
    <w:rsid w:val="0055334E"/>
  </w:style>
  <w:style w:type="paragraph" w:customStyle="1" w:styleId="Pa14">
    <w:name w:val="Pa14"/>
    <w:basedOn w:val="Normal"/>
    <w:next w:val="Normal"/>
    <w:uiPriority w:val="99"/>
    <w:rsid w:val="0055334E"/>
    <w:pPr>
      <w:autoSpaceDE w:val="0"/>
      <w:autoSpaceDN w:val="0"/>
      <w:adjustRightInd w:val="0"/>
      <w:spacing w:line="241" w:lineRule="atLeast"/>
    </w:pPr>
    <w:rPr>
      <w:rFonts w:ascii="Source Sans Pro" w:eastAsia="Times New Roman" w:hAnsi="Source Sans Pro" w:cs="Times New Roman"/>
      <w:sz w:val="24"/>
      <w:szCs w:val="24"/>
      <w:lang w:eastAsia="fr-FR"/>
    </w:rPr>
  </w:style>
  <w:style w:type="paragraph" w:styleId="Titre">
    <w:name w:val="Title"/>
    <w:basedOn w:val="Normal"/>
    <w:next w:val="Normal"/>
    <w:link w:val="TitreCar"/>
    <w:uiPriority w:val="10"/>
    <w:qFormat/>
    <w:rsid w:val="00D61658"/>
    <w:pPr>
      <w:spacing w:after="4" w:line="244" w:lineRule="auto"/>
      <w:ind w:right="1846"/>
      <w:jc w:val="left"/>
    </w:pPr>
    <w:rPr>
      <w:rFonts w:ascii="Marianne" w:hAnsi="Marianne"/>
    </w:rPr>
  </w:style>
  <w:style w:type="character" w:customStyle="1" w:styleId="TitreCar">
    <w:name w:val="Titre Car"/>
    <w:basedOn w:val="Policepardfaut"/>
    <w:link w:val="Titre"/>
    <w:uiPriority w:val="10"/>
    <w:rsid w:val="00D61658"/>
    <w:rPr>
      <w:rFonts w:ascii="Marianne" w:hAnsi="Marianne"/>
    </w:rPr>
  </w:style>
  <w:style w:type="character" w:styleId="Textedelespacerserv">
    <w:name w:val="Placeholder Text"/>
    <w:basedOn w:val="Policepardfaut"/>
    <w:uiPriority w:val="99"/>
    <w:semiHidden/>
    <w:rsid w:val="0055334E"/>
    <w:rPr>
      <w:color w:val="808080"/>
    </w:rPr>
  </w:style>
  <w:style w:type="character" w:customStyle="1" w:styleId="Policepardfaut1">
    <w:name w:val="Police par défaut1"/>
    <w:rsid w:val="0055334E"/>
  </w:style>
  <w:style w:type="paragraph" w:customStyle="1" w:styleId="FPFexpogentexte9">
    <w:name w:val="FPFexpogentexte9"/>
    <w:basedOn w:val="Normal"/>
    <w:rsid w:val="0055334E"/>
    <w:pPr>
      <w:widowControl w:val="0"/>
      <w:suppressAutoHyphens/>
      <w:autoSpaceDE w:val="0"/>
      <w:spacing w:before="20"/>
    </w:pPr>
    <w:rPr>
      <w:rFonts w:ascii="Arial" w:eastAsia="Arial" w:hAnsi="Arial" w:cs="Arial"/>
      <w:color w:val="000000"/>
      <w:lang w:val="en-US" w:eastAsia="zh-CN"/>
    </w:rPr>
  </w:style>
  <w:style w:type="paragraph" w:customStyle="1" w:styleId="Paragraphedeliste1">
    <w:name w:val="Paragraphe de liste1"/>
    <w:basedOn w:val="Normal"/>
    <w:rsid w:val="0055334E"/>
    <w:pPr>
      <w:suppressAutoHyphens/>
      <w:ind w:left="708"/>
    </w:pPr>
    <w:rPr>
      <w:rFonts w:ascii="Times New Roman" w:eastAsia="Times New Roman" w:hAnsi="Times New Roman" w:cs="Times New Roman"/>
      <w:sz w:val="24"/>
      <w:szCs w:val="24"/>
      <w:lang w:eastAsia="ar-SA"/>
    </w:rPr>
  </w:style>
  <w:style w:type="character" w:customStyle="1" w:styleId="ParagraphedelisteCar">
    <w:name w:val="Paragraphe de liste Car"/>
    <w:aliases w:val="ADEME Paragraphe de liste Car,EC Car,Paragraphe de liste11 Car,Puce Car,Colorful List Accent 1 Car,List Paragraph (numbered (a)) Car,List_Paragraph Car,Multilevel para_II Car,List Paragraph1 Car,Rec para Car,Dot pt Car,L Car"/>
    <w:link w:val="Paragraphedeliste"/>
    <w:uiPriority w:val="34"/>
    <w:qFormat/>
    <w:locked/>
    <w:rsid w:val="0055334E"/>
  </w:style>
  <w:style w:type="paragraph" w:styleId="TM3">
    <w:name w:val="toc 3"/>
    <w:basedOn w:val="Normal"/>
    <w:next w:val="Normal"/>
    <w:autoRedefine/>
    <w:uiPriority w:val="39"/>
    <w:unhideWhenUsed/>
    <w:rsid w:val="0055334E"/>
    <w:pPr>
      <w:spacing w:after="100"/>
      <w:ind w:left="440"/>
    </w:pPr>
  </w:style>
  <w:style w:type="paragraph" w:styleId="Lgende">
    <w:name w:val="caption"/>
    <w:basedOn w:val="Normal"/>
    <w:next w:val="Normal"/>
    <w:uiPriority w:val="35"/>
    <w:unhideWhenUsed/>
    <w:qFormat/>
    <w:rsid w:val="0055334E"/>
    <w:pPr>
      <w:spacing w:after="200"/>
    </w:pPr>
    <w:rPr>
      <w:rFonts w:ascii="Calibri" w:eastAsia="Times New Roman" w:hAnsi="Calibri" w:cs="Calibri"/>
      <w:i/>
      <w:iCs/>
      <w:color w:val="44546A" w:themeColor="text2"/>
      <w:sz w:val="18"/>
      <w:szCs w:val="18"/>
      <w:lang w:eastAsia="fr-FR"/>
    </w:rPr>
  </w:style>
  <w:style w:type="paragraph" w:styleId="Rvision">
    <w:name w:val="Revision"/>
    <w:hidden/>
    <w:uiPriority w:val="99"/>
    <w:semiHidden/>
    <w:rsid w:val="0055334E"/>
    <w:pPr>
      <w:spacing w:after="0"/>
    </w:pPr>
  </w:style>
  <w:style w:type="paragraph" w:styleId="NormalWeb">
    <w:name w:val="Normal (Web)"/>
    <w:basedOn w:val="Normal"/>
    <w:uiPriority w:val="99"/>
    <w:unhideWhenUsed/>
    <w:rsid w:val="005D30CC"/>
    <w:pPr>
      <w:spacing w:before="100" w:beforeAutospacing="1" w:after="100" w:afterAutospacing="1"/>
    </w:pPr>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55334E"/>
    <w:rPr>
      <w:sz w:val="20"/>
      <w:szCs w:val="20"/>
    </w:rPr>
  </w:style>
  <w:style w:type="character" w:customStyle="1" w:styleId="NotedefinCar">
    <w:name w:val="Note de fin Car"/>
    <w:basedOn w:val="Policepardfaut"/>
    <w:link w:val="Notedefin"/>
    <w:uiPriority w:val="99"/>
    <w:semiHidden/>
    <w:rsid w:val="0055334E"/>
    <w:rPr>
      <w:sz w:val="20"/>
      <w:szCs w:val="20"/>
    </w:rPr>
  </w:style>
  <w:style w:type="character" w:styleId="Appeldenotedefin">
    <w:name w:val="endnote reference"/>
    <w:basedOn w:val="Policepardfaut"/>
    <w:uiPriority w:val="99"/>
    <w:semiHidden/>
    <w:unhideWhenUsed/>
    <w:rsid w:val="0055334E"/>
    <w:rPr>
      <w:vertAlign w:val="superscript"/>
    </w:rPr>
  </w:style>
  <w:style w:type="table" w:customStyle="1" w:styleId="Grilledutableau1">
    <w:name w:val="Grille du tableau1"/>
    <w:basedOn w:val="TableauNormal"/>
    <w:next w:val="Grilledutableau"/>
    <w:uiPriority w:val="39"/>
    <w:rsid w:val="0040522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6C9C"/>
    <w:rPr>
      <w:rFonts w:ascii="Calibri" w:hAnsi="Calibri" w:cs="Calibri"/>
    </w:rPr>
  </w:style>
  <w:style w:type="character" w:customStyle="1" w:styleId="TextebrutCar">
    <w:name w:val="Texte brut Car"/>
    <w:basedOn w:val="Policepardfaut"/>
    <w:link w:val="Textebrut"/>
    <w:uiPriority w:val="99"/>
    <w:rsid w:val="00D16C9C"/>
    <w:rPr>
      <w:rFonts w:ascii="Calibri" w:hAnsi="Calibri" w:cs="Calibri"/>
    </w:rPr>
  </w:style>
  <w:style w:type="character" w:customStyle="1" w:styleId="highlight">
    <w:name w:val="highlight"/>
    <w:basedOn w:val="Policepardfaut"/>
    <w:rsid w:val="00E156F4"/>
  </w:style>
  <w:style w:type="paragraph" w:customStyle="1" w:styleId="footnotedescription">
    <w:name w:val="footnote description"/>
    <w:next w:val="Normal"/>
    <w:link w:val="footnotedescriptionChar"/>
    <w:hidden/>
    <w:rsid w:val="00E77DED"/>
    <w:pPr>
      <w:spacing w:after="0"/>
    </w:pPr>
    <w:rPr>
      <w:rFonts w:ascii="Calibri" w:eastAsia="Calibri" w:hAnsi="Calibri" w:cs="Calibri"/>
      <w:color w:val="000000"/>
      <w:sz w:val="20"/>
      <w:lang w:eastAsia="fr-FR"/>
    </w:rPr>
  </w:style>
  <w:style w:type="character" w:customStyle="1" w:styleId="footnotedescriptionChar">
    <w:name w:val="footnote description Char"/>
    <w:link w:val="footnotedescription"/>
    <w:rsid w:val="00E77DED"/>
    <w:rPr>
      <w:rFonts w:ascii="Calibri" w:eastAsia="Calibri" w:hAnsi="Calibri" w:cs="Calibri"/>
      <w:color w:val="000000"/>
      <w:sz w:val="20"/>
      <w:lang w:eastAsia="fr-FR"/>
    </w:rPr>
  </w:style>
  <w:style w:type="character" w:customStyle="1" w:styleId="footnotemark">
    <w:name w:val="footnote mark"/>
    <w:hidden/>
    <w:rsid w:val="00E77DED"/>
    <w:rPr>
      <w:rFonts w:ascii="Calibri" w:eastAsia="Calibri" w:hAnsi="Calibri" w:cs="Calibri"/>
      <w:color w:val="000000"/>
      <w:sz w:val="20"/>
      <w:vertAlign w:val="superscript"/>
    </w:rPr>
  </w:style>
  <w:style w:type="paragraph" w:styleId="Sous-titre">
    <w:name w:val="Subtitle"/>
    <w:basedOn w:val="Normal"/>
    <w:next w:val="Normal"/>
    <w:link w:val="Sous-titreCar"/>
    <w:uiPriority w:val="11"/>
    <w:qFormat/>
    <w:rsid w:val="001E7358"/>
    <w:rPr>
      <w:u w:val="single"/>
    </w:rPr>
  </w:style>
  <w:style w:type="character" w:customStyle="1" w:styleId="Sous-titreCar">
    <w:name w:val="Sous-titre Car"/>
    <w:basedOn w:val="Policepardfaut"/>
    <w:link w:val="Sous-titre"/>
    <w:uiPriority w:val="11"/>
    <w:rsid w:val="001E7358"/>
    <w:rPr>
      <w:rFonts w:ascii="Marianne Thin" w:hAnsi="Marianne Thin"/>
      <w:u w:val="single"/>
    </w:rPr>
  </w:style>
  <w:style w:type="paragraph" w:customStyle="1" w:styleId="Default">
    <w:name w:val="Default"/>
    <w:rsid w:val="0060167F"/>
    <w:pPr>
      <w:autoSpaceDE w:val="0"/>
      <w:autoSpaceDN w:val="0"/>
      <w:adjustRightInd w:val="0"/>
      <w:spacing w:after="0"/>
    </w:pPr>
    <w:rPr>
      <w:rFonts w:ascii="Arial" w:eastAsia="Arial" w:hAnsi="Arial" w:cs="Arial"/>
      <w:color w:val="000000"/>
      <w:sz w:val="24"/>
      <w:szCs w:val="24"/>
      <w:lang w:eastAsia="fr-FR"/>
    </w:rPr>
  </w:style>
  <w:style w:type="character" w:customStyle="1" w:styleId="Titre4Car">
    <w:name w:val="Titre 4 Car"/>
    <w:basedOn w:val="Policepardfaut"/>
    <w:link w:val="Titre4"/>
    <w:rsid w:val="00C70683"/>
    <w:rPr>
      <w:rFonts w:ascii="Arial" w:eastAsia="Arial" w:hAnsi="Arial" w:cs="Arial"/>
      <w:b/>
      <w:sz w:val="24"/>
      <w:szCs w:val="24"/>
      <w:lang w:eastAsia="fr-FR"/>
    </w:rPr>
  </w:style>
  <w:style w:type="character" w:customStyle="1" w:styleId="Titre5Car">
    <w:name w:val="Titre 5 Car"/>
    <w:basedOn w:val="Policepardfaut"/>
    <w:link w:val="Titre5"/>
    <w:rsid w:val="00C70683"/>
    <w:rPr>
      <w:rFonts w:ascii="Garamond" w:eastAsia="Garamond" w:hAnsi="Garamond" w:cs="Garamond"/>
      <w:color w:val="000000"/>
      <w:u w:val="single"/>
      <w:lang w:eastAsia="fr-FR"/>
    </w:rPr>
  </w:style>
  <w:style w:type="character" w:customStyle="1" w:styleId="Titre6Car">
    <w:name w:val="Titre 6 Car"/>
    <w:basedOn w:val="Policepardfaut"/>
    <w:link w:val="Titre6"/>
    <w:rsid w:val="00C70683"/>
    <w:rPr>
      <w:rFonts w:ascii="Arial" w:eastAsia="Arial" w:hAnsi="Arial" w:cs="Arial"/>
      <w:b/>
      <w:sz w:val="20"/>
      <w:szCs w:val="20"/>
      <w:lang w:eastAsia="fr-FR"/>
    </w:rPr>
  </w:style>
  <w:style w:type="character" w:customStyle="1" w:styleId="Titre7Car">
    <w:name w:val="Titre 7 Car"/>
    <w:basedOn w:val="Policepardfaut"/>
    <w:link w:val="Titre7"/>
    <w:uiPriority w:val="9"/>
    <w:semiHidden/>
    <w:rsid w:val="00C70683"/>
    <w:rPr>
      <w:rFonts w:asciiTheme="majorHAnsi" w:eastAsiaTheme="majorEastAsia" w:hAnsiTheme="majorHAnsi" w:cstheme="majorBidi"/>
      <w:i/>
      <w:iCs/>
      <w:color w:val="1F4D78" w:themeColor="accent1" w:themeShade="7F"/>
      <w:lang w:eastAsia="fr-FR"/>
    </w:rPr>
  </w:style>
  <w:style w:type="character" w:customStyle="1" w:styleId="Titre8Car">
    <w:name w:val="Titre 8 Car"/>
    <w:basedOn w:val="Policepardfaut"/>
    <w:link w:val="Titre8"/>
    <w:uiPriority w:val="9"/>
    <w:semiHidden/>
    <w:rsid w:val="00C70683"/>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C70683"/>
    <w:rPr>
      <w:rFonts w:asciiTheme="majorHAnsi" w:eastAsiaTheme="majorEastAsia" w:hAnsiTheme="majorHAnsi" w:cstheme="majorBidi"/>
      <w:i/>
      <w:iCs/>
      <w:color w:val="272727" w:themeColor="text1" w:themeTint="D8"/>
      <w:sz w:val="21"/>
      <w:szCs w:val="21"/>
      <w:lang w:eastAsia="fr-FR"/>
    </w:rPr>
  </w:style>
  <w:style w:type="paragraph" w:customStyle="1" w:styleId="Normal11">
    <w:name w:val="Normal11"/>
    <w:qFormat/>
    <w:rsid w:val="00385445"/>
    <w:pPr>
      <w:suppressAutoHyphens/>
      <w:spacing w:after="60"/>
    </w:pPr>
    <w:rPr>
      <w:rFonts w:ascii="Arial" w:eastAsia="SimSun" w:hAnsi="Arial" w:cs="Arial"/>
      <w:color w:val="000000"/>
      <w:sz w:val="24"/>
      <w:szCs w:val="24"/>
      <w:lang w:eastAsia="ar-SA" w:bidi="hi-IN"/>
    </w:rPr>
  </w:style>
  <w:style w:type="character" w:styleId="lev">
    <w:name w:val="Strong"/>
    <w:basedOn w:val="Policepardfaut"/>
    <w:uiPriority w:val="22"/>
    <w:qFormat/>
    <w:rsid w:val="00924FFA"/>
    <w:rPr>
      <w:b/>
      <w:bCs/>
    </w:rPr>
  </w:style>
  <w:style w:type="table" w:customStyle="1" w:styleId="TableNormal">
    <w:name w:val="Table Normal"/>
    <w:uiPriority w:val="2"/>
    <w:qFormat/>
    <w:rsid w:val="00DD1CFA"/>
    <w:pPr>
      <w:spacing w:after="60"/>
      <w:jc w:val="both"/>
    </w:pPr>
    <w:rPr>
      <w:rFonts w:ascii="Arial" w:eastAsia="Arial" w:hAnsi="Arial" w:cs="Arial"/>
      <w:lang w:eastAsia="fr-FR"/>
    </w:rPr>
    <w:tblPr>
      <w:tblCellMar>
        <w:top w:w="0" w:type="dxa"/>
        <w:left w:w="0" w:type="dxa"/>
        <w:bottom w:w="0" w:type="dxa"/>
        <w:right w:w="0" w:type="dxa"/>
      </w:tblCellMar>
    </w:tblPr>
  </w:style>
  <w:style w:type="paragraph" w:customStyle="1" w:styleId="textecourant">
    <w:name w:val="_texte courant"/>
    <w:basedOn w:val="Normal"/>
    <w:qFormat/>
    <w:rsid w:val="00DD1CFA"/>
    <w:pPr>
      <w:spacing w:after="120" w:line="290" w:lineRule="exact"/>
      <w:jc w:val="left"/>
    </w:pPr>
    <w:rPr>
      <w:rFonts w:ascii="Arial" w:eastAsia="Times New Roman" w:hAnsi="Arial" w:cs="Arial"/>
      <w:noProof/>
      <w:lang w:eastAsia="fr-FR"/>
    </w:rPr>
  </w:style>
  <w:style w:type="paragraph" w:customStyle="1" w:styleId="TableParagraph">
    <w:name w:val="Table Paragraph"/>
    <w:basedOn w:val="Normal"/>
    <w:uiPriority w:val="1"/>
    <w:qFormat/>
    <w:rsid w:val="00DD1CFA"/>
    <w:pPr>
      <w:widowControl w:val="0"/>
      <w:autoSpaceDE w:val="0"/>
      <w:autoSpaceDN w:val="0"/>
      <w:spacing w:after="0"/>
      <w:ind w:left="107"/>
      <w:jc w:val="left"/>
    </w:pPr>
    <w:rPr>
      <w:rFonts w:ascii="Carlito" w:eastAsia="Carlito" w:hAnsi="Carlito" w:cs="Carlito"/>
    </w:rPr>
  </w:style>
  <w:style w:type="paragraph" w:customStyle="1" w:styleId="Listes">
    <w:name w:val="Listes"/>
    <w:basedOn w:val="Normal"/>
    <w:qFormat/>
    <w:rsid w:val="00E4758F"/>
    <w:pPr>
      <w:numPr>
        <w:numId w:val="10"/>
      </w:numPr>
      <w:spacing w:before="60" w:after="60"/>
      <w:ind w:left="714" w:hanging="357"/>
    </w:pPr>
    <w:rPr>
      <w:rFonts w:ascii="Arial" w:eastAsia="Times New Roman" w:hAnsi="Arial" w:cs="Times New Roman"/>
      <w:sz w:val="20"/>
      <w:szCs w:val="20"/>
      <w:lang w:eastAsia="fr-FR"/>
    </w:rPr>
  </w:style>
  <w:style w:type="character" w:customStyle="1" w:styleId="LienInternet">
    <w:name w:val="Lien Internet"/>
    <w:basedOn w:val="Policepardfaut"/>
    <w:uiPriority w:val="99"/>
    <w:rsid w:val="00C47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129">
      <w:bodyDiv w:val="1"/>
      <w:marLeft w:val="0"/>
      <w:marRight w:val="0"/>
      <w:marTop w:val="0"/>
      <w:marBottom w:val="0"/>
      <w:divBdr>
        <w:top w:val="none" w:sz="0" w:space="0" w:color="auto"/>
        <w:left w:val="none" w:sz="0" w:space="0" w:color="auto"/>
        <w:bottom w:val="none" w:sz="0" w:space="0" w:color="auto"/>
        <w:right w:val="none" w:sz="0" w:space="0" w:color="auto"/>
      </w:divBdr>
    </w:div>
    <w:div w:id="121045219">
      <w:bodyDiv w:val="1"/>
      <w:marLeft w:val="0"/>
      <w:marRight w:val="0"/>
      <w:marTop w:val="0"/>
      <w:marBottom w:val="0"/>
      <w:divBdr>
        <w:top w:val="none" w:sz="0" w:space="0" w:color="auto"/>
        <w:left w:val="none" w:sz="0" w:space="0" w:color="auto"/>
        <w:bottom w:val="none" w:sz="0" w:space="0" w:color="auto"/>
        <w:right w:val="none" w:sz="0" w:space="0" w:color="auto"/>
      </w:divBdr>
    </w:div>
    <w:div w:id="125591673">
      <w:bodyDiv w:val="1"/>
      <w:marLeft w:val="0"/>
      <w:marRight w:val="0"/>
      <w:marTop w:val="0"/>
      <w:marBottom w:val="0"/>
      <w:divBdr>
        <w:top w:val="none" w:sz="0" w:space="0" w:color="auto"/>
        <w:left w:val="none" w:sz="0" w:space="0" w:color="auto"/>
        <w:bottom w:val="none" w:sz="0" w:space="0" w:color="auto"/>
        <w:right w:val="none" w:sz="0" w:space="0" w:color="auto"/>
      </w:divBdr>
    </w:div>
    <w:div w:id="127284358">
      <w:bodyDiv w:val="1"/>
      <w:marLeft w:val="0"/>
      <w:marRight w:val="0"/>
      <w:marTop w:val="0"/>
      <w:marBottom w:val="0"/>
      <w:divBdr>
        <w:top w:val="none" w:sz="0" w:space="0" w:color="auto"/>
        <w:left w:val="none" w:sz="0" w:space="0" w:color="auto"/>
        <w:bottom w:val="none" w:sz="0" w:space="0" w:color="auto"/>
        <w:right w:val="none" w:sz="0" w:space="0" w:color="auto"/>
      </w:divBdr>
    </w:div>
    <w:div w:id="129828221">
      <w:bodyDiv w:val="1"/>
      <w:marLeft w:val="0"/>
      <w:marRight w:val="0"/>
      <w:marTop w:val="0"/>
      <w:marBottom w:val="0"/>
      <w:divBdr>
        <w:top w:val="none" w:sz="0" w:space="0" w:color="auto"/>
        <w:left w:val="none" w:sz="0" w:space="0" w:color="auto"/>
        <w:bottom w:val="none" w:sz="0" w:space="0" w:color="auto"/>
        <w:right w:val="none" w:sz="0" w:space="0" w:color="auto"/>
      </w:divBdr>
    </w:div>
    <w:div w:id="134688526">
      <w:bodyDiv w:val="1"/>
      <w:marLeft w:val="0"/>
      <w:marRight w:val="0"/>
      <w:marTop w:val="0"/>
      <w:marBottom w:val="0"/>
      <w:divBdr>
        <w:top w:val="none" w:sz="0" w:space="0" w:color="auto"/>
        <w:left w:val="none" w:sz="0" w:space="0" w:color="auto"/>
        <w:bottom w:val="none" w:sz="0" w:space="0" w:color="auto"/>
        <w:right w:val="none" w:sz="0" w:space="0" w:color="auto"/>
      </w:divBdr>
    </w:div>
    <w:div w:id="264729331">
      <w:bodyDiv w:val="1"/>
      <w:marLeft w:val="0"/>
      <w:marRight w:val="0"/>
      <w:marTop w:val="0"/>
      <w:marBottom w:val="0"/>
      <w:divBdr>
        <w:top w:val="none" w:sz="0" w:space="0" w:color="auto"/>
        <w:left w:val="none" w:sz="0" w:space="0" w:color="auto"/>
        <w:bottom w:val="none" w:sz="0" w:space="0" w:color="auto"/>
        <w:right w:val="none" w:sz="0" w:space="0" w:color="auto"/>
      </w:divBdr>
    </w:div>
    <w:div w:id="456146621">
      <w:bodyDiv w:val="1"/>
      <w:marLeft w:val="0"/>
      <w:marRight w:val="0"/>
      <w:marTop w:val="0"/>
      <w:marBottom w:val="0"/>
      <w:divBdr>
        <w:top w:val="none" w:sz="0" w:space="0" w:color="auto"/>
        <w:left w:val="none" w:sz="0" w:space="0" w:color="auto"/>
        <w:bottom w:val="none" w:sz="0" w:space="0" w:color="auto"/>
        <w:right w:val="none" w:sz="0" w:space="0" w:color="auto"/>
      </w:divBdr>
    </w:div>
    <w:div w:id="456458600">
      <w:bodyDiv w:val="1"/>
      <w:marLeft w:val="0"/>
      <w:marRight w:val="0"/>
      <w:marTop w:val="0"/>
      <w:marBottom w:val="0"/>
      <w:divBdr>
        <w:top w:val="none" w:sz="0" w:space="0" w:color="auto"/>
        <w:left w:val="none" w:sz="0" w:space="0" w:color="auto"/>
        <w:bottom w:val="none" w:sz="0" w:space="0" w:color="auto"/>
        <w:right w:val="none" w:sz="0" w:space="0" w:color="auto"/>
      </w:divBdr>
    </w:div>
    <w:div w:id="540170514">
      <w:bodyDiv w:val="1"/>
      <w:marLeft w:val="0"/>
      <w:marRight w:val="0"/>
      <w:marTop w:val="0"/>
      <w:marBottom w:val="0"/>
      <w:divBdr>
        <w:top w:val="none" w:sz="0" w:space="0" w:color="auto"/>
        <w:left w:val="none" w:sz="0" w:space="0" w:color="auto"/>
        <w:bottom w:val="none" w:sz="0" w:space="0" w:color="auto"/>
        <w:right w:val="none" w:sz="0" w:space="0" w:color="auto"/>
      </w:divBdr>
    </w:div>
    <w:div w:id="554314888">
      <w:bodyDiv w:val="1"/>
      <w:marLeft w:val="0"/>
      <w:marRight w:val="0"/>
      <w:marTop w:val="0"/>
      <w:marBottom w:val="0"/>
      <w:divBdr>
        <w:top w:val="none" w:sz="0" w:space="0" w:color="auto"/>
        <w:left w:val="none" w:sz="0" w:space="0" w:color="auto"/>
        <w:bottom w:val="none" w:sz="0" w:space="0" w:color="auto"/>
        <w:right w:val="none" w:sz="0" w:space="0" w:color="auto"/>
      </w:divBdr>
    </w:div>
    <w:div w:id="576599710">
      <w:bodyDiv w:val="1"/>
      <w:marLeft w:val="0"/>
      <w:marRight w:val="0"/>
      <w:marTop w:val="0"/>
      <w:marBottom w:val="0"/>
      <w:divBdr>
        <w:top w:val="none" w:sz="0" w:space="0" w:color="auto"/>
        <w:left w:val="none" w:sz="0" w:space="0" w:color="auto"/>
        <w:bottom w:val="none" w:sz="0" w:space="0" w:color="auto"/>
        <w:right w:val="none" w:sz="0" w:space="0" w:color="auto"/>
      </w:divBdr>
    </w:div>
    <w:div w:id="599340877">
      <w:bodyDiv w:val="1"/>
      <w:marLeft w:val="0"/>
      <w:marRight w:val="0"/>
      <w:marTop w:val="0"/>
      <w:marBottom w:val="0"/>
      <w:divBdr>
        <w:top w:val="none" w:sz="0" w:space="0" w:color="auto"/>
        <w:left w:val="none" w:sz="0" w:space="0" w:color="auto"/>
        <w:bottom w:val="none" w:sz="0" w:space="0" w:color="auto"/>
        <w:right w:val="none" w:sz="0" w:space="0" w:color="auto"/>
      </w:divBdr>
    </w:div>
    <w:div w:id="601229913">
      <w:bodyDiv w:val="1"/>
      <w:marLeft w:val="0"/>
      <w:marRight w:val="0"/>
      <w:marTop w:val="0"/>
      <w:marBottom w:val="0"/>
      <w:divBdr>
        <w:top w:val="none" w:sz="0" w:space="0" w:color="auto"/>
        <w:left w:val="none" w:sz="0" w:space="0" w:color="auto"/>
        <w:bottom w:val="none" w:sz="0" w:space="0" w:color="auto"/>
        <w:right w:val="none" w:sz="0" w:space="0" w:color="auto"/>
      </w:divBdr>
    </w:div>
    <w:div w:id="662005381">
      <w:bodyDiv w:val="1"/>
      <w:marLeft w:val="0"/>
      <w:marRight w:val="0"/>
      <w:marTop w:val="0"/>
      <w:marBottom w:val="0"/>
      <w:divBdr>
        <w:top w:val="none" w:sz="0" w:space="0" w:color="auto"/>
        <w:left w:val="none" w:sz="0" w:space="0" w:color="auto"/>
        <w:bottom w:val="none" w:sz="0" w:space="0" w:color="auto"/>
        <w:right w:val="none" w:sz="0" w:space="0" w:color="auto"/>
      </w:divBdr>
    </w:div>
    <w:div w:id="704599341">
      <w:bodyDiv w:val="1"/>
      <w:marLeft w:val="0"/>
      <w:marRight w:val="0"/>
      <w:marTop w:val="0"/>
      <w:marBottom w:val="0"/>
      <w:divBdr>
        <w:top w:val="none" w:sz="0" w:space="0" w:color="auto"/>
        <w:left w:val="none" w:sz="0" w:space="0" w:color="auto"/>
        <w:bottom w:val="none" w:sz="0" w:space="0" w:color="auto"/>
        <w:right w:val="none" w:sz="0" w:space="0" w:color="auto"/>
      </w:divBdr>
    </w:div>
    <w:div w:id="707341165">
      <w:bodyDiv w:val="1"/>
      <w:marLeft w:val="0"/>
      <w:marRight w:val="0"/>
      <w:marTop w:val="0"/>
      <w:marBottom w:val="0"/>
      <w:divBdr>
        <w:top w:val="none" w:sz="0" w:space="0" w:color="auto"/>
        <w:left w:val="none" w:sz="0" w:space="0" w:color="auto"/>
        <w:bottom w:val="none" w:sz="0" w:space="0" w:color="auto"/>
        <w:right w:val="none" w:sz="0" w:space="0" w:color="auto"/>
      </w:divBdr>
    </w:div>
    <w:div w:id="707875878">
      <w:bodyDiv w:val="1"/>
      <w:marLeft w:val="0"/>
      <w:marRight w:val="0"/>
      <w:marTop w:val="0"/>
      <w:marBottom w:val="0"/>
      <w:divBdr>
        <w:top w:val="none" w:sz="0" w:space="0" w:color="auto"/>
        <w:left w:val="none" w:sz="0" w:space="0" w:color="auto"/>
        <w:bottom w:val="none" w:sz="0" w:space="0" w:color="auto"/>
        <w:right w:val="none" w:sz="0" w:space="0" w:color="auto"/>
      </w:divBdr>
    </w:div>
    <w:div w:id="719941702">
      <w:bodyDiv w:val="1"/>
      <w:marLeft w:val="0"/>
      <w:marRight w:val="0"/>
      <w:marTop w:val="0"/>
      <w:marBottom w:val="0"/>
      <w:divBdr>
        <w:top w:val="none" w:sz="0" w:space="0" w:color="auto"/>
        <w:left w:val="none" w:sz="0" w:space="0" w:color="auto"/>
        <w:bottom w:val="none" w:sz="0" w:space="0" w:color="auto"/>
        <w:right w:val="none" w:sz="0" w:space="0" w:color="auto"/>
      </w:divBdr>
    </w:div>
    <w:div w:id="733773032">
      <w:bodyDiv w:val="1"/>
      <w:marLeft w:val="0"/>
      <w:marRight w:val="0"/>
      <w:marTop w:val="0"/>
      <w:marBottom w:val="0"/>
      <w:divBdr>
        <w:top w:val="none" w:sz="0" w:space="0" w:color="auto"/>
        <w:left w:val="none" w:sz="0" w:space="0" w:color="auto"/>
        <w:bottom w:val="none" w:sz="0" w:space="0" w:color="auto"/>
        <w:right w:val="none" w:sz="0" w:space="0" w:color="auto"/>
      </w:divBdr>
    </w:div>
    <w:div w:id="777867449">
      <w:bodyDiv w:val="1"/>
      <w:marLeft w:val="0"/>
      <w:marRight w:val="0"/>
      <w:marTop w:val="0"/>
      <w:marBottom w:val="0"/>
      <w:divBdr>
        <w:top w:val="none" w:sz="0" w:space="0" w:color="auto"/>
        <w:left w:val="none" w:sz="0" w:space="0" w:color="auto"/>
        <w:bottom w:val="none" w:sz="0" w:space="0" w:color="auto"/>
        <w:right w:val="none" w:sz="0" w:space="0" w:color="auto"/>
      </w:divBdr>
    </w:div>
    <w:div w:id="836844760">
      <w:bodyDiv w:val="1"/>
      <w:marLeft w:val="0"/>
      <w:marRight w:val="0"/>
      <w:marTop w:val="0"/>
      <w:marBottom w:val="0"/>
      <w:divBdr>
        <w:top w:val="none" w:sz="0" w:space="0" w:color="auto"/>
        <w:left w:val="none" w:sz="0" w:space="0" w:color="auto"/>
        <w:bottom w:val="none" w:sz="0" w:space="0" w:color="auto"/>
        <w:right w:val="none" w:sz="0" w:space="0" w:color="auto"/>
      </w:divBdr>
    </w:div>
    <w:div w:id="851528607">
      <w:bodyDiv w:val="1"/>
      <w:marLeft w:val="0"/>
      <w:marRight w:val="0"/>
      <w:marTop w:val="0"/>
      <w:marBottom w:val="0"/>
      <w:divBdr>
        <w:top w:val="none" w:sz="0" w:space="0" w:color="auto"/>
        <w:left w:val="none" w:sz="0" w:space="0" w:color="auto"/>
        <w:bottom w:val="none" w:sz="0" w:space="0" w:color="auto"/>
        <w:right w:val="none" w:sz="0" w:space="0" w:color="auto"/>
      </w:divBdr>
    </w:div>
    <w:div w:id="886071084">
      <w:bodyDiv w:val="1"/>
      <w:marLeft w:val="0"/>
      <w:marRight w:val="0"/>
      <w:marTop w:val="0"/>
      <w:marBottom w:val="0"/>
      <w:divBdr>
        <w:top w:val="none" w:sz="0" w:space="0" w:color="auto"/>
        <w:left w:val="none" w:sz="0" w:space="0" w:color="auto"/>
        <w:bottom w:val="none" w:sz="0" w:space="0" w:color="auto"/>
        <w:right w:val="none" w:sz="0" w:space="0" w:color="auto"/>
      </w:divBdr>
    </w:div>
    <w:div w:id="886180006">
      <w:bodyDiv w:val="1"/>
      <w:marLeft w:val="0"/>
      <w:marRight w:val="0"/>
      <w:marTop w:val="0"/>
      <w:marBottom w:val="0"/>
      <w:divBdr>
        <w:top w:val="none" w:sz="0" w:space="0" w:color="auto"/>
        <w:left w:val="none" w:sz="0" w:space="0" w:color="auto"/>
        <w:bottom w:val="none" w:sz="0" w:space="0" w:color="auto"/>
        <w:right w:val="none" w:sz="0" w:space="0" w:color="auto"/>
      </w:divBdr>
    </w:div>
    <w:div w:id="923688782">
      <w:bodyDiv w:val="1"/>
      <w:marLeft w:val="0"/>
      <w:marRight w:val="0"/>
      <w:marTop w:val="0"/>
      <w:marBottom w:val="0"/>
      <w:divBdr>
        <w:top w:val="none" w:sz="0" w:space="0" w:color="auto"/>
        <w:left w:val="none" w:sz="0" w:space="0" w:color="auto"/>
        <w:bottom w:val="none" w:sz="0" w:space="0" w:color="auto"/>
        <w:right w:val="none" w:sz="0" w:space="0" w:color="auto"/>
      </w:divBdr>
    </w:div>
    <w:div w:id="925848890">
      <w:bodyDiv w:val="1"/>
      <w:marLeft w:val="0"/>
      <w:marRight w:val="0"/>
      <w:marTop w:val="0"/>
      <w:marBottom w:val="0"/>
      <w:divBdr>
        <w:top w:val="none" w:sz="0" w:space="0" w:color="auto"/>
        <w:left w:val="none" w:sz="0" w:space="0" w:color="auto"/>
        <w:bottom w:val="none" w:sz="0" w:space="0" w:color="auto"/>
        <w:right w:val="none" w:sz="0" w:space="0" w:color="auto"/>
      </w:divBdr>
    </w:div>
    <w:div w:id="929238334">
      <w:bodyDiv w:val="1"/>
      <w:marLeft w:val="0"/>
      <w:marRight w:val="0"/>
      <w:marTop w:val="0"/>
      <w:marBottom w:val="0"/>
      <w:divBdr>
        <w:top w:val="none" w:sz="0" w:space="0" w:color="auto"/>
        <w:left w:val="none" w:sz="0" w:space="0" w:color="auto"/>
        <w:bottom w:val="none" w:sz="0" w:space="0" w:color="auto"/>
        <w:right w:val="none" w:sz="0" w:space="0" w:color="auto"/>
      </w:divBdr>
    </w:div>
    <w:div w:id="1016269925">
      <w:bodyDiv w:val="1"/>
      <w:marLeft w:val="0"/>
      <w:marRight w:val="0"/>
      <w:marTop w:val="0"/>
      <w:marBottom w:val="0"/>
      <w:divBdr>
        <w:top w:val="none" w:sz="0" w:space="0" w:color="auto"/>
        <w:left w:val="none" w:sz="0" w:space="0" w:color="auto"/>
        <w:bottom w:val="none" w:sz="0" w:space="0" w:color="auto"/>
        <w:right w:val="none" w:sz="0" w:space="0" w:color="auto"/>
      </w:divBdr>
    </w:div>
    <w:div w:id="1041398169">
      <w:bodyDiv w:val="1"/>
      <w:marLeft w:val="0"/>
      <w:marRight w:val="0"/>
      <w:marTop w:val="0"/>
      <w:marBottom w:val="0"/>
      <w:divBdr>
        <w:top w:val="none" w:sz="0" w:space="0" w:color="auto"/>
        <w:left w:val="none" w:sz="0" w:space="0" w:color="auto"/>
        <w:bottom w:val="none" w:sz="0" w:space="0" w:color="auto"/>
        <w:right w:val="none" w:sz="0" w:space="0" w:color="auto"/>
      </w:divBdr>
    </w:div>
    <w:div w:id="1041512930">
      <w:bodyDiv w:val="1"/>
      <w:marLeft w:val="0"/>
      <w:marRight w:val="0"/>
      <w:marTop w:val="0"/>
      <w:marBottom w:val="0"/>
      <w:divBdr>
        <w:top w:val="none" w:sz="0" w:space="0" w:color="auto"/>
        <w:left w:val="none" w:sz="0" w:space="0" w:color="auto"/>
        <w:bottom w:val="none" w:sz="0" w:space="0" w:color="auto"/>
        <w:right w:val="none" w:sz="0" w:space="0" w:color="auto"/>
      </w:divBdr>
    </w:div>
    <w:div w:id="1047724554">
      <w:bodyDiv w:val="1"/>
      <w:marLeft w:val="0"/>
      <w:marRight w:val="0"/>
      <w:marTop w:val="0"/>
      <w:marBottom w:val="0"/>
      <w:divBdr>
        <w:top w:val="none" w:sz="0" w:space="0" w:color="auto"/>
        <w:left w:val="none" w:sz="0" w:space="0" w:color="auto"/>
        <w:bottom w:val="none" w:sz="0" w:space="0" w:color="auto"/>
        <w:right w:val="none" w:sz="0" w:space="0" w:color="auto"/>
      </w:divBdr>
    </w:div>
    <w:div w:id="1054428207">
      <w:bodyDiv w:val="1"/>
      <w:marLeft w:val="0"/>
      <w:marRight w:val="0"/>
      <w:marTop w:val="0"/>
      <w:marBottom w:val="0"/>
      <w:divBdr>
        <w:top w:val="none" w:sz="0" w:space="0" w:color="auto"/>
        <w:left w:val="none" w:sz="0" w:space="0" w:color="auto"/>
        <w:bottom w:val="none" w:sz="0" w:space="0" w:color="auto"/>
        <w:right w:val="none" w:sz="0" w:space="0" w:color="auto"/>
      </w:divBdr>
    </w:div>
    <w:div w:id="1058624346">
      <w:bodyDiv w:val="1"/>
      <w:marLeft w:val="0"/>
      <w:marRight w:val="0"/>
      <w:marTop w:val="0"/>
      <w:marBottom w:val="0"/>
      <w:divBdr>
        <w:top w:val="none" w:sz="0" w:space="0" w:color="auto"/>
        <w:left w:val="none" w:sz="0" w:space="0" w:color="auto"/>
        <w:bottom w:val="none" w:sz="0" w:space="0" w:color="auto"/>
        <w:right w:val="none" w:sz="0" w:space="0" w:color="auto"/>
      </w:divBdr>
    </w:div>
    <w:div w:id="1067268473">
      <w:bodyDiv w:val="1"/>
      <w:marLeft w:val="0"/>
      <w:marRight w:val="0"/>
      <w:marTop w:val="0"/>
      <w:marBottom w:val="0"/>
      <w:divBdr>
        <w:top w:val="none" w:sz="0" w:space="0" w:color="auto"/>
        <w:left w:val="none" w:sz="0" w:space="0" w:color="auto"/>
        <w:bottom w:val="none" w:sz="0" w:space="0" w:color="auto"/>
        <w:right w:val="none" w:sz="0" w:space="0" w:color="auto"/>
      </w:divBdr>
    </w:div>
    <w:div w:id="1141190112">
      <w:bodyDiv w:val="1"/>
      <w:marLeft w:val="0"/>
      <w:marRight w:val="0"/>
      <w:marTop w:val="0"/>
      <w:marBottom w:val="0"/>
      <w:divBdr>
        <w:top w:val="none" w:sz="0" w:space="0" w:color="auto"/>
        <w:left w:val="none" w:sz="0" w:space="0" w:color="auto"/>
        <w:bottom w:val="none" w:sz="0" w:space="0" w:color="auto"/>
        <w:right w:val="none" w:sz="0" w:space="0" w:color="auto"/>
      </w:divBdr>
    </w:div>
    <w:div w:id="1179352787">
      <w:bodyDiv w:val="1"/>
      <w:marLeft w:val="0"/>
      <w:marRight w:val="0"/>
      <w:marTop w:val="0"/>
      <w:marBottom w:val="0"/>
      <w:divBdr>
        <w:top w:val="none" w:sz="0" w:space="0" w:color="auto"/>
        <w:left w:val="none" w:sz="0" w:space="0" w:color="auto"/>
        <w:bottom w:val="none" w:sz="0" w:space="0" w:color="auto"/>
        <w:right w:val="none" w:sz="0" w:space="0" w:color="auto"/>
      </w:divBdr>
    </w:div>
    <w:div w:id="1240210896">
      <w:bodyDiv w:val="1"/>
      <w:marLeft w:val="0"/>
      <w:marRight w:val="0"/>
      <w:marTop w:val="0"/>
      <w:marBottom w:val="0"/>
      <w:divBdr>
        <w:top w:val="none" w:sz="0" w:space="0" w:color="auto"/>
        <w:left w:val="none" w:sz="0" w:space="0" w:color="auto"/>
        <w:bottom w:val="none" w:sz="0" w:space="0" w:color="auto"/>
        <w:right w:val="none" w:sz="0" w:space="0" w:color="auto"/>
      </w:divBdr>
    </w:div>
    <w:div w:id="1242520660">
      <w:bodyDiv w:val="1"/>
      <w:marLeft w:val="0"/>
      <w:marRight w:val="0"/>
      <w:marTop w:val="0"/>
      <w:marBottom w:val="0"/>
      <w:divBdr>
        <w:top w:val="none" w:sz="0" w:space="0" w:color="auto"/>
        <w:left w:val="none" w:sz="0" w:space="0" w:color="auto"/>
        <w:bottom w:val="none" w:sz="0" w:space="0" w:color="auto"/>
        <w:right w:val="none" w:sz="0" w:space="0" w:color="auto"/>
      </w:divBdr>
    </w:div>
    <w:div w:id="1249776187">
      <w:bodyDiv w:val="1"/>
      <w:marLeft w:val="0"/>
      <w:marRight w:val="0"/>
      <w:marTop w:val="0"/>
      <w:marBottom w:val="0"/>
      <w:divBdr>
        <w:top w:val="none" w:sz="0" w:space="0" w:color="auto"/>
        <w:left w:val="none" w:sz="0" w:space="0" w:color="auto"/>
        <w:bottom w:val="none" w:sz="0" w:space="0" w:color="auto"/>
        <w:right w:val="none" w:sz="0" w:space="0" w:color="auto"/>
      </w:divBdr>
    </w:div>
    <w:div w:id="1253050889">
      <w:bodyDiv w:val="1"/>
      <w:marLeft w:val="0"/>
      <w:marRight w:val="0"/>
      <w:marTop w:val="0"/>
      <w:marBottom w:val="0"/>
      <w:divBdr>
        <w:top w:val="none" w:sz="0" w:space="0" w:color="auto"/>
        <w:left w:val="none" w:sz="0" w:space="0" w:color="auto"/>
        <w:bottom w:val="none" w:sz="0" w:space="0" w:color="auto"/>
        <w:right w:val="none" w:sz="0" w:space="0" w:color="auto"/>
      </w:divBdr>
    </w:div>
    <w:div w:id="1297954541">
      <w:bodyDiv w:val="1"/>
      <w:marLeft w:val="0"/>
      <w:marRight w:val="0"/>
      <w:marTop w:val="0"/>
      <w:marBottom w:val="0"/>
      <w:divBdr>
        <w:top w:val="none" w:sz="0" w:space="0" w:color="auto"/>
        <w:left w:val="none" w:sz="0" w:space="0" w:color="auto"/>
        <w:bottom w:val="none" w:sz="0" w:space="0" w:color="auto"/>
        <w:right w:val="none" w:sz="0" w:space="0" w:color="auto"/>
      </w:divBdr>
    </w:div>
    <w:div w:id="1308822385">
      <w:bodyDiv w:val="1"/>
      <w:marLeft w:val="0"/>
      <w:marRight w:val="0"/>
      <w:marTop w:val="0"/>
      <w:marBottom w:val="0"/>
      <w:divBdr>
        <w:top w:val="none" w:sz="0" w:space="0" w:color="auto"/>
        <w:left w:val="none" w:sz="0" w:space="0" w:color="auto"/>
        <w:bottom w:val="none" w:sz="0" w:space="0" w:color="auto"/>
        <w:right w:val="none" w:sz="0" w:space="0" w:color="auto"/>
      </w:divBdr>
    </w:div>
    <w:div w:id="1339037782">
      <w:bodyDiv w:val="1"/>
      <w:marLeft w:val="0"/>
      <w:marRight w:val="0"/>
      <w:marTop w:val="0"/>
      <w:marBottom w:val="0"/>
      <w:divBdr>
        <w:top w:val="none" w:sz="0" w:space="0" w:color="auto"/>
        <w:left w:val="none" w:sz="0" w:space="0" w:color="auto"/>
        <w:bottom w:val="none" w:sz="0" w:space="0" w:color="auto"/>
        <w:right w:val="none" w:sz="0" w:space="0" w:color="auto"/>
      </w:divBdr>
    </w:div>
    <w:div w:id="1339694844">
      <w:bodyDiv w:val="1"/>
      <w:marLeft w:val="0"/>
      <w:marRight w:val="0"/>
      <w:marTop w:val="0"/>
      <w:marBottom w:val="0"/>
      <w:divBdr>
        <w:top w:val="none" w:sz="0" w:space="0" w:color="auto"/>
        <w:left w:val="none" w:sz="0" w:space="0" w:color="auto"/>
        <w:bottom w:val="none" w:sz="0" w:space="0" w:color="auto"/>
        <w:right w:val="none" w:sz="0" w:space="0" w:color="auto"/>
      </w:divBdr>
    </w:div>
    <w:div w:id="1352879470">
      <w:bodyDiv w:val="1"/>
      <w:marLeft w:val="0"/>
      <w:marRight w:val="0"/>
      <w:marTop w:val="0"/>
      <w:marBottom w:val="0"/>
      <w:divBdr>
        <w:top w:val="none" w:sz="0" w:space="0" w:color="auto"/>
        <w:left w:val="none" w:sz="0" w:space="0" w:color="auto"/>
        <w:bottom w:val="none" w:sz="0" w:space="0" w:color="auto"/>
        <w:right w:val="none" w:sz="0" w:space="0" w:color="auto"/>
      </w:divBdr>
      <w:divsChild>
        <w:div w:id="226458568">
          <w:marLeft w:val="0"/>
          <w:marRight w:val="0"/>
          <w:marTop w:val="0"/>
          <w:marBottom w:val="0"/>
          <w:divBdr>
            <w:top w:val="none" w:sz="0" w:space="0" w:color="auto"/>
            <w:left w:val="none" w:sz="0" w:space="0" w:color="auto"/>
            <w:bottom w:val="none" w:sz="0" w:space="0" w:color="auto"/>
            <w:right w:val="none" w:sz="0" w:space="0" w:color="auto"/>
          </w:divBdr>
          <w:divsChild>
            <w:div w:id="17826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47992">
      <w:bodyDiv w:val="1"/>
      <w:marLeft w:val="0"/>
      <w:marRight w:val="0"/>
      <w:marTop w:val="0"/>
      <w:marBottom w:val="0"/>
      <w:divBdr>
        <w:top w:val="none" w:sz="0" w:space="0" w:color="auto"/>
        <w:left w:val="none" w:sz="0" w:space="0" w:color="auto"/>
        <w:bottom w:val="none" w:sz="0" w:space="0" w:color="auto"/>
        <w:right w:val="none" w:sz="0" w:space="0" w:color="auto"/>
      </w:divBdr>
    </w:div>
    <w:div w:id="1445658788">
      <w:bodyDiv w:val="1"/>
      <w:marLeft w:val="0"/>
      <w:marRight w:val="0"/>
      <w:marTop w:val="0"/>
      <w:marBottom w:val="0"/>
      <w:divBdr>
        <w:top w:val="none" w:sz="0" w:space="0" w:color="auto"/>
        <w:left w:val="none" w:sz="0" w:space="0" w:color="auto"/>
        <w:bottom w:val="none" w:sz="0" w:space="0" w:color="auto"/>
        <w:right w:val="none" w:sz="0" w:space="0" w:color="auto"/>
      </w:divBdr>
    </w:div>
    <w:div w:id="1479834202">
      <w:bodyDiv w:val="1"/>
      <w:marLeft w:val="0"/>
      <w:marRight w:val="0"/>
      <w:marTop w:val="0"/>
      <w:marBottom w:val="0"/>
      <w:divBdr>
        <w:top w:val="none" w:sz="0" w:space="0" w:color="auto"/>
        <w:left w:val="none" w:sz="0" w:space="0" w:color="auto"/>
        <w:bottom w:val="none" w:sz="0" w:space="0" w:color="auto"/>
        <w:right w:val="none" w:sz="0" w:space="0" w:color="auto"/>
      </w:divBdr>
    </w:div>
    <w:div w:id="1483810897">
      <w:bodyDiv w:val="1"/>
      <w:marLeft w:val="0"/>
      <w:marRight w:val="0"/>
      <w:marTop w:val="0"/>
      <w:marBottom w:val="0"/>
      <w:divBdr>
        <w:top w:val="none" w:sz="0" w:space="0" w:color="auto"/>
        <w:left w:val="none" w:sz="0" w:space="0" w:color="auto"/>
        <w:bottom w:val="none" w:sz="0" w:space="0" w:color="auto"/>
        <w:right w:val="none" w:sz="0" w:space="0" w:color="auto"/>
      </w:divBdr>
    </w:div>
    <w:div w:id="1515803195">
      <w:bodyDiv w:val="1"/>
      <w:marLeft w:val="0"/>
      <w:marRight w:val="0"/>
      <w:marTop w:val="0"/>
      <w:marBottom w:val="0"/>
      <w:divBdr>
        <w:top w:val="none" w:sz="0" w:space="0" w:color="auto"/>
        <w:left w:val="none" w:sz="0" w:space="0" w:color="auto"/>
        <w:bottom w:val="none" w:sz="0" w:space="0" w:color="auto"/>
        <w:right w:val="none" w:sz="0" w:space="0" w:color="auto"/>
      </w:divBdr>
    </w:div>
    <w:div w:id="1519545698">
      <w:bodyDiv w:val="1"/>
      <w:marLeft w:val="0"/>
      <w:marRight w:val="0"/>
      <w:marTop w:val="0"/>
      <w:marBottom w:val="0"/>
      <w:divBdr>
        <w:top w:val="none" w:sz="0" w:space="0" w:color="auto"/>
        <w:left w:val="none" w:sz="0" w:space="0" w:color="auto"/>
        <w:bottom w:val="none" w:sz="0" w:space="0" w:color="auto"/>
        <w:right w:val="none" w:sz="0" w:space="0" w:color="auto"/>
      </w:divBdr>
    </w:div>
    <w:div w:id="1542863188">
      <w:bodyDiv w:val="1"/>
      <w:marLeft w:val="0"/>
      <w:marRight w:val="0"/>
      <w:marTop w:val="0"/>
      <w:marBottom w:val="0"/>
      <w:divBdr>
        <w:top w:val="none" w:sz="0" w:space="0" w:color="auto"/>
        <w:left w:val="none" w:sz="0" w:space="0" w:color="auto"/>
        <w:bottom w:val="none" w:sz="0" w:space="0" w:color="auto"/>
        <w:right w:val="none" w:sz="0" w:space="0" w:color="auto"/>
      </w:divBdr>
    </w:div>
    <w:div w:id="1580555104">
      <w:bodyDiv w:val="1"/>
      <w:marLeft w:val="0"/>
      <w:marRight w:val="0"/>
      <w:marTop w:val="0"/>
      <w:marBottom w:val="0"/>
      <w:divBdr>
        <w:top w:val="none" w:sz="0" w:space="0" w:color="auto"/>
        <w:left w:val="none" w:sz="0" w:space="0" w:color="auto"/>
        <w:bottom w:val="none" w:sz="0" w:space="0" w:color="auto"/>
        <w:right w:val="none" w:sz="0" w:space="0" w:color="auto"/>
      </w:divBdr>
    </w:div>
    <w:div w:id="1595505167">
      <w:bodyDiv w:val="1"/>
      <w:marLeft w:val="0"/>
      <w:marRight w:val="0"/>
      <w:marTop w:val="0"/>
      <w:marBottom w:val="0"/>
      <w:divBdr>
        <w:top w:val="none" w:sz="0" w:space="0" w:color="auto"/>
        <w:left w:val="none" w:sz="0" w:space="0" w:color="auto"/>
        <w:bottom w:val="none" w:sz="0" w:space="0" w:color="auto"/>
        <w:right w:val="none" w:sz="0" w:space="0" w:color="auto"/>
      </w:divBdr>
    </w:div>
    <w:div w:id="1628121386">
      <w:bodyDiv w:val="1"/>
      <w:marLeft w:val="0"/>
      <w:marRight w:val="0"/>
      <w:marTop w:val="0"/>
      <w:marBottom w:val="0"/>
      <w:divBdr>
        <w:top w:val="none" w:sz="0" w:space="0" w:color="auto"/>
        <w:left w:val="none" w:sz="0" w:space="0" w:color="auto"/>
        <w:bottom w:val="none" w:sz="0" w:space="0" w:color="auto"/>
        <w:right w:val="none" w:sz="0" w:space="0" w:color="auto"/>
      </w:divBdr>
    </w:div>
    <w:div w:id="1638030042">
      <w:bodyDiv w:val="1"/>
      <w:marLeft w:val="0"/>
      <w:marRight w:val="0"/>
      <w:marTop w:val="0"/>
      <w:marBottom w:val="0"/>
      <w:divBdr>
        <w:top w:val="none" w:sz="0" w:space="0" w:color="auto"/>
        <w:left w:val="none" w:sz="0" w:space="0" w:color="auto"/>
        <w:bottom w:val="none" w:sz="0" w:space="0" w:color="auto"/>
        <w:right w:val="none" w:sz="0" w:space="0" w:color="auto"/>
      </w:divBdr>
      <w:divsChild>
        <w:div w:id="1794400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536399">
      <w:bodyDiv w:val="1"/>
      <w:marLeft w:val="0"/>
      <w:marRight w:val="0"/>
      <w:marTop w:val="0"/>
      <w:marBottom w:val="0"/>
      <w:divBdr>
        <w:top w:val="none" w:sz="0" w:space="0" w:color="auto"/>
        <w:left w:val="none" w:sz="0" w:space="0" w:color="auto"/>
        <w:bottom w:val="none" w:sz="0" w:space="0" w:color="auto"/>
        <w:right w:val="none" w:sz="0" w:space="0" w:color="auto"/>
      </w:divBdr>
    </w:div>
    <w:div w:id="1648240524">
      <w:bodyDiv w:val="1"/>
      <w:marLeft w:val="0"/>
      <w:marRight w:val="0"/>
      <w:marTop w:val="0"/>
      <w:marBottom w:val="0"/>
      <w:divBdr>
        <w:top w:val="none" w:sz="0" w:space="0" w:color="auto"/>
        <w:left w:val="none" w:sz="0" w:space="0" w:color="auto"/>
        <w:bottom w:val="none" w:sz="0" w:space="0" w:color="auto"/>
        <w:right w:val="none" w:sz="0" w:space="0" w:color="auto"/>
      </w:divBdr>
    </w:div>
    <w:div w:id="1653631267">
      <w:bodyDiv w:val="1"/>
      <w:marLeft w:val="0"/>
      <w:marRight w:val="0"/>
      <w:marTop w:val="0"/>
      <w:marBottom w:val="0"/>
      <w:divBdr>
        <w:top w:val="none" w:sz="0" w:space="0" w:color="auto"/>
        <w:left w:val="none" w:sz="0" w:space="0" w:color="auto"/>
        <w:bottom w:val="none" w:sz="0" w:space="0" w:color="auto"/>
        <w:right w:val="none" w:sz="0" w:space="0" w:color="auto"/>
      </w:divBdr>
    </w:div>
    <w:div w:id="1668944513">
      <w:bodyDiv w:val="1"/>
      <w:marLeft w:val="0"/>
      <w:marRight w:val="0"/>
      <w:marTop w:val="0"/>
      <w:marBottom w:val="0"/>
      <w:divBdr>
        <w:top w:val="none" w:sz="0" w:space="0" w:color="auto"/>
        <w:left w:val="none" w:sz="0" w:space="0" w:color="auto"/>
        <w:bottom w:val="none" w:sz="0" w:space="0" w:color="auto"/>
        <w:right w:val="none" w:sz="0" w:space="0" w:color="auto"/>
      </w:divBdr>
    </w:div>
    <w:div w:id="1683699030">
      <w:bodyDiv w:val="1"/>
      <w:marLeft w:val="0"/>
      <w:marRight w:val="0"/>
      <w:marTop w:val="0"/>
      <w:marBottom w:val="0"/>
      <w:divBdr>
        <w:top w:val="none" w:sz="0" w:space="0" w:color="auto"/>
        <w:left w:val="none" w:sz="0" w:space="0" w:color="auto"/>
        <w:bottom w:val="none" w:sz="0" w:space="0" w:color="auto"/>
        <w:right w:val="none" w:sz="0" w:space="0" w:color="auto"/>
      </w:divBdr>
    </w:div>
    <w:div w:id="1695034588">
      <w:bodyDiv w:val="1"/>
      <w:marLeft w:val="0"/>
      <w:marRight w:val="0"/>
      <w:marTop w:val="0"/>
      <w:marBottom w:val="0"/>
      <w:divBdr>
        <w:top w:val="none" w:sz="0" w:space="0" w:color="auto"/>
        <w:left w:val="none" w:sz="0" w:space="0" w:color="auto"/>
        <w:bottom w:val="none" w:sz="0" w:space="0" w:color="auto"/>
        <w:right w:val="none" w:sz="0" w:space="0" w:color="auto"/>
      </w:divBdr>
    </w:div>
    <w:div w:id="1709723192">
      <w:bodyDiv w:val="1"/>
      <w:marLeft w:val="0"/>
      <w:marRight w:val="0"/>
      <w:marTop w:val="0"/>
      <w:marBottom w:val="0"/>
      <w:divBdr>
        <w:top w:val="none" w:sz="0" w:space="0" w:color="auto"/>
        <w:left w:val="none" w:sz="0" w:space="0" w:color="auto"/>
        <w:bottom w:val="none" w:sz="0" w:space="0" w:color="auto"/>
        <w:right w:val="none" w:sz="0" w:space="0" w:color="auto"/>
      </w:divBdr>
    </w:div>
    <w:div w:id="1760758119">
      <w:bodyDiv w:val="1"/>
      <w:marLeft w:val="0"/>
      <w:marRight w:val="0"/>
      <w:marTop w:val="0"/>
      <w:marBottom w:val="0"/>
      <w:divBdr>
        <w:top w:val="none" w:sz="0" w:space="0" w:color="auto"/>
        <w:left w:val="none" w:sz="0" w:space="0" w:color="auto"/>
        <w:bottom w:val="none" w:sz="0" w:space="0" w:color="auto"/>
        <w:right w:val="none" w:sz="0" w:space="0" w:color="auto"/>
      </w:divBdr>
    </w:div>
    <w:div w:id="1762411996">
      <w:bodyDiv w:val="1"/>
      <w:marLeft w:val="0"/>
      <w:marRight w:val="0"/>
      <w:marTop w:val="0"/>
      <w:marBottom w:val="0"/>
      <w:divBdr>
        <w:top w:val="none" w:sz="0" w:space="0" w:color="auto"/>
        <w:left w:val="none" w:sz="0" w:space="0" w:color="auto"/>
        <w:bottom w:val="none" w:sz="0" w:space="0" w:color="auto"/>
        <w:right w:val="none" w:sz="0" w:space="0" w:color="auto"/>
      </w:divBdr>
    </w:div>
    <w:div w:id="1769278091">
      <w:bodyDiv w:val="1"/>
      <w:marLeft w:val="0"/>
      <w:marRight w:val="0"/>
      <w:marTop w:val="0"/>
      <w:marBottom w:val="0"/>
      <w:divBdr>
        <w:top w:val="none" w:sz="0" w:space="0" w:color="auto"/>
        <w:left w:val="none" w:sz="0" w:space="0" w:color="auto"/>
        <w:bottom w:val="none" w:sz="0" w:space="0" w:color="auto"/>
        <w:right w:val="none" w:sz="0" w:space="0" w:color="auto"/>
      </w:divBdr>
    </w:div>
    <w:div w:id="1810198985">
      <w:bodyDiv w:val="1"/>
      <w:marLeft w:val="0"/>
      <w:marRight w:val="0"/>
      <w:marTop w:val="0"/>
      <w:marBottom w:val="0"/>
      <w:divBdr>
        <w:top w:val="none" w:sz="0" w:space="0" w:color="auto"/>
        <w:left w:val="none" w:sz="0" w:space="0" w:color="auto"/>
        <w:bottom w:val="none" w:sz="0" w:space="0" w:color="auto"/>
        <w:right w:val="none" w:sz="0" w:space="0" w:color="auto"/>
      </w:divBdr>
    </w:div>
    <w:div w:id="1823080498">
      <w:bodyDiv w:val="1"/>
      <w:marLeft w:val="0"/>
      <w:marRight w:val="0"/>
      <w:marTop w:val="0"/>
      <w:marBottom w:val="0"/>
      <w:divBdr>
        <w:top w:val="none" w:sz="0" w:space="0" w:color="auto"/>
        <w:left w:val="none" w:sz="0" w:space="0" w:color="auto"/>
        <w:bottom w:val="none" w:sz="0" w:space="0" w:color="auto"/>
        <w:right w:val="none" w:sz="0" w:space="0" w:color="auto"/>
      </w:divBdr>
    </w:div>
    <w:div w:id="1832287468">
      <w:bodyDiv w:val="1"/>
      <w:marLeft w:val="0"/>
      <w:marRight w:val="0"/>
      <w:marTop w:val="0"/>
      <w:marBottom w:val="0"/>
      <w:divBdr>
        <w:top w:val="none" w:sz="0" w:space="0" w:color="auto"/>
        <w:left w:val="none" w:sz="0" w:space="0" w:color="auto"/>
        <w:bottom w:val="none" w:sz="0" w:space="0" w:color="auto"/>
        <w:right w:val="none" w:sz="0" w:space="0" w:color="auto"/>
      </w:divBdr>
    </w:div>
    <w:div w:id="1896430431">
      <w:bodyDiv w:val="1"/>
      <w:marLeft w:val="0"/>
      <w:marRight w:val="0"/>
      <w:marTop w:val="0"/>
      <w:marBottom w:val="0"/>
      <w:divBdr>
        <w:top w:val="none" w:sz="0" w:space="0" w:color="auto"/>
        <w:left w:val="none" w:sz="0" w:space="0" w:color="auto"/>
        <w:bottom w:val="none" w:sz="0" w:space="0" w:color="auto"/>
        <w:right w:val="none" w:sz="0" w:space="0" w:color="auto"/>
      </w:divBdr>
    </w:div>
    <w:div w:id="1897814553">
      <w:bodyDiv w:val="1"/>
      <w:marLeft w:val="0"/>
      <w:marRight w:val="0"/>
      <w:marTop w:val="0"/>
      <w:marBottom w:val="0"/>
      <w:divBdr>
        <w:top w:val="none" w:sz="0" w:space="0" w:color="auto"/>
        <w:left w:val="none" w:sz="0" w:space="0" w:color="auto"/>
        <w:bottom w:val="none" w:sz="0" w:space="0" w:color="auto"/>
        <w:right w:val="none" w:sz="0" w:space="0" w:color="auto"/>
      </w:divBdr>
    </w:div>
    <w:div w:id="2005890117">
      <w:bodyDiv w:val="1"/>
      <w:marLeft w:val="0"/>
      <w:marRight w:val="0"/>
      <w:marTop w:val="0"/>
      <w:marBottom w:val="0"/>
      <w:divBdr>
        <w:top w:val="none" w:sz="0" w:space="0" w:color="auto"/>
        <w:left w:val="none" w:sz="0" w:space="0" w:color="auto"/>
        <w:bottom w:val="none" w:sz="0" w:space="0" w:color="auto"/>
        <w:right w:val="none" w:sz="0" w:space="0" w:color="auto"/>
      </w:divBdr>
    </w:div>
    <w:div w:id="2085833512">
      <w:bodyDiv w:val="1"/>
      <w:marLeft w:val="0"/>
      <w:marRight w:val="0"/>
      <w:marTop w:val="0"/>
      <w:marBottom w:val="0"/>
      <w:divBdr>
        <w:top w:val="none" w:sz="0" w:space="0" w:color="auto"/>
        <w:left w:val="none" w:sz="0" w:space="0" w:color="auto"/>
        <w:bottom w:val="none" w:sz="0" w:space="0" w:color="auto"/>
        <w:right w:val="none" w:sz="0" w:space="0" w:color="auto"/>
      </w:divBdr>
    </w:div>
    <w:div w:id="211080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dustrieenr@ademe.fr" TargetMode="External"/><Relationship Id="rId18" Type="http://schemas.openxmlformats.org/officeDocument/2006/relationships/hyperlink" Target="https://www.europe-en-france.gouv.fr/fr/aides-d-et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treprises.ademe.fr/" TargetMode="External"/><Relationship Id="rId17" Type="http://schemas.openxmlformats.org/officeDocument/2006/relationships/hyperlink" Target="http://www.entreprises.gouv.fr" TargetMode="External"/><Relationship Id="rId2" Type="http://schemas.openxmlformats.org/officeDocument/2006/relationships/numbering" Target="numbering.xml"/><Relationship Id="rId16" Type="http://schemas.openxmlformats.org/officeDocument/2006/relationships/hyperlink" Target="https://agirpourlatransition.adem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treprises.ademe.fr/" TargetMode="External"/><Relationship Id="rId5" Type="http://schemas.openxmlformats.org/officeDocument/2006/relationships/webSettings" Target="webSettings.xml"/><Relationship Id="rId15" Type="http://schemas.openxmlformats.org/officeDocument/2006/relationships/hyperlink" Target="mailto:industrieenr@ademe.fr"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FR/TXT/?uri=CELEX%3A52014XC0731(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F2595-4812-4AB8-B64C-3B4836DB5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27</Pages>
  <Words>7158</Words>
  <Characters>39374</Characters>
  <Application>Microsoft Office Word</Application>
  <DocSecurity>0</DocSecurity>
  <Lines>328</Lines>
  <Paragraphs>92</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46440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POIRSON Maxence</dc:creator>
  <cp:keywords/>
  <dc:description/>
  <cp:lastModifiedBy>VIKTOROVITCH Michel</cp:lastModifiedBy>
  <cp:revision>8</cp:revision>
  <cp:lastPrinted>2022-02-04T12:28:00Z</cp:lastPrinted>
  <dcterms:created xsi:type="dcterms:W3CDTF">2022-02-10T10:01:00Z</dcterms:created>
  <dcterms:modified xsi:type="dcterms:W3CDTF">2022-02-10T10:51:00Z</dcterms:modified>
</cp:coreProperties>
</file>