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peopleDocument.xml" ContentType="application/vnd.openxmlformats-officedocument.wordprocessingml.people+xml"/>
  <Override PartName="/word/commentsDocument.xml" ContentType="application/vnd.openxmlformats-officedocument.wordprocessingml.comments+xml"/>
  <Override PartName="/word/commentsExtensibleDocument.xml" ContentType="application/vnd.openxmlformats-officedocument.wordprocessingml.commentsExtensible+xml"/>
  <Override PartName="/word/commentsExtendedDocument.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3516"/>
        <w:gridCol w:w="2906"/>
      </w:tblGrid>
      <w:tr w:rsidR="005872B4" w:rsidRPr="000078E2" w14:paraId="434A9483" w14:textId="77777777" w:rsidTr="008E5DAB">
        <w:tc>
          <w:tcPr>
            <w:tcW w:w="2934" w:type="dxa"/>
          </w:tcPr>
          <w:p w14:paraId="2E82FA9D" w14:textId="41448B01" w:rsidR="005872B4" w:rsidRPr="000078E2" w:rsidRDefault="001142A2" w:rsidP="008E5DAB">
            <w:pPr>
              <w:spacing w:after="120"/>
              <w:rPr>
                <w:rFonts w:ascii="Arial" w:hAnsi="Arial" w:cs="Arial"/>
                <w:b/>
                <w:color w:val="3CB6EC"/>
                <w:sz w:val="40"/>
                <w:szCs w:val="40"/>
              </w:rPr>
            </w:pPr>
            <w:r>
              <w:rPr>
                <w:noProof/>
              </w:rPr>
              <w:drawing>
                <wp:anchor distT="0" distB="0" distL="114300" distR="114300" simplePos="0" relativeHeight="251659264" behindDoc="1" locked="0" layoutInCell="1" allowOverlap="1" wp14:anchorId="7D95705D" wp14:editId="25EC982E">
                  <wp:simplePos x="0" y="0"/>
                  <wp:positionH relativeFrom="column">
                    <wp:posOffset>2540</wp:posOffset>
                  </wp:positionH>
                  <wp:positionV relativeFrom="paragraph">
                    <wp:posOffset>4445</wp:posOffset>
                  </wp:positionV>
                  <wp:extent cx="1647825" cy="914400"/>
                  <wp:effectExtent l="0" t="0" r="9525" b="0"/>
                  <wp:wrapNone/>
                  <wp:docPr id="6" name="Image 6"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16" w:type="dxa"/>
          </w:tcPr>
          <w:p w14:paraId="71D51919" w14:textId="77777777" w:rsidR="005872B4" w:rsidRPr="000078E2" w:rsidRDefault="005872B4" w:rsidP="00F57A28">
            <w:pPr>
              <w:spacing w:after="120"/>
              <w:jc w:val="center"/>
              <w:rPr>
                <w:rFonts w:ascii="Arial" w:hAnsi="Arial" w:cs="Arial"/>
                <w:b/>
                <w:color w:val="3CB6EC"/>
                <w:sz w:val="40"/>
                <w:szCs w:val="40"/>
              </w:rPr>
            </w:pPr>
            <w:r>
              <w:rPr>
                <w:b/>
                <w:noProof/>
                <w:color w:val="3CB6EC"/>
                <w:sz w:val="40"/>
                <w:szCs w:val="40"/>
              </w:rPr>
              <w:drawing>
                <wp:inline distT="0" distB="0" distL="0" distR="0" wp14:anchorId="1F3033F8" wp14:editId="4CACBF8F">
                  <wp:extent cx="1647825" cy="8313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ance_2030_fondblanc.png"/>
                          <pic:cNvPicPr/>
                        </pic:nvPicPr>
                        <pic:blipFill>
                          <a:blip r:embed="rId9">
                            <a:extLst>
                              <a:ext uri="{28A0092B-C50C-407E-A947-70E740481C1C}">
                                <a14:useLocalDpi xmlns:a14="http://schemas.microsoft.com/office/drawing/2010/main" val="0"/>
                              </a:ext>
                            </a:extLst>
                          </a:blip>
                          <a:stretch>
                            <a:fillRect/>
                          </a:stretch>
                        </pic:blipFill>
                        <pic:spPr>
                          <a:xfrm>
                            <a:off x="0" y="0"/>
                            <a:ext cx="1674568" cy="844873"/>
                          </a:xfrm>
                          <a:prstGeom prst="rect">
                            <a:avLst/>
                          </a:prstGeom>
                        </pic:spPr>
                      </pic:pic>
                    </a:graphicData>
                  </a:graphic>
                </wp:inline>
              </w:drawing>
            </w:r>
          </w:p>
        </w:tc>
        <w:tc>
          <w:tcPr>
            <w:tcW w:w="2906" w:type="dxa"/>
          </w:tcPr>
          <w:p w14:paraId="1730B98A" w14:textId="77777777" w:rsidR="005872B4" w:rsidRPr="000078E2" w:rsidRDefault="005872B4" w:rsidP="00F57A28">
            <w:pPr>
              <w:spacing w:after="120"/>
              <w:jc w:val="right"/>
              <w:rPr>
                <w:rFonts w:ascii="Arial" w:hAnsi="Arial" w:cs="Arial"/>
                <w:b/>
                <w:color w:val="3CB6EC"/>
                <w:sz w:val="40"/>
                <w:szCs w:val="40"/>
              </w:rPr>
            </w:pPr>
            <w:r w:rsidRPr="000078E2">
              <w:rPr>
                <w:noProof/>
              </w:rPr>
              <w:drawing>
                <wp:inline distT="0" distB="0" distL="0" distR="0" wp14:anchorId="028746F9" wp14:editId="5877763C">
                  <wp:extent cx="738505" cy="877025"/>
                  <wp:effectExtent l="0" t="0" r="4445" b="0"/>
                  <wp:docPr id="2" name="Image 2"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664" cy="887902"/>
                          </a:xfrm>
                          <a:prstGeom prst="rect">
                            <a:avLst/>
                          </a:prstGeom>
                          <a:noFill/>
                          <a:ln>
                            <a:noFill/>
                          </a:ln>
                        </pic:spPr>
                      </pic:pic>
                    </a:graphicData>
                  </a:graphic>
                </wp:inline>
              </w:drawing>
            </w:r>
          </w:p>
        </w:tc>
      </w:tr>
    </w:tbl>
    <w:p w14:paraId="2D02E8BC" w14:textId="77777777" w:rsidR="00EB0D03" w:rsidRDefault="00EB0D03">
      <w:pPr>
        <w:spacing w:after="120"/>
        <w:jc w:val="center"/>
        <w:rPr>
          <w:b/>
          <w:color w:val="3CB6EC"/>
          <w:sz w:val="40"/>
          <w:szCs w:val="40"/>
        </w:rPr>
      </w:pPr>
      <w:bookmarkStart w:id="0" w:name="gjdgxs"/>
      <w:bookmarkEnd w:id="0"/>
    </w:p>
    <w:p w14:paraId="38685ADA" w14:textId="77777777" w:rsidR="005872B4" w:rsidRPr="000078E2" w:rsidRDefault="005872B4" w:rsidP="005872B4">
      <w:pPr>
        <w:spacing w:after="120"/>
        <w:jc w:val="center"/>
        <w:rPr>
          <w:b/>
          <w:color w:val="3CB6EC"/>
          <w:sz w:val="40"/>
          <w:szCs w:val="40"/>
        </w:rPr>
      </w:pPr>
      <w:r>
        <w:rPr>
          <w:b/>
          <w:color w:val="3CB6EC"/>
          <w:sz w:val="40"/>
          <w:szCs w:val="40"/>
        </w:rPr>
        <w:t>France 2030</w:t>
      </w:r>
    </w:p>
    <w:p w14:paraId="01BA2CBD" w14:textId="77777777" w:rsidR="004678F1" w:rsidRPr="000078E2" w:rsidRDefault="004678F1" w:rsidP="004678F1">
      <w:pPr>
        <w:spacing w:after="120"/>
        <w:jc w:val="center"/>
        <w:rPr>
          <w:b/>
          <w:color w:val="3CB6EC"/>
          <w:sz w:val="24"/>
          <w:szCs w:val="24"/>
        </w:rPr>
      </w:pPr>
    </w:p>
    <w:p w14:paraId="5E52F4DF" w14:textId="77777777" w:rsidR="004678F1" w:rsidRPr="00514EFF" w:rsidRDefault="004678F1" w:rsidP="004678F1">
      <w:pPr>
        <w:spacing w:after="120"/>
        <w:jc w:val="center"/>
        <w:rPr>
          <w:color w:val="3CB6EC"/>
          <w:sz w:val="32"/>
          <w:szCs w:val="40"/>
        </w:rPr>
      </w:pPr>
      <w:r w:rsidRPr="000078E2">
        <w:rPr>
          <w:color w:val="3CB6EC"/>
          <w:sz w:val="32"/>
          <w:szCs w:val="40"/>
        </w:rPr>
        <w:t xml:space="preserve">Appel </w:t>
      </w:r>
      <w:r w:rsidRPr="00514EFF">
        <w:rPr>
          <w:color w:val="3CB6EC"/>
          <w:sz w:val="32"/>
          <w:szCs w:val="40"/>
        </w:rPr>
        <w:t xml:space="preserve">à projets national Innovation </w:t>
      </w:r>
    </w:p>
    <w:p w14:paraId="2F890148" w14:textId="415A4489" w:rsidR="004678F1" w:rsidRPr="00514EFF" w:rsidRDefault="004678F1" w:rsidP="004678F1">
      <w:pPr>
        <w:spacing w:after="120"/>
        <w:jc w:val="center"/>
        <w:rPr>
          <w:color w:val="3CB6EC"/>
          <w:sz w:val="32"/>
          <w:szCs w:val="40"/>
        </w:rPr>
      </w:pPr>
      <w:r w:rsidRPr="00514EFF">
        <w:rPr>
          <w:color w:val="3CB6EC"/>
          <w:sz w:val="32"/>
          <w:szCs w:val="40"/>
        </w:rPr>
        <w:br/>
        <w:t xml:space="preserve"> « DEMO</w:t>
      </w:r>
      <w:r w:rsidR="00A8415D" w:rsidRPr="00514EFF">
        <w:rPr>
          <w:color w:val="3CB6EC"/>
          <w:sz w:val="32"/>
          <w:szCs w:val="40"/>
        </w:rPr>
        <w:t>-</w:t>
      </w:r>
      <w:r w:rsidRPr="00514EFF">
        <w:rPr>
          <w:color w:val="3CB6EC"/>
          <w:sz w:val="32"/>
          <w:szCs w:val="40"/>
        </w:rPr>
        <w:t>TASE »</w:t>
      </w:r>
    </w:p>
    <w:p w14:paraId="3602F1B6" w14:textId="5B0E6743" w:rsidR="004678F1" w:rsidRPr="00514EFF" w:rsidRDefault="004678F1" w:rsidP="004678F1">
      <w:pPr>
        <w:spacing w:after="120"/>
        <w:jc w:val="center"/>
        <w:rPr>
          <w:color w:val="3CB6EC"/>
          <w:sz w:val="28"/>
          <w:szCs w:val="28"/>
        </w:rPr>
      </w:pPr>
      <w:r w:rsidRPr="00514EFF">
        <w:rPr>
          <w:color w:val="3CB6EC"/>
          <w:sz w:val="28"/>
          <w:szCs w:val="28"/>
        </w:rPr>
        <w:t xml:space="preserve">Développement de briques technologiques et démonstrateurs </w:t>
      </w:r>
      <w:proofErr w:type="spellStart"/>
      <w:r w:rsidRPr="00514EFF">
        <w:rPr>
          <w:color w:val="3CB6EC"/>
          <w:sz w:val="28"/>
          <w:szCs w:val="28"/>
        </w:rPr>
        <w:t>pré-industriels</w:t>
      </w:r>
      <w:proofErr w:type="spellEnd"/>
      <w:r w:rsidRPr="00514EFF">
        <w:rPr>
          <w:color w:val="3CB6EC"/>
          <w:sz w:val="28"/>
          <w:szCs w:val="28"/>
        </w:rPr>
        <w:t xml:space="preserve"> pour les systèmes énergétiques</w:t>
      </w:r>
    </w:p>
    <w:p w14:paraId="4F113665" w14:textId="77777777" w:rsidR="004678F1" w:rsidRDefault="004678F1" w:rsidP="004678F1">
      <w:pPr>
        <w:spacing w:after="120"/>
        <w:jc w:val="center"/>
        <w:rPr>
          <w:b/>
          <w:color w:val="3CB6EC"/>
          <w:sz w:val="24"/>
          <w:szCs w:val="24"/>
        </w:rPr>
      </w:pPr>
    </w:p>
    <w:p w14:paraId="62608F37" w14:textId="588B0F61" w:rsidR="004678F1" w:rsidRPr="000078E2" w:rsidRDefault="004678F1" w:rsidP="004678F1">
      <w:pPr>
        <w:spacing w:after="120"/>
        <w:jc w:val="center"/>
        <w:rPr>
          <w:b/>
          <w:color w:val="3CB6EC"/>
          <w:sz w:val="24"/>
          <w:szCs w:val="24"/>
        </w:rPr>
      </w:pPr>
      <w:r w:rsidRPr="00FB3AEB">
        <w:rPr>
          <w:b/>
          <w:color w:val="3CB6EC"/>
          <w:sz w:val="24"/>
          <w:szCs w:val="24"/>
        </w:rPr>
        <w:t>Stratégie d’accélération « </w:t>
      </w:r>
      <w:r>
        <w:rPr>
          <w:b/>
          <w:color w:val="3CB6EC"/>
          <w:sz w:val="24"/>
          <w:szCs w:val="24"/>
        </w:rPr>
        <w:t>Technologies Avancées des Systèmes Energétiques</w:t>
      </w:r>
      <w:r w:rsidRPr="00FB3AEB">
        <w:rPr>
          <w:b/>
          <w:color w:val="3CB6EC"/>
          <w:sz w:val="24"/>
          <w:szCs w:val="24"/>
        </w:rPr>
        <w:t> »</w:t>
      </w:r>
    </w:p>
    <w:p w14:paraId="01CF2DEA" w14:textId="77777777" w:rsidR="00EB0D03" w:rsidRDefault="00EB0D03">
      <w:pPr>
        <w:spacing w:after="120"/>
        <w:jc w:val="center"/>
        <w:rPr>
          <w:b/>
          <w:color w:val="3CB6EC"/>
          <w:sz w:val="24"/>
          <w:szCs w:val="24"/>
        </w:rPr>
      </w:pPr>
    </w:p>
    <w:p w14:paraId="04211C24" w14:textId="0DA71209" w:rsidR="00EB0D03" w:rsidRDefault="0059535D">
      <w:pPr>
        <w:pStyle w:val="Default"/>
        <w:spacing w:after="120"/>
        <w:jc w:val="center"/>
        <w:rPr>
          <w:sz w:val="22"/>
          <w:szCs w:val="22"/>
        </w:rPr>
      </w:pPr>
      <w:r>
        <w:rPr>
          <w:sz w:val="22"/>
          <w:szCs w:val="22"/>
        </w:rPr>
        <w:t xml:space="preserve">Version du </w:t>
      </w:r>
      <w:r w:rsidR="003F3DCB">
        <w:rPr>
          <w:sz w:val="22"/>
          <w:szCs w:val="22"/>
        </w:rPr>
        <w:t>9</w:t>
      </w:r>
      <w:r>
        <w:rPr>
          <w:sz w:val="22"/>
          <w:szCs w:val="22"/>
        </w:rPr>
        <w:t xml:space="preserve"> </w:t>
      </w:r>
      <w:r w:rsidR="001142A2">
        <w:rPr>
          <w:sz w:val="22"/>
          <w:szCs w:val="22"/>
        </w:rPr>
        <w:t xml:space="preserve">février </w:t>
      </w:r>
      <w:r>
        <w:rPr>
          <w:sz w:val="22"/>
          <w:szCs w:val="22"/>
        </w:rPr>
        <w:t>202</w:t>
      </w:r>
      <w:r w:rsidR="001142A2">
        <w:rPr>
          <w:sz w:val="22"/>
          <w:szCs w:val="22"/>
        </w:rPr>
        <w:t>2</w:t>
      </w:r>
    </w:p>
    <w:p w14:paraId="0541320E" w14:textId="77777777" w:rsidR="00EB0D03" w:rsidRDefault="00EB0D03">
      <w:pPr>
        <w:pStyle w:val="Default"/>
        <w:spacing w:after="120"/>
        <w:jc w:val="center"/>
        <w:rPr>
          <w:sz w:val="22"/>
          <w:szCs w:val="22"/>
        </w:rPr>
      </w:pPr>
    </w:p>
    <w:p w14:paraId="3129E432" w14:textId="22ECA5C9" w:rsidR="00EB0D03" w:rsidRDefault="004D2E04">
      <w:pPr>
        <w:pStyle w:val="Default"/>
        <w:jc w:val="both"/>
        <w:rPr>
          <w:b/>
          <w:bCs/>
          <w:sz w:val="22"/>
          <w:szCs w:val="22"/>
        </w:rPr>
      </w:pPr>
      <w:r>
        <w:rPr>
          <w:b/>
          <w:bCs/>
          <w:sz w:val="22"/>
          <w:szCs w:val="22"/>
        </w:rPr>
        <w:t>Cet appel à projets (ci-après « l’AAP ») est ouvert</w:t>
      </w:r>
      <w:r>
        <w:rPr>
          <w:rStyle w:val="Appelnotedebasdep"/>
          <w:b/>
          <w:bCs/>
          <w:sz w:val="22"/>
          <w:szCs w:val="22"/>
        </w:rPr>
        <w:footnoteReference w:id="2"/>
      </w:r>
      <w:r>
        <w:rPr>
          <w:b/>
          <w:bCs/>
          <w:sz w:val="22"/>
          <w:szCs w:val="22"/>
        </w:rPr>
        <w:t xml:space="preserve"> à compter du </w:t>
      </w:r>
      <w:r w:rsidR="00FB78C1">
        <w:rPr>
          <w:b/>
          <w:bCs/>
          <w:sz w:val="22"/>
          <w:szCs w:val="22"/>
          <w:highlight w:val="white"/>
        </w:rPr>
        <w:t>10/02/2022</w:t>
      </w:r>
      <w:r>
        <w:rPr>
          <w:b/>
          <w:bCs/>
          <w:sz w:val="22"/>
          <w:szCs w:val="22"/>
          <w:highlight w:val="white"/>
        </w:rPr>
        <w:t xml:space="preserve"> </w:t>
      </w:r>
      <w:r>
        <w:rPr>
          <w:b/>
          <w:bCs/>
          <w:sz w:val="22"/>
          <w:szCs w:val="22"/>
        </w:rPr>
        <w:t xml:space="preserve">et se clôture le </w:t>
      </w:r>
      <w:r w:rsidR="001142A2">
        <w:rPr>
          <w:b/>
          <w:bCs/>
          <w:sz w:val="22"/>
          <w:szCs w:val="22"/>
          <w:highlight w:val="white"/>
        </w:rPr>
        <w:t>15</w:t>
      </w:r>
      <w:r w:rsidR="004D5CA1">
        <w:rPr>
          <w:b/>
          <w:bCs/>
          <w:sz w:val="22"/>
          <w:szCs w:val="22"/>
          <w:highlight w:val="white"/>
        </w:rPr>
        <w:t>/</w:t>
      </w:r>
      <w:r w:rsidR="001142A2">
        <w:rPr>
          <w:b/>
          <w:bCs/>
          <w:sz w:val="22"/>
          <w:szCs w:val="22"/>
          <w:highlight w:val="white"/>
        </w:rPr>
        <w:t>09/202</w:t>
      </w:r>
      <w:r w:rsidR="00F03370">
        <w:rPr>
          <w:b/>
          <w:bCs/>
          <w:sz w:val="22"/>
          <w:szCs w:val="22"/>
        </w:rPr>
        <w:t>4</w:t>
      </w:r>
      <w:r w:rsidR="004D5CA1">
        <w:rPr>
          <w:b/>
          <w:bCs/>
          <w:sz w:val="22"/>
          <w:szCs w:val="22"/>
        </w:rPr>
        <w:t xml:space="preserve"> à </w:t>
      </w:r>
      <w:r w:rsidR="001142A2">
        <w:rPr>
          <w:b/>
          <w:bCs/>
          <w:sz w:val="22"/>
          <w:szCs w:val="22"/>
        </w:rPr>
        <w:t>15</w:t>
      </w:r>
      <w:r w:rsidR="004D5CA1">
        <w:rPr>
          <w:b/>
          <w:bCs/>
          <w:sz w:val="22"/>
          <w:szCs w:val="22"/>
        </w:rPr>
        <w:t>h</w:t>
      </w:r>
      <w:r w:rsidR="001142A2">
        <w:rPr>
          <w:b/>
          <w:bCs/>
          <w:sz w:val="22"/>
          <w:szCs w:val="22"/>
        </w:rPr>
        <w:t>00</w:t>
      </w:r>
      <w:r>
        <w:rPr>
          <w:b/>
          <w:bCs/>
          <w:sz w:val="22"/>
          <w:szCs w:val="22"/>
        </w:rPr>
        <w:t xml:space="preserve"> (G</w:t>
      </w:r>
      <w:r w:rsidR="007C248A">
        <w:rPr>
          <w:b/>
          <w:bCs/>
          <w:sz w:val="22"/>
          <w:szCs w:val="22"/>
        </w:rPr>
        <w:t>MT +1). Il fera l’objet de</w:t>
      </w:r>
      <w:r>
        <w:rPr>
          <w:b/>
          <w:bCs/>
          <w:sz w:val="22"/>
          <w:szCs w:val="22"/>
        </w:rPr>
        <w:t xml:space="preserve"> relèves</w:t>
      </w:r>
      <w:r>
        <w:rPr>
          <w:b/>
          <w:bCs/>
          <w:sz w:val="22"/>
        </w:rPr>
        <w:t xml:space="preserve"> et une </w:t>
      </w:r>
      <w:r w:rsidR="00F03370">
        <w:rPr>
          <w:b/>
          <w:bCs/>
          <w:sz w:val="22"/>
          <w:szCs w:val="22"/>
        </w:rPr>
        <w:t xml:space="preserve">clôture </w:t>
      </w:r>
      <w:r>
        <w:rPr>
          <w:b/>
          <w:bCs/>
          <w:sz w:val="22"/>
        </w:rPr>
        <w:t>définitive.</w:t>
      </w:r>
    </w:p>
    <w:p w14:paraId="2F2427B0" w14:textId="77777777" w:rsidR="00EB0D03" w:rsidRDefault="00EB0D03">
      <w:pPr>
        <w:pStyle w:val="Default"/>
        <w:jc w:val="both"/>
        <w:rPr>
          <w:b/>
          <w:sz w:val="22"/>
          <w:szCs w:val="22"/>
        </w:rPr>
      </w:pPr>
    </w:p>
    <w:p w14:paraId="19134F80" w14:textId="77777777" w:rsidR="00EB0D03" w:rsidRDefault="00EB0D03">
      <w:pPr>
        <w:pStyle w:val="Default"/>
        <w:jc w:val="both"/>
        <w:rPr>
          <w:b/>
          <w:sz w:val="22"/>
          <w:szCs w:val="22"/>
        </w:rPr>
      </w:pPr>
    </w:p>
    <w:tbl>
      <w:tblPr>
        <w:tblStyle w:val="Grilledutableau"/>
        <w:tblW w:w="7491" w:type="dxa"/>
        <w:jc w:val="center"/>
        <w:tblLook w:val="04A0" w:firstRow="1" w:lastRow="0" w:firstColumn="1" w:lastColumn="0" w:noHBand="0" w:noVBand="1"/>
      </w:tblPr>
      <w:tblGrid>
        <w:gridCol w:w="1848"/>
        <w:gridCol w:w="1905"/>
        <w:gridCol w:w="1904"/>
        <w:gridCol w:w="1834"/>
      </w:tblGrid>
      <w:tr w:rsidR="00F03370" w14:paraId="44F763D0" w14:textId="77777777" w:rsidTr="00F03370">
        <w:trPr>
          <w:jc w:val="center"/>
        </w:trPr>
        <w:tc>
          <w:tcPr>
            <w:tcW w:w="1848" w:type="dxa"/>
            <w:shd w:val="clear" w:color="auto" w:fill="auto"/>
            <w:tcMar>
              <w:top w:w="0" w:type="auto"/>
              <w:left w:w="108" w:type="dxa"/>
              <w:bottom w:w="0" w:type="auto"/>
              <w:right w:w="0" w:type="auto"/>
            </w:tcMar>
          </w:tcPr>
          <w:p w14:paraId="14DD9CB2" w14:textId="77777777" w:rsidR="00F03370" w:rsidRDefault="00F03370">
            <w:pPr>
              <w:spacing w:after="120" w:line="276" w:lineRule="auto"/>
              <w:jc w:val="center"/>
              <w:rPr>
                <w:rFonts w:ascii="Arial" w:hAnsi="Arial" w:cs="Arial"/>
                <w:b/>
                <w:bCs/>
                <w:sz w:val="18"/>
                <w:szCs w:val="18"/>
              </w:rPr>
            </w:pPr>
            <w:r>
              <w:rPr>
                <w:rFonts w:ascii="Arial" w:hAnsi="Arial" w:cs="Arial"/>
                <w:b/>
                <w:bCs/>
                <w:sz w:val="18"/>
                <w:szCs w:val="18"/>
              </w:rPr>
              <w:t>Date d’ouverture</w:t>
            </w:r>
          </w:p>
        </w:tc>
        <w:tc>
          <w:tcPr>
            <w:tcW w:w="1905" w:type="dxa"/>
            <w:shd w:val="clear" w:color="auto" w:fill="auto"/>
            <w:tcMar>
              <w:top w:w="0" w:type="auto"/>
              <w:left w:w="108" w:type="dxa"/>
              <w:bottom w:w="0" w:type="auto"/>
              <w:right w:w="0" w:type="auto"/>
            </w:tcMar>
          </w:tcPr>
          <w:p w14:paraId="14D11F2D" w14:textId="0E3BFB3E" w:rsidR="00F03370" w:rsidRDefault="00F03370">
            <w:pPr>
              <w:spacing w:after="120" w:line="276" w:lineRule="auto"/>
              <w:jc w:val="center"/>
              <w:rPr>
                <w:rFonts w:ascii="Arial" w:hAnsi="Arial" w:cs="Arial"/>
                <w:b/>
                <w:bCs/>
                <w:sz w:val="18"/>
                <w:szCs w:val="18"/>
              </w:rPr>
            </w:pPr>
            <w:r>
              <w:rPr>
                <w:rFonts w:ascii="Arial" w:hAnsi="Arial" w:cs="Arial"/>
                <w:b/>
                <w:bCs/>
                <w:sz w:val="18"/>
                <w:szCs w:val="18"/>
              </w:rPr>
              <w:t>Clôture intermédiaire 4</w:t>
            </w:r>
          </w:p>
        </w:tc>
        <w:tc>
          <w:tcPr>
            <w:tcW w:w="1904" w:type="dxa"/>
            <w:shd w:val="clear" w:color="auto" w:fill="auto"/>
            <w:tcMar>
              <w:top w:w="0" w:type="auto"/>
              <w:left w:w="108" w:type="dxa"/>
              <w:bottom w:w="0" w:type="auto"/>
              <w:right w:w="0" w:type="auto"/>
            </w:tcMar>
          </w:tcPr>
          <w:p w14:paraId="35A5B1E7" w14:textId="035D0DF9" w:rsidR="00F03370" w:rsidRDefault="00F03370">
            <w:pPr>
              <w:spacing w:after="120" w:line="276" w:lineRule="auto"/>
              <w:jc w:val="center"/>
              <w:rPr>
                <w:rFonts w:ascii="Arial" w:hAnsi="Arial" w:cs="Arial"/>
                <w:b/>
                <w:bCs/>
                <w:sz w:val="18"/>
                <w:szCs w:val="18"/>
              </w:rPr>
            </w:pPr>
            <w:r>
              <w:rPr>
                <w:rFonts w:ascii="Arial" w:hAnsi="Arial" w:cs="Arial"/>
                <w:b/>
                <w:bCs/>
                <w:sz w:val="18"/>
                <w:szCs w:val="18"/>
              </w:rPr>
              <w:t>Clôture intermédiaire 5</w:t>
            </w:r>
          </w:p>
        </w:tc>
        <w:tc>
          <w:tcPr>
            <w:tcW w:w="1834" w:type="dxa"/>
            <w:shd w:val="clear" w:color="auto" w:fill="auto"/>
            <w:tcMar>
              <w:top w:w="0" w:type="auto"/>
              <w:left w:w="108" w:type="dxa"/>
              <w:bottom w:w="0" w:type="auto"/>
              <w:right w:w="0" w:type="auto"/>
            </w:tcMar>
          </w:tcPr>
          <w:p w14:paraId="07222BCF" w14:textId="77777777" w:rsidR="00F03370" w:rsidRDefault="00F03370">
            <w:pPr>
              <w:spacing w:after="120" w:line="276" w:lineRule="auto"/>
              <w:jc w:val="center"/>
              <w:rPr>
                <w:rFonts w:ascii="Arial" w:hAnsi="Arial" w:cs="Arial"/>
                <w:b/>
                <w:bCs/>
                <w:sz w:val="18"/>
                <w:szCs w:val="18"/>
              </w:rPr>
            </w:pPr>
            <w:r>
              <w:rPr>
                <w:rFonts w:ascii="Arial" w:hAnsi="Arial" w:cs="Arial"/>
                <w:b/>
                <w:bCs/>
                <w:sz w:val="18"/>
                <w:szCs w:val="18"/>
              </w:rPr>
              <w:t>Clôture définitive</w:t>
            </w:r>
          </w:p>
        </w:tc>
      </w:tr>
      <w:tr w:rsidR="00F03370" w14:paraId="2B39C12A" w14:textId="77777777" w:rsidTr="00F03370">
        <w:trPr>
          <w:jc w:val="center"/>
        </w:trPr>
        <w:tc>
          <w:tcPr>
            <w:tcW w:w="1848" w:type="dxa"/>
            <w:shd w:val="clear" w:color="auto" w:fill="auto"/>
            <w:tcMar>
              <w:top w:w="0" w:type="auto"/>
              <w:left w:w="108" w:type="dxa"/>
              <w:bottom w:w="0" w:type="auto"/>
              <w:right w:w="0" w:type="auto"/>
            </w:tcMar>
          </w:tcPr>
          <w:p w14:paraId="61BD0491" w14:textId="54120113" w:rsidR="00F03370" w:rsidRDefault="00F03370" w:rsidP="00F03370">
            <w:pPr>
              <w:spacing w:after="120" w:line="276" w:lineRule="auto"/>
              <w:jc w:val="center"/>
              <w:rPr>
                <w:rFonts w:ascii="Arial" w:hAnsi="Arial" w:cs="Arial"/>
                <w:b/>
                <w:bCs/>
                <w:sz w:val="18"/>
                <w:szCs w:val="18"/>
              </w:rPr>
            </w:pPr>
            <w:r>
              <w:rPr>
                <w:rFonts w:ascii="Arial" w:hAnsi="Arial" w:cs="Arial"/>
                <w:b/>
                <w:bCs/>
                <w:sz w:val="18"/>
                <w:szCs w:val="18"/>
              </w:rPr>
              <w:t>10 février 2022</w:t>
            </w:r>
          </w:p>
        </w:tc>
        <w:tc>
          <w:tcPr>
            <w:tcW w:w="1905" w:type="dxa"/>
            <w:shd w:val="clear" w:color="auto" w:fill="auto"/>
            <w:tcMar>
              <w:top w:w="0" w:type="auto"/>
              <w:left w:w="108" w:type="dxa"/>
              <w:bottom w:w="0" w:type="auto"/>
              <w:right w:w="0" w:type="auto"/>
            </w:tcMar>
          </w:tcPr>
          <w:p w14:paraId="2B651EFF" w14:textId="462195FC" w:rsidR="00F03370" w:rsidRDefault="00F03370" w:rsidP="00F03370">
            <w:pPr>
              <w:spacing w:after="120" w:line="276" w:lineRule="auto"/>
              <w:jc w:val="center"/>
              <w:rPr>
                <w:rFonts w:ascii="Arial" w:hAnsi="Arial" w:cs="Arial"/>
                <w:b/>
                <w:bCs/>
                <w:sz w:val="18"/>
                <w:szCs w:val="18"/>
              </w:rPr>
            </w:pPr>
            <w:r>
              <w:rPr>
                <w:rFonts w:ascii="Arial" w:hAnsi="Arial" w:cs="Arial"/>
                <w:b/>
                <w:bCs/>
                <w:sz w:val="18"/>
                <w:szCs w:val="18"/>
              </w:rPr>
              <w:t>1er octobre 2023</w:t>
            </w:r>
          </w:p>
        </w:tc>
        <w:tc>
          <w:tcPr>
            <w:tcW w:w="1904" w:type="dxa"/>
            <w:shd w:val="clear" w:color="auto" w:fill="auto"/>
            <w:tcMar>
              <w:top w:w="0" w:type="auto"/>
              <w:left w:w="108" w:type="dxa"/>
              <w:bottom w:w="0" w:type="auto"/>
              <w:right w:w="0" w:type="auto"/>
            </w:tcMar>
          </w:tcPr>
          <w:p w14:paraId="6162DAD3" w14:textId="668BB128" w:rsidR="00F03370" w:rsidRDefault="00F03370" w:rsidP="00F03370">
            <w:pPr>
              <w:spacing w:after="120" w:line="276" w:lineRule="auto"/>
              <w:jc w:val="center"/>
              <w:rPr>
                <w:rFonts w:ascii="Arial" w:hAnsi="Arial" w:cs="Arial"/>
                <w:b/>
                <w:bCs/>
                <w:sz w:val="18"/>
                <w:szCs w:val="18"/>
              </w:rPr>
            </w:pPr>
            <w:r>
              <w:rPr>
                <w:rFonts w:ascii="Arial" w:hAnsi="Arial" w:cs="Arial"/>
                <w:b/>
                <w:bCs/>
                <w:sz w:val="18"/>
                <w:szCs w:val="18"/>
              </w:rPr>
              <w:t>1er mars 2024</w:t>
            </w:r>
          </w:p>
        </w:tc>
        <w:tc>
          <w:tcPr>
            <w:tcW w:w="1834" w:type="dxa"/>
            <w:shd w:val="clear" w:color="auto" w:fill="auto"/>
            <w:tcMar>
              <w:top w:w="0" w:type="auto"/>
              <w:left w:w="108" w:type="dxa"/>
              <w:bottom w:w="0" w:type="auto"/>
              <w:right w:w="0" w:type="auto"/>
            </w:tcMar>
          </w:tcPr>
          <w:p w14:paraId="30078302" w14:textId="001C932E" w:rsidR="00F03370" w:rsidRDefault="00F03370" w:rsidP="00F03370">
            <w:pPr>
              <w:spacing w:after="120" w:line="276" w:lineRule="auto"/>
              <w:jc w:val="center"/>
              <w:rPr>
                <w:rFonts w:ascii="Arial" w:hAnsi="Arial" w:cs="Arial"/>
                <w:b/>
                <w:bCs/>
                <w:sz w:val="18"/>
                <w:szCs w:val="18"/>
              </w:rPr>
            </w:pPr>
            <w:r>
              <w:rPr>
                <w:rFonts w:ascii="Arial" w:hAnsi="Arial" w:cs="Arial"/>
                <w:b/>
                <w:bCs/>
                <w:sz w:val="18"/>
                <w:szCs w:val="18"/>
              </w:rPr>
              <w:t>15 septembre 2024</w:t>
            </w:r>
          </w:p>
        </w:tc>
      </w:tr>
    </w:tbl>
    <w:p w14:paraId="61B42F23" w14:textId="77777777" w:rsidR="00EB0D03" w:rsidRDefault="004D2E04">
      <w:pPr>
        <w:spacing w:after="120"/>
        <w:rPr>
          <w:b/>
          <w:bCs/>
        </w:rPr>
      </w:pPr>
      <w:r>
        <w:rPr>
          <w:b/>
          <w:bCs/>
        </w:rPr>
        <w:t xml:space="preserve"> </w:t>
      </w:r>
    </w:p>
    <w:p w14:paraId="58814B79" w14:textId="77777777" w:rsidR="00EB0D03" w:rsidRDefault="004D2E04">
      <w:pPr>
        <w:rPr>
          <w:i/>
          <w:iCs/>
          <w:color w:val="10253F"/>
        </w:rPr>
      </w:pPr>
      <w:r>
        <w:rPr>
          <w:i/>
          <w:iCs/>
          <w:color w:val="10253F"/>
        </w:rPr>
        <w:t>L’ADEME se réserve le droit de clore l’appel à projets avant cette date, notamment en raison du niveau de consommation de l’enveloppe allouée, en application d’un arrêté du Premier ministre pris sur avis du Secrétariat général pour l’investissement (SGPI). Les informations actualisées seront publiées sur le site de l’AAP.</w:t>
      </w:r>
    </w:p>
    <w:p w14:paraId="7339412A" w14:textId="77777777" w:rsidR="00EB0D03" w:rsidRDefault="00EB0D03">
      <w:pPr>
        <w:spacing w:after="120"/>
      </w:pPr>
    </w:p>
    <w:p w14:paraId="7685CAC9" w14:textId="77777777" w:rsidR="00EB0D03" w:rsidRDefault="00EB0D03">
      <w:pPr>
        <w:spacing w:after="120"/>
        <w:rPr>
          <w:color w:val="3CB6EC"/>
        </w:rPr>
      </w:pPr>
    </w:p>
    <w:p w14:paraId="05C17BD5" w14:textId="77777777" w:rsidR="00EB0D03" w:rsidRDefault="00EB0D03"/>
    <w:p w14:paraId="6AB842C3" w14:textId="77777777" w:rsidR="00EB0D03" w:rsidRDefault="00EB0D03"/>
    <w:p w14:paraId="39E62F5F" w14:textId="77777777" w:rsidR="00EB0D03" w:rsidRDefault="00EB0D03"/>
    <w:p w14:paraId="4EB42501" w14:textId="77777777" w:rsidR="00EB0D03" w:rsidRDefault="00EB0D03"/>
    <w:p w14:paraId="6FFC7ADE" w14:textId="77777777" w:rsidR="00EB0D03" w:rsidRDefault="00EB0D03"/>
    <w:p w14:paraId="04CB96A5" w14:textId="77777777" w:rsidR="00EB0D03" w:rsidRDefault="004D2E04">
      <w:pPr>
        <w:pStyle w:val="Titre1"/>
        <w:spacing w:before="0" w:after="120" w:line="240" w:lineRule="auto"/>
      </w:pPr>
      <w:bookmarkStart w:id="1" w:name="_Toc95317876"/>
      <w:r>
        <w:lastRenderedPageBreak/>
        <w:t>Table des matières</w:t>
      </w:r>
      <w:bookmarkEnd w:id="1"/>
    </w:p>
    <w:p w14:paraId="115EF948" w14:textId="77777777" w:rsidR="00EB0D03" w:rsidRDefault="00EB0D03">
      <w:pPr>
        <w:spacing w:after="120"/>
        <w:rPr>
          <w:b/>
        </w:rPr>
      </w:pPr>
    </w:p>
    <w:p w14:paraId="47E84B20" w14:textId="052A73A3" w:rsidR="005D5021" w:rsidRDefault="004D2E04">
      <w:pPr>
        <w:pStyle w:val="TM1"/>
        <w:rPr>
          <w:rFonts w:asciiTheme="minorHAnsi" w:eastAsiaTheme="minorEastAsia" w:hAnsiTheme="minorHAnsi" w:cstheme="minorBidi"/>
          <w:b w:val="0"/>
          <w:noProof/>
        </w:rPr>
      </w:pPr>
      <w:r>
        <w:rPr>
          <w:rFonts w:ascii="Arial" w:hAnsi="Arial"/>
        </w:rPr>
        <w:fldChar w:fldCharType="begin"/>
      </w:r>
      <w:r>
        <w:rPr>
          <w:rFonts w:ascii="Arial" w:hAnsi="Arial"/>
        </w:rPr>
        <w:instrText xml:space="preserve"> TOC \o "1-2" \h \z \u </w:instrText>
      </w:r>
      <w:r>
        <w:rPr>
          <w:rFonts w:ascii="Arial" w:hAnsi="Arial"/>
        </w:rPr>
        <w:fldChar w:fldCharType="separate"/>
      </w:r>
      <w:hyperlink w:anchor="_Toc95317876" w:history="1">
        <w:r w:rsidR="005D5021" w:rsidRPr="003D7EC7">
          <w:rPr>
            <w:rStyle w:val="Lienhypertexte"/>
            <w:noProof/>
          </w:rPr>
          <w:t>1</w:t>
        </w:r>
        <w:r w:rsidR="005D5021">
          <w:rPr>
            <w:rFonts w:asciiTheme="minorHAnsi" w:eastAsiaTheme="minorEastAsia" w:hAnsiTheme="minorHAnsi" w:cstheme="minorBidi"/>
            <w:b w:val="0"/>
            <w:noProof/>
          </w:rPr>
          <w:tab/>
        </w:r>
        <w:r w:rsidR="005D5021" w:rsidRPr="003D7EC7">
          <w:rPr>
            <w:rStyle w:val="Lienhypertexte"/>
            <w:noProof/>
          </w:rPr>
          <w:t>Table des matières</w:t>
        </w:r>
        <w:r w:rsidR="005D5021">
          <w:rPr>
            <w:noProof/>
            <w:webHidden/>
          </w:rPr>
          <w:tab/>
        </w:r>
        <w:r w:rsidR="005D5021">
          <w:rPr>
            <w:noProof/>
            <w:webHidden/>
          </w:rPr>
          <w:fldChar w:fldCharType="begin"/>
        </w:r>
        <w:r w:rsidR="005D5021">
          <w:rPr>
            <w:noProof/>
            <w:webHidden/>
          </w:rPr>
          <w:instrText xml:space="preserve"> PAGEREF _Toc95317876 \h </w:instrText>
        </w:r>
        <w:r w:rsidR="005D5021">
          <w:rPr>
            <w:noProof/>
            <w:webHidden/>
          </w:rPr>
        </w:r>
        <w:r w:rsidR="005D5021">
          <w:rPr>
            <w:noProof/>
            <w:webHidden/>
          </w:rPr>
          <w:fldChar w:fldCharType="separate"/>
        </w:r>
        <w:r w:rsidR="00B5446A">
          <w:rPr>
            <w:noProof/>
            <w:webHidden/>
          </w:rPr>
          <w:t>2</w:t>
        </w:r>
        <w:r w:rsidR="005D5021">
          <w:rPr>
            <w:noProof/>
            <w:webHidden/>
          </w:rPr>
          <w:fldChar w:fldCharType="end"/>
        </w:r>
      </w:hyperlink>
    </w:p>
    <w:p w14:paraId="3596E6B6" w14:textId="4E5563C7" w:rsidR="005D5021" w:rsidRDefault="00F03370">
      <w:pPr>
        <w:pStyle w:val="TM1"/>
        <w:rPr>
          <w:rFonts w:asciiTheme="minorHAnsi" w:eastAsiaTheme="minorEastAsia" w:hAnsiTheme="minorHAnsi" w:cstheme="minorBidi"/>
          <w:b w:val="0"/>
          <w:noProof/>
        </w:rPr>
      </w:pPr>
      <w:hyperlink w:anchor="_Toc95317877" w:history="1">
        <w:r w:rsidR="005D5021" w:rsidRPr="003D7EC7">
          <w:rPr>
            <w:rStyle w:val="Lienhypertexte"/>
            <w:noProof/>
          </w:rPr>
          <w:t>2</w:t>
        </w:r>
        <w:r w:rsidR="005D5021">
          <w:rPr>
            <w:rFonts w:asciiTheme="minorHAnsi" w:eastAsiaTheme="minorEastAsia" w:hAnsiTheme="minorHAnsi" w:cstheme="minorBidi"/>
            <w:b w:val="0"/>
            <w:noProof/>
          </w:rPr>
          <w:tab/>
        </w:r>
        <w:r w:rsidR="005D5021" w:rsidRPr="003D7EC7">
          <w:rPr>
            <w:rStyle w:val="Lienhypertexte"/>
            <w:noProof/>
          </w:rPr>
          <w:t>Cadre général de l’AAP</w:t>
        </w:r>
        <w:r w:rsidR="005D5021">
          <w:rPr>
            <w:noProof/>
            <w:webHidden/>
          </w:rPr>
          <w:tab/>
        </w:r>
        <w:r w:rsidR="005D5021">
          <w:rPr>
            <w:noProof/>
            <w:webHidden/>
          </w:rPr>
          <w:fldChar w:fldCharType="begin"/>
        </w:r>
        <w:r w:rsidR="005D5021">
          <w:rPr>
            <w:noProof/>
            <w:webHidden/>
          </w:rPr>
          <w:instrText xml:space="preserve"> PAGEREF _Toc95317877 \h </w:instrText>
        </w:r>
        <w:r w:rsidR="005D5021">
          <w:rPr>
            <w:noProof/>
            <w:webHidden/>
          </w:rPr>
        </w:r>
        <w:r w:rsidR="005D5021">
          <w:rPr>
            <w:noProof/>
            <w:webHidden/>
          </w:rPr>
          <w:fldChar w:fldCharType="separate"/>
        </w:r>
        <w:r w:rsidR="00B5446A">
          <w:rPr>
            <w:noProof/>
            <w:webHidden/>
          </w:rPr>
          <w:t>3</w:t>
        </w:r>
        <w:r w:rsidR="005D5021">
          <w:rPr>
            <w:noProof/>
            <w:webHidden/>
          </w:rPr>
          <w:fldChar w:fldCharType="end"/>
        </w:r>
      </w:hyperlink>
    </w:p>
    <w:p w14:paraId="791DB705" w14:textId="368CC8EA" w:rsidR="005D5021" w:rsidRDefault="00F03370">
      <w:pPr>
        <w:pStyle w:val="TM2"/>
        <w:rPr>
          <w:rFonts w:asciiTheme="minorHAnsi" w:eastAsiaTheme="minorEastAsia" w:hAnsiTheme="minorHAnsi" w:cstheme="minorBidi"/>
          <w:noProof/>
        </w:rPr>
      </w:pPr>
      <w:hyperlink w:anchor="_Toc95317878" w:history="1">
        <w:r w:rsidR="005D5021" w:rsidRPr="003D7EC7">
          <w:rPr>
            <w:rStyle w:val="Lienhypertexte"/>
            <w:noProof/>
          </w:rPr>
          <w:t>2.1</w:t>
        </w:r>
        <w:r w:rsidR="005D5021">
          <w:rPr>
            <w:rFonts w:asciiTheme="minorHAnsi" w:eastAsiaTheme="minorEastAsia" w:hAnsiTheme="minorHAnsi" w:cstheme="minorBidi"/>
            <w:noProof/>
          </w:rPr>
          <w:tab/>
        </w:r>
        <w:r w:rsidR="005D5021" w:rsidRPr="003D7EC7">
          <w:rPr>
            <w:rStyle w:val="Lienhypertexte"/>
            <w:caps/>
            <w:noProof/>
          </w:rPr>
          <w:t>C</w:t>
        </w:r>
        <w:r w:rsidR="005D5021" w:rsidRPr="003D7EC7">
          <w:rPr>
            <w:rStyle w:val="Lienhypertexte"/>
            <w:noProof/>
          </w:rPr>
          <w:t>ontexte et objectifs de l’AAP</w:t>
        </w:r>
        <w:r w:rsidR="005D5021">
          <w:rPr>
            <w:noProof/>
            <w:webHidden/>
          </w:rPr>
          <w:tab/>
        </w:r>
        <w:r w:rsidR="005D5021">
          <w:rPr>
            <w:noProof/>
            <w:webHidden/>
          </w:rPr>
          <w:fldChar w:fldCharType="begin"/>
        </w:r>
        <w:r w:rsidR="005D5021">
          <w:rPr>
            <w:noProof/>
            <w:webHidden/>
          </w:rPr>
          <w:instrText xml:space="preserve"> PAGEREF _Toc95317878 \h </w:instrText>
        </w:r>
        <w:r w:rsidR="005D5021">
          <w:rPr>
            <w:noProof/>
            <w:webHidden/>
          </w:rPr>
        </w:r>
        <w:r w:rsidR="005D5021">
          <w:rPr>
            <w:noProof/>
            <w:webHidden/>
          </w:rPr>
          <w:fldChar w:fldCharType="separate"/>
        </w:r>
        <w:r w:rsidR="00B5446A">
          <w:rPr>
            <w:noProof/>
            <w:webHidden/>
          </w:rPr>
          <w:t>3</w:t>
        </w:r>
        <w:r w:rsidR="005D5021">
          <w:rPr>
            <w:noProof/>
            <w:webHidden/>
          </w:rPr>
          <w:fldChar w:fldCharType="end"/>
        </w:r>
      </w:hyperlink>
    </w:p>
    <w:p w14:paraId="04033208" w14:textId="11DEDEE6" w:rsidR="005D5021" w:rsidRDefault="00F03370">
      <w:pPr>
        <w:pStyle w:val="TM2"/>
        <w:rPr>
          <w:rFonts w:asciiTheme="minorHAnsi" w:eastAsiaTheme="minorEastAsia" w:hAnsiTheme="minorHAnsi" w:cstheme="minorBidi"/>
          <w:noProof/>
        </w:rPr>
      </w:pPr>
      <w:hyperlink w:anchor="_Toc95317879" w:history="1">
        <w:r w:rsidR="005D5021" w:rsidRPr="003D7EC7">
          <w:rPr>
            <w:rStyle w:val="Lienhypertexte"/>
            <w:noProof/>
          </w:rPr>
          <w:t>2.2</w:t>
        </w:r>
        <w:r w:rsidR="005D5021">
          <w:rPr>
            <w:rFonts w:asciiTheme="minorHAnsi" w:eastAsiaTheme="minorEastAsia" w:hAnsiTheme="minorHAnsi" w:cstheme="minorBidi"/>
            <w:noProof/>
          </w:rPr>
          <w:tab/>
        </w:r>
        <w:r w:rsidR="005D5021" w:rsidRPr="003D7EC7">
          <w:rPr>
            <w:rStyle w:val="Lienhypertexte"/>
            <w:caps/>
            <w:noProof/>
          </w:rPr>
          <w:t>P</w:t>
        </w:r>
        <w:r w:rsidR="005D5021" w:rsidRPr="003D7EC7">
          <w:rPr>
            <w:rStyle w:val="Lienhypertexte"/>
            <w:noProof/>
          </w:rPr>
          <w:t>riorités thématiques et typologie des projets attendus</w:t>
        </w:r>
        <w:r w:rsidR="005D5021">
          <w:rPr>
            <w:noProof/>
            <w:webHidden/>
          </w:rPr>
          <w:tab/>
        </w:r>
        <w:r w:rsidR="005D5021">
          <w:rPr>
            <w:noProof/>
            <w:webHidden/>
          </w:rPr>
          <w:fldChar w:fldCharType="begin"/>
        </w:r>
        <w:r w:rsidR="005D5021">
          <w:rPr>
            <w:noProof/>
            <w:webHidden/>
          </w:rPr>
          <w:instrText xml:space="preserve"> PAGEREF _Toc95317879 \h </w:instrText>
        </w:r>
        <w:r w:rsidR="005D5021">
          <w:rPr>
            <w:noProof/>
            <w:webHidden/>
          </w:rPr>
        </w:r>
        <w:r w:rsidR="005D5021">
          <w:rPr>
            <w:noProof/>
            <w:webHidden/>
          </w:rPr>
          <w:fldChar w:fldCharType="separate"/>
        </w:r>
        <w:r w:rsidR="00B5446A">
          <w:rPr>
            <w:noProof/>
            <w:webHidden/>
          </w:rPr>
          <w:t>4</w:t>
        </w:r>
        <w:r w:rsidR="005D5021">
          <w:rPr>
            <w:noProof/>
            <w:webHidden/>
          </w:rPr>
          <w:fldChar w:fldCharType="end"/>
        </w:r>
      </w:hyperlink>
    </w:p>
    <w:p w14:paraId="09A31016" w14:textId="30CB0231" w:rsidR="005D5021" w:rsidRDefault="00F03370">
      <w:pPr>
        <w:pStyle w:val="TM1"/>
        <w:rPr>
          <w:rFonts w:asciiTheme="minorHAnsi" w:eastAsiaTheme="minorEastAsia" w:hAnsiTheme="minorHAnsi" w:cstheme="minorBidi"/>
          <w:b w:val="0"/>
          <w:noProof/>
        </w:rPr>
      </w:pPr>
      <w:hyperlink w:anchor="_Toc95317880" w:history="1">
        <w:r w:rsidR="005D5021" w:rsidRPr="003D7EC7">
          <w:rPr>
            <w:rStyle w:val="Lienhypertexte"/>
            <w:noProof/>
          </w:rPr>
          <w:t>3</w:t>
        </w:r>
        <w:r w:rsidR="005D5021">
          <w:rPr>
            <w:rFonts w:asciiTheme="minorHAnsi" w:eastAsiaTheme="minorEastAsia" w:hAnsiTheme="minorHAnsi" w:cstheme="minorBidi"/>
            <w:b w:val="0"/>
            <w:noProof/>
          </w:rPr>
          <w:tab/>
        </w:r>
        <w:r w:rsidR="005D5021" w:rsidRPr="003D7EC7">
          <w:rPr>
            <w:rStyle w:val="Lienhypertexte"/>
            <w:noProof/>
          </w:rPr>
          <w:t>Processus Global de l’AAP</w:t>
        </w:r>
        <w:r w:rsidR="005D5021">
          <w:rPr>
            <w:noProof/>
            <w:webHidden/>
          </w:rPr>
          <w:tab/>
        </w:r>
        <w:r w:rsidR="005D5021">
          <w:rPr>
            <w:noProof/>
            <w:webHidden/>
          </w:rPr>
          <w:fldChar w:fldCharType="begin"/>
        </w:r>
        <w:r w:rsidR="005D5021">
          <w:rPr>
            <w:noProof/>
            <w:webHidden/>
          </w:rPr>
          <w:instrText xml:space="preserve"> PAGEREF _Toc95317880 \h </w:instrText>
        </w:r>
        <w:r w:rsidR="005D5021">
          <w:rPr>
            <w:noProof/>
            <w:webHidden/>
          </w:rPr>
        </w:r>
        <w:r w:rsidR="005D5021">
          <w:rPr>
            <w:noProof/>
            <w:webHidden/>
          </w:rPr>
          <w:fldChar w:fldCharType="separate"/>
        </w:r>
        <w:r w:rsidR="00B5446A">
          <w:rPr>
            <w:noProof/>
            <w:webHidden/>
          </w:rPr>
          <w:t>6</w:t>
        </w:r>
        <w:r w:rsidR="005D5021">
          <w:rPr>
            <w:noProof/>
            <w:webHidden/>
          </w:rPr>
          <w:fldChar w:fldCharType="end"/>
        </w:r>
      </w:hyperlink>
    </w:p>
    <w:p w14:paraId="4FACD1CA" w14:textId="1A0DD8E3" w:rsidR="005D5021" w:rsidRDefault="00F03370">
      <w:pPr>
        <w:pStyle w:val="TM2"/>
        <w:rPr>
          <w:rFonts w:asciiTheme="minorHAnsi" w:eastAsiaTheme="minorEastAsia" w:hAnsiTheme="minorHAnsi" w:cstheme="minorBidi"/>
          <w:noProof/>
        </w:rPr>
      </w:pPr>
      <w:hyperlink w:anchor="_Toc95317881" w:history="1">
        <w:r w:rsidR="005D5021" w:rsidRPr="003D7EC7">
          <w:rPr>
            <w:rStyle w:val="Lienhypertexte"/>
            <w:caps/>
            <w:noProof/>
          </w:rPr>
          <w:t>3.1</w:t>
        </w:r>
        <w:r w:rsidR="005D5021">
          <w:rPr>
            <w:rFonts w:asciiTheme="minorHAnsi" w:eastAsiaTheme="minorEastAsia" w:hAnsiTheme="minorHAnsi" w:cstheme="minorBidi"/>
            <w:noProof/>
          </w:rPr>
          <w:tab/>
        </w:r>
        <w:r w:rsidR="005D5021" w:rsidRPr="003D7EC7">
          <w:rPr>
            <w:rStyle w:val="Lienhypertexte"/>
            <w:caps/>
            <w:noProof/>
          </w:rPr>
          <w:t>P</w:t>
        </w:r>
        <w:r w:rsidR="005D5021" w:rsidRPr="003D7EC7">
          <w:rPr>
            <w:rStyle w:val="Lienhypertexte"/>
            <w:noProof/>
          </w:rPr>
          <w:t>ré-dépôt et dépôt</w:t>
        </w:r>
        <w:r w:rsidR="005D5021">
          <w:rPr>
            <w:noProof/>
            <w:webHidden/>
          </w:rPr>
          <w:tab/>
        </w:r>
        <w:r w:rsidR="005D5021">
          <w:rPr>
            <w:noProof/>
            <w:webHidden/>
          </w:rPr>
          <w:fldChar w:fldCharType="begin"/>
        </w:r>
        <w:r w:rsidR="005D5021">
          <w:rPr>
            <w:noProof/>
            <w:webHidden/>
          </w:rPr>
          <w:instrText xml:space="preserve"> PAGEREF _Toc95317881 \h </w:instrText>
        </w:r>
        <w:r w:rsidR="005D5021">
          <w:rPr>
            <w:noProof/>
            <w:webHidden/>
          </w:rPr>
        </w:r>
        <w:r w:rsidR="005D5021">
          <w:rPr>
            <w:noProof/>
            <w:webHidden/>
          </w:rPr>
          <w:fldChar w:fldCharType="separate"/>
        </w:r>
        <w:r w:rsidR="00B5446A">
          <w:rPr>
            <w:noProof/>
            <w:webHidden/>
          </w:rPr>
          <w:t>6</w:t>
        </w:r>
        <w:r w:rsidR="005D5021">
          <w:rPr>
            <w:noProof/>
            <w:webHidden/>
          </w:rPr>
          <w:fldChar w:fldCharType="end"/>
        </w:r>
      </w:hyperlink>
    </w:p>
    <w:p w14:paraId="33F91C42" w14:textId="43C05326" w:rsidR="005D5021" w:rsidRDefault="00F03370">
      <w:pPr>
        <w:pStyle w:val="TM2"/>
        <w:rPr>
          <w:rFonts w:asciiTheme="minorHAnsi" w:eastAsiaTheme="minorEastAsia" w:hAnsiTheme="minorHAnsi" w:cstheme="minorBidi"/>
          <w:noProof/>
        </w:rPr>
      </w:pPr>
      <w:hyperlink w:anchor="_Toc95317882" w:history="1">
        <w:r w:rsidR="005D5021" w:rsidRPr="003D7EC7">
          <w:rPr>
            <w:rStyle w:val="Lienhypertexte"/>
            <w:noProof/>
          </w:rPr>
          <w:t>3.2</w:t>
        </w:r>
        <w:r w:rsidR="005D5021">
          <w:rPr>
            <w:rFonts w:asciiTheme="minorHAnsi" w:eastAsiaTheme="minorEastAsia" w:hAnsiTheme="minorHAnsi" w:cstheme="minorBidi"/>
            <w:noProof/>
          </w:rPr>
          <w:tab/>
        </w:r>
        <w:r w:rsidR="005D5021" w:rsidRPr="003D7EC7">
          <w:rPr>
            <w:rStyle w:val="Lienhypertexte"/>
            <w:noProof/>
          </w:rPr>
          <w:t>Procédure de décision</w:t>
        </w:r>
        <w:r w:rsidR="005D5021">
          <w:rPr>
            <w:noProof/>
            <w:webHidden/>
          </w:rPr>
          <w:tab/>
        </w:r>
        <w:r w:rsidR="005D5021">
          <w:rPr>
            <w:noProof/>
            <w:webHidden/>
          </w:rPr>
          <w:fldChar w:fldCharType="begin"/>
        </w:r>
        <w:r w:rsidR="005D5021">
          <w:rPr>
            <w:noProof/>
            <w:webHidden/>
          </w:rPr>
          <w:instrText xml:space="preserve"> PAGEREF _Toc95317882 \h </w:instrText>
        </w:r>
        <w:r w:rsidR="005D5021">
          <w:rPr>
            <w:noProof/>
            <w:webHidden/>
          </w:rPr>
        </w:r>
        <w:r w:rsidR="005D5021">
          <w:rPr>
            <w:noProof/>
            <w:webHidden/>
          </w:rPr>
          <w:fldChar w:fldCharType="separate"/>
        </w:r>
        <w:r w:rsidR="00B5446A">
          <w:rPr>
            <w:noProof/>
            <w:webHidden/>
          </w:rPr>
          <w:t>8</w:t>
        </w:r>
        <w:r w:rsidR="005D5021">
          <w:rPr>
            <w:noProof/>
            <w:webHidden/>
          </w:rPr>
          <w:fldChar w:fldCharType="end"/>
        </w:r>
      </w:hyperlink>
    </w:p>
    <w:p w14:paraId="76BDDCB3" w14:textId="4D257D1D" w:rsidR="005D5021" w:rsidRDefault="00F03370">
      <w:pPr>
        <w:pStyle w:val="TM2"/>
        <w:rPr>
          <w:rFonts w:asciiTheme="minorHAnsi" w:eastAsiaTheme="minorEastAsia" w:hAnsiTheme="minorHAnsi" w:cstheme="minorBidi"/>
          <w:noProof/>
        </w:rPr>
      </w:pPr>
      <w:hyperlink w:anchor="_Toc95317883" w:history="1">
        <w:r w:rsidR="005D5021" w:rsidRPr="003D7EC7">
          <w:rPr>
            <w:rStyle w:val="Lienhypertexte"/>
            <w:noProof/>
          </w:rPr>
          <w:t>3.3</w:t>
        </w:r>
        <w:r w:rsidR="005D5021">
          <w:rPr>
            <w:rFonts w:asciiTheme="minorHAnsi" w:eastAsiaTheme="minorEastAsia" w:hAnsiTheme="minorHAnsi" w:cstheme="minorBidi"/>
            <w:noProof/>
          </w:rPr>
          <w:tab/>
        </w:r>
        <w:r w:rsidR="005D5021" w:rsidRPr="003D7EC7">
          <w:rPr>
            <w:rStyle w:val="Lienhypertexte"/>
            <w:noProof/>
          </w:rPr>
          <w:t>Contractualisation</w:t>
        </w:r>
        <w:r w:rsidR="005D5021">
          <w:rPr>
            <w:noProof/>
            <w:webHidden/>
          </w:rPr>
          <w:tab/>
        </w:r>
        <w:r w:rsidR="005D5021">
          <w:rPr>
            <w:noProof/>
            <w:webHidden/>
          </w:rPr>
          <w:fldChar w:fldCharType="begin"/>
        </w:r>
        <w:r w:rsidR="005D5021">
          <w:rPr>
            <w:noProof/>
            <w:webHidden/>
          </w:rPr>
          <w:instrText xml:space="preserve"> PAGEREF _Toc95317883 \h </w:instrText>
        </w:r>
        <w:r w:rsidR="005D5021">
          <w:rPr>
            <w:noProof/>
            <w:webHidden/>
          </w:rPr>
        </w:r>
        <w:r w:rsidR="005D5021">
          <w:rPr>
            <w:noProof/>
            <w:webHidden/>
          </w:rPr>
          <w:fldChar w:fldCharType="separate"/>
        </w:r>
        <w:r w:rsidR="00B5446A">
          <w:rPr>
            <w:noProof/>
            <w:webHidden/>
          </w:rPr>
          <w:t>8</w:t>
        </w:r>
        <w:r w:rsidR="005D5021">
          <w:rPr>
            <w:noProof/>
            <w:webHidden/>
          </w:rPr>
          <w:fldChar w:fldCharType="end"/>
        </w:r>
      </w:hyperlink>
    </w:p>
    <w:p w14:paraId="6CC8BF3A" w14:textId="01C07511" w:rsidR="005D5021" w:rsidRDefault="00F03370">
      <w:pPr>
        <w:pStyle w:val="TM1"/>
        <w:rPr>
          <w:rFonts w:asciiTheme="minorHAnsi" w:eastAsiaTheme="minorEastAsia" w:hAnsiTheme="minorHAnsi" w:cstheme="minorBidi"/>
          <w:b w:val="0"/>
          <w:noProof/>
        </w:rPr>
      </w:pPr>
      <w:hyperlink w:anchor="_Toc95317884" w:history="1">
        <w:r w:rsidR="005D5021" w:rsidRPr="003D7EC7">
          <w:rPr>
            <w:rStyle w:val="Lienhypertexte"/>
            <w:noProof/>
          </w:rPr>
          <w:t>4</w:t>
        </w:r>
        <w:r w:rsidR="005D5021">
          <w:rPr>
            <w:rFonts w:asciiTheme="minorHAnsi" w:eastAsiaTheme="minorEastAsia" w:hAnsiTheme="minorHAnsi" w:cstheme="minorBidi"/>
            <w:b w:val="0"/>
            <w:noProof/>
          </w:rPr>
          <w:tab/>
        </w:r>
        <w:r w:rsidR="005D5021" w:rsidRPr="003D7EC7">
          <w:rPr>
            <w:rStyle w:val="Lienhypertexte"/>
            <w:noProof/>
          </w:rPr>
          <w:t>Criteres de selection et modalités de financement</w:t>
        </w:r>
        <w:r w:rsidR="005D5021">
          <w:rPr>
            <w:noProof/>
            <w:webHidden/>
          </w:rPr>
          <w:tab/>
        </w:r>
        <w:r w:rsidR="005D5021">
          <w:rPr>
            <w:noProof/>
            <w:webHidden/>
          </w:rPr>
          <w:fldChar w:fldCharType="begin"/>
        </w:r>
        <w:r w:rsidR="005D5021">
          <w:rPr>
            <w:noProof/>
            <w:webHidden/>
          </w:rPr>
          <w:instrText xml:space="preserve"> PAGEREF _Toc95317884 \h </w:instrText>
        </w:r>
        <w:r w:rsidR="005D5021">
          <w:rPr>
            <w:noProof/>
            <w:webHidden/>
          </w:rPr>
        </w:r>
        <w:r w:rsidR="005D5021">
          <w:rPr>
            <w:noProof/>
            <w:webHidden/>
          </w:rPr>
          <w:fldChar w:fldCharType="separate"/>
        </w:r>
        <w:r w:rsidR="00B5446A">
          <w:rPr>
            <w:noProof/>
            <w:webHidden/>
          </w:rPr>
          <w:t>9</w:t>
        </w:r>
        <w:r w:rsidR="005D5021">
          <w:rPr>
            <w:noProof/>
            <w:webHidden/>
          </w:rPr>
          <w:fldChar w:fldCharType="end"/>
        </w:r>
      </w:hyperlink>
    </w:p>
    <w:p w14:paraId="6C5D0C2E" w14:textId="74475B2F" w:rsidR="005D5021" w:rsidRDefault="00F03370">
      <w:pPr>
        <w:pStyle w:val="TM2"/>
        <w:rPr>
          <w:rFonts w:asciiTheme="minorHAnsi" w:eastAsiaTheme="minorEastAsia" w:hAnsiTheme="minorHAnsi" w:cstheme="minorBidi"/>
          <w:noProof/>
        </w:rPr>
      </w:pPr>
      <w:hyperlink w:anchor="_Toc95317885" w:history="1">
        <w:r w:rsidR="005D5021" w:rsidRPr="003D7EC7">
          <w:rPr>
            <w:rStyle w:val="Lienhypertexte"/>
            <w:noProof/>
          </w:rPr>
          <w:t>4.1</w:t>
        </w:r>
        <w:r w:rsidR="005D5021">
          <w:rPr>
            <w:rFonts w:asciiTheme="minorHAnsi" w:eastAsiaTheme="minorEastAsia" w:hAnsiTheme="minorHAnsi" w:cstheme="minorBidi"/>
            <w:noProof/>
          </w:rPr>
          <w:tab/>
        </w:r>
        <w:r w:rsidR="005D5021" w:rsidRPr="003D7EC7">
          <w:rPr>
            <w:rStyle w:val="Lienhypertexte"/>
            <w:noProof/>
          </w:rPr>
          <w:t>Critères de sélection</w:t>
        </w:r>
        <w:r w:rsidR="005D5021">
          <w:rPr>
            <w:noProof/>
            <w:webHidden/>
          </w:rPr>
          <w:tab/>
        </w:r>
        <w:r w:rsidR="005D5021">
          <w:rPr>
            <w:noProof/>
            <w:webHidden/>
          </w:rPr>
          <w:fldChar w:fldCharType="begin"/>
        </w:r>
        <w:r w:rsidR="005D5021">
          <w:rPr>
            <w:noProof/>
            <w:webHidden/>
          </w:rPr>
          <w:instrText xml:space="preserve"> PAGEREF _Toc95317885 \h </w:instrText>
        </w:r>
        <w:r w:rsidR="005D5021">
          <w:rPr>
            <w:noProof/>
            <w:webHidden/>
          </w:rPr>
        </w:r>
        <w:r w:rsidR="005D5021">
          <w:rPr>
            <w:noProof/>
            <w:webHidden/>
          </w:rPr>
          <w:fldChar w:fldCharType="separate"/>
        </w:r>
        <w:r w:rsidR="00B5446A">
          <w:rPr>
            <w:noProof/>
            <w:webHidden/>
          </w:rPr>
          <w:t>9</w:t>
        </w:r>
        <w:r w:rsidR="005D5021">
          <w:rPr>
            <w:noProof/>
            <w:webHidden/>
          </w:rPr>
          <w:fldChar w:fldCharType="end"/>
        </w:r>
      </w:hyperlink>
    </w:p>
    <w:p w14:paraId="48A92125" w14:textId="49EF0AD9" w:rsidR="005D5021" w:rsidRDefault="00F03370">
      <w:pPr>
        <w:pStyle w:val="TM2"/>
        <w:rPr>
          <w:rFonts w:asciiTheme="minorHAnsi" w:eastAsiaTheme="minorEastAsia" w:hAnsiTheme="minorHAnsi" w:cstheme="minorBidi"/>
          <w:noProof/>
        </w:rPr>
      </w:pPr>
      <w:hyperlink w:anchor="_Toc95317886" w:history="1">
        <w:r w:rsidR="005D5021" w:rsidRPr="003D7EC7">
          <w:rPr>
            <w:rStyle w:val="Lienhypertexte"/>
            <w:noProof/>
          </w:rPr>
          <w:t>4.2</w:t>
        </w:r>
        <w:r w:rsidR="005D5021">
          <w:rPr>
            <w:rFonts w:asciiTheme="minorHAnsi" w:eastAsiaTheme="minorEastAsia" w:hAnsiTheme="minorHAnsi" w:cstheme="minorBidi"/>
            <w:noProof/>
          </w:rPr>
          <w:tab/>
        </w:r>
        <w:r w:rsidR="005D5021" w:rsidRPr="003D7EC7">
          <w:rPr>
            <w:rStyle w:val="Lienhypertexte"/>
            <w:noProof/>
          </w:rPr>
          <w:t>Régimes d’aides et date d’éligibilité des dépenses</w:t>
        </w:r>
        <w:r w:rsidR="005D5021">
          <w:rPr>
            <w:noProof/>
            <w:webHidden/>
          </w:rPr>
          <w:tab/>
        </w:r>
        <w:r w:rsidR="005D5021">
          <w:rPr>
            <w:noProof/>
            <w:webHidden/>
          </w:rPr>
          <w:fldChar w:fldCharType="begin"/>
        </w:r>
        <w:r w:rsidR="005D5021">
          <w:rPr>
            <w:noProof/>
            <w:webHidden/>
          </w:rPr>
          <w:instrText xml:space="preserve"> PAGEREF _Toc95317886 \h </w:instrText>
        </w:r>
        <w:r w:rsidR="005D5021">
          <w:rPr>
            <w:noProof/>
            <w:webHidden/>
          </w:rPr>
        </w:r>
        <w:r w:rsidR="005D5021">
          <w:rPr>
            <w:noProof/>
            <w:webHidden/>
          </w:rPr>
          <w:fldChar w:fldCharType="separate"/>
        </w:r>
        <w:r w:rsidR="00B5446A">
          <w:rPr>
            <w:noProof/>
            <w:webHidden/>
          </w:rPr>
          <w:t>10</w:t>
        </w:r>
        <w:r w:rsidR="005D5021">
          <w:rPr>
            <w:noProof/>
            <w:webHidden/>
          </w:rPr>
          <w:fldChar w:fldCharType="end"/>
        </w:r>
      </w:hyperlink>
    </w:p>
    <w:p w14:paraId="1B695997" w14:textId="33E01592" w:rsidR="005D5021" w:rsidRDefault="00F03370">
      <w:pPr>
        <w:pStyle w:val="TM2"/>
        <w:rPr>
          <w:rFonts w:asciiTheme="minorHAnsi" w:eastAsiaTheme="minorEastAsia" w:hAnsiTheme="minorHAnsi" w:cstheme="minorBidi"/>
          <w:noProof/>
        </w:rPr>
      </w:pPr>
      <w:hyperlink w:anchor="_Toc95317887" w:history="1">
        <w:r w:rsidR="005D5021" w:rsidRPr="003D7EC7">
          <w:rPr>
            <w:rStyle w:val="Lienhypertexte"/>
            <w:noProof/>
          </w:rPr>
          <w:t>4.3</w:t>
        </w:r>
        <w:r w:rsidR="005D5021">
          <w:rPr>
            <w:rFonts w:asciiTheme="minorHAnsi" w:eastAsiaTheme="minorEastAsia" w:hAnsiTheme="minorHAnsi" w:cstheme="minorBidi"/>
            <w:noProof/>
          </w:rPr>
          <w:tab/>
        </w:r>
        <w:r w:rsidR="005D5021" w:rsidRPr="003D7EC7">
          <w:rPr>
            <w:rStyle w:val="Lienhypertexte"/>
            <w:noProof/>
          </w:rPr>
          <w:t>Description des coûts éligibles et retenus dans le cas général</w:t>
        </w:r>
        <w:r w:rsidR="005D5021">
          <w:rPr>
            <w:noProof/>
            <w:webHidden/>
          </w:rPr>
          <w:tab/>
        </w:r>
        <w:r w:rsidR="005D5021">
          <w:rPr>
            <w:noProof/>
            <w:webHidden/>
          </w:rPr>
          <w:fldChar w:fldCharType="begin"/>
        </w:r>
        <w:r w:rsidR="005D5021">
          <w:rPr>
            <w:noProof/>
            <w:webHidden/>
          </w:rPr>
          <w:instrText xml:space="preserve"> PAGEREF _Toc95317887 \h </w:instrText>
        </w:r>
        <w:r w:rsidR="005D5021">
          <w:rPr>
            <w:noProof/>
            <w:webHidden/>
          </w:rPr>
        </w:r>
        <w:r w:rsidR="005D5021">
          <w:rPr>
            <w:noProof/>
            <w:webHidden/>
          </w:rPr>
          <w:fldChar w:fldCharType="separate"/>
        </w:r>
        <w:r w:rsidR="00B5446A">
          <w:rPr>
            <w:noProof/>
            <w:webHidden/>
          </w:rPr>
          <w:t>11</w:t>
        </w:r>
        <w:r w:rsidR="005D5021">
          <w:rPr>
            <w:noProof/>
            <w:webHidden/>
          </w:rPr>
          <w:fldChar w:fldCharType="end"/>
        </w:r>
      </w:hyperlink>
    </w:p>
    <w:p w14:paraId="339EC4D5" w14:textId="72F3A2C1" w:rsidR="005D5021" w:rsidRDefault="00F03370">
      <w:pPr>
        <w:pStyle w:val="TM2"/>
        <w:rPr>
          <w:rFonts w:asciiTheme="minorHAnsi" w:eastAsiaTheme="minorEastAsia" w:hAnsiTheme="minorHAnsi" w:cstheme="minorBidi"/>
          <w:noProof/>
        </w:rPr>
      </w:pPr>
      <w:hyperlink w:anchor="_Toc95317888" w:history="1">
        <w:r w:rsidR="005D5021" w:rsidRPr="003D7EC7">
          <w:rPr>
            <w:rStyle w:val="Lienhypertexte"/>
            <w:noProof/>
          </w:rPr>
          <w:t>4.4</w:t>
        </w:r>
        <w:r w:rsidR="005D5021">
          <w:rPr>
            <w:rFonts w:asciiTheme="minorHAnsi" w:eastAsiaTheme="minorEastAsia" w:hAnsiTheme="minorHAnsi" w:cstheme="minorBidi"/>
            <w:noProof/>
          </w:rPr>
          <w:tab/>
        </w:r>
        <w:r w:rsidR="005D5021" w:rsidRPr="003D7EC7">
          <w:rPr>
            <w:rStyle w:val="Lienhypertexte"/>
            <w:noProof/>
          </w:rPr>
          <w:t>Aides proposées</w:t>
        </w:r>
        <w:r w:rsidR="005D5021">
          <w:rPr>
            <w:noProof/>
            <w:webHidden/>
          </w:rPr>
          <w:tab/>
        </w:r>
        <w:r w:rsidR="005D5021">
          <w:rPr>
            <w:noProof/>
            <w:webHidden/>
          </w:rPr>
          <w:fldChar w:fldCharType="begin"/>
        </w:r>
        <w:r w:rsidR="005D5021">
          <w:rPr>
            <w:noProof/>
            <w:webHidden/>
          </w:rPr>
          <w:instrText xml:space="preserve"> PAGEREF _Toc95317888 \h </w:instrText>
        </w:r>
        <w:r w:rsidR="005D5021">
          <w:rPr>
            <w:noProof/>
            <w:webHidden/>
          </w:rPr>
        </w:r>
        <w:r w:rsidR="005D5021">
          <w:rPr>
            <w:noProof/>
            <w:webHidden/>
          </w:rPr>
          <w:fldChar w:fldCharType="separate"/>
        </w:r>
        <w:r w:rsidR="00B5446A">
          <w:rPr>
            <w:noProof/>
            <w:webHidden/>
          </w:rPr>
          <w:t>12</w:t>
        </w:r>
        <w:r w:rsidR="005D5021">
          <w:rPr>
            <w:noProof/>
            <w:webHidden/>
          </w:rPr>
          <w:fldChar w:fldCharType="end"/>
        </w:r>
      </w:hyperlink>
    </w:p>
    <w:p w14:paraId="6CF1E416" w14:textId="2DD8BEDA" w:rsidR="005D5021" w:rsidRDefault="00F03370">
      <w:pPr>
        <w:pStyle w:val="TM2"/>
        <w:rPr>
          <w:rFonts w:asciiTheme="minorHAnsi" w:eastAsiaTheme="minorEastAsia" w:hAnsiTheme="minorHAnsi" w:cstheme="minorBidi"/>
          <w:noProof/>
        </w:rPr>
      </w:pPr>
      <w:hyperlink w:anchor="_Toc95317889" w:history="1">
        <w:r w:rsidR="005D5021" w:rsidRPr="003D7EC7">
          <w:rPr>
            <w:rStyle w:val="Lienhypertexte"/>
            <w:noProof/>
          </w:rPr>
          <w:t>4.5</w:t>
        </w:r>
        <w:r w:rsidR="005D5021">
          <w:rPr>
            <w:rFonts w:asciiTheme="minorHAnsi" w:eastAsiaTheme="minorEastAsia" w:hAnsiTheme="minorHAnsi" w:cstheme="minorBidi"/>
            <w:noProof/>
          </w:rPr>
          <w:tab/>
        </w:r>
        <w:r w:rsidR="005D5021" w:rsidRPr="003D7EC7">
          <w:rPr>
            <w:rStyle w:val="Lienhypertexte"/>
            <w:noProof/>
          </w:rPr>
          <w:t>Modalités de remboursement des avances remboursables</w:t>
        </w:r>
        <w:r w:rsidR="005D5021">
          <w:rPr>
            <w:noProof/>
            <w:webHidden/>
          </w:rPr>
          <w:tab/>
        </w:r>
        <w:r w:rsidR="005D5021">
          <w:rPr>
            <w:noProof/>
            <w:webHidden/>
          </w:rPr>
          <w:fldChar w:fldCharType="begin"/>
        </w:r>
        <w:r w:rsidR="005D5021">
          <w:rPr>
            <w:noProof/>
            <w:webHidden/>
          </w:rPr>
          <w:instrText xml:space="preserve"> PAGEREF _Toc95317889 \h </w:instrText>
        </w:r>
        <w:r w:rsidR="005D5021">
          <w:rPr>
            <w:noProof/>
            <w:webHidden/>
          </w:rPr>
        </w:r>
        <w:r w:rsidR="005D5021">
          <w:rPr>
            <w:noProof/>
            <w:webHidden/>
          </w:rPr>
          <w:fldChar w:fldCharType="separate"/>
        </w:r>
        <w:r w:rsidR="00B5446A">
          <w:rPr>
            <w:noProof/>
            <w:webHidden/>
          </w:rPr>
          <w:t>14</w:t>
        </w:r>
        <w:r w:rsidR="005D5021">
          <w:rPr>
            <w:noProof/>
            <w:webHidden/>
          </w:rPr>
          <w:fldChar w:fldCharType="end"/>
        </w:r>
      </w:hyperlink>
    </w:p>
    <w:p w14:paraId="16C80F7D" w14:textId="7CF1C1AD" w:rsidR="005D5021" w:rsidRDefault="00F03370">
      <w:pPr>
        <w:pStyle w:val="TM1"/>
        <w:rPr>
          <w:rFonts w:asciiTheme="minorHAnsi" w:eastAsiaTheme="minorEastAsia" w:hAnsiTheme="minorHAnsi" w:cstheme="minorBidi"/>
          <w:b w:val="0"/>
          <w:noProof/>
        </w:rPr>
      </w:pPr>
      <w:hyperlink w:anchor="_Toc95317890" w:history="1">
        <w:r w:rsidR="005D5021" w:rsidRPr="003D7EC7">
          <w:rPr>
            <w:rStyle w:val="Lienhypertexte"/>
            <w:noProof/>
          </w:rPr>
          <w:t>5</w:t>
        </w:r>
        <w:r w:rsidR="005D5021">
          <w:rPr>
            <w:rFonts w:asciiTheme="minorHAnsi" w:eastAsiaTheme="minorEastAsia" w:hAnsiTheme="minorHAnsi" w:cstheme="minorBidi"/>
            <w:b w:val="0"/>
            <w:noProof/>
          </w:rPr>
          <w:tab/>
        </w:r>
        <w:r w:rsidR="005D5021" w:rsidRPr="003D7EC7">
          <w:rPr>
            <w:rStyle w:val="Lienhypertexte"/>
            <w:noProof/>
          </w:rPr>
          <w:t>Liste des documents constitutifs d’un dossier</w:t>
        </w:r>
        <w:r w:rsidR="005D5021">
          <w:rPr>
            <w:noProof/>
            <w:webHidden/>
          </w:rPr>
          <w:tab/>
        </w:r>
        <w:r w:rsidR="005D5021">
          <w:rPr>
            <w:noProof/>
            <w:webHidden/>
          </w:rPr>
          <w:fldChar w:fldCharType="begin"/>
        </w:r>
        <w:r w:rsidR="005D5021">
          <w:rPr>
            <w:noProof/>
            <w:webHidden/>
          </w:rPr>
          <w:instrText xml:space="preserve"> PAGEREF _Toc95317890 \h </w:instrText>
        </w:r>
        <w:r w:rsidR="005D5021">
          <w:rPr>
            <w:noProof/>
            <w:webHidden/>
          </w:rPr>
        </w:r>
        <w:r w:rsidR="005D5021">
          <w:rPr>
            <w:noProof/>
            <w:webHidden/>
          </w:rPr>
          <w:fldChar w:fldCharType="separate"/>
        </w:r>
        <w:r w:rsidR="00B5446A">
          <w:rPr>
            <w:noProof/>
            <w:webHidden/>
          </w:rPr>
          <w:t>15</w:t>
        </w:r>
        <w:r w:rsidR="005D5021">
          <w:rPr>
            <w:noProof/>
            <w:webHidden/>
          </w:rPr>
          <w:fldChar w:fldCharType="end"/>
        </w:r>
      </w:hyperlink>
    </w:p>
    <w:p w14:paraId="1406ECAE" w14:textId="5557D354" w:rsidR="005D5021" w:rsidRDefault="00F03370">
      <w:pPr>
        <w:pStyle w:val="TM2"/>
        <w:rPr>
          <w:rFonts w:asciiTheme="minorHAnsi" w:eastAsiaTheme="minorEastAsia" w:hAnsiTheme="minorHAnsi" w:cstheme="minorBidi"/>
          <w:noProof/>
        </w:rPr>
      </w:pPr>
      <w:hyperlink w:anchor="_Toc95317891" w:history="1">
        <w:r w:rsidR="005D5021" w:rsidRPr="003D7EC7">
          <w:rPr>
            <w:rStyle w:val="Lienhypertexte"/>
            <w:noProof/>
          </w:rPr>
          <w:t>5.1</w:t>
        </w:r>
        <w:r w:rsidR="005D5021">
          <w:rPr>
            <w:rFonts w:asciiTheme="minorHAnsi" w:eastAsiaTheme="minorEastAsia" w:hAnsiTheme="minorHAnsi" w:cstheme="minorBidi"/>
            <w:noProof/>
          </w:rPr>
          <w:tab/>
        </w:r>
        <w:r w:rsidR="005D5021" w:rsidRPr="003D7EC7">
          <w:rPr>
            <w:rStyle w:val="Lienhypertexte"/>
            <w:noProof/>
          </w:rPr>
          <w:t>Dossier de candidature</w:t>
        </w:r>
        <w:r w:rsidR="005D5021">
          <w:rPr>
            <w:noProof/>
            <w:webHidden/>
          </w:rPr>
          <w:tab/>
        </w:r>
        <w:r w:rsidR="005D5021">
          <w:rPr>
            <w:noProof/>
            <w:webHidden/>
          </w:rPr>
          <w:fldChar w:fldCharType="begin"/>
        </w:r>
        <w:r w:rsidR="005D5021">
          <w:rPr>
            <w:noProof/>
            <w:webHidden/>
          </w:rPr>
          <w:instrText xml:space="preserve"> PAGEREF _Toc95317891 \h </w:instrText>
        </w:r>
        <w:r w:rsidR="005D5021">
          <w:rPr>
            <w:noProof/>
            <w:webHidden/>
          </w:rPr>
        </w:r>
        <w:r w:rsidR="005D5021">
          <w:rPr>
            <w:noProof/>
            <w:webHidden/>
          </w:rPr>
          <w:fldChar w:fldCharType="separate"/>
        </w:r>
        <w:r w:rsidR="00B5446A">
          <w:rPr>
            <w:noProof/>
            <w:webHidden/>
          </w:rPr>
          <w:t>15</w:t>
        </w:r>
        <w:r w:rsidR="005D5021">
          <w:rPr>
            <w:noProof/>
            <w:webHidden/>
          </w:rPr>
          <w:fldChar w:fldCharType="end"/>
        </w:r>
      </w:hyperlink>
    </w:p>
    <w:p w14:paraId="68B28083" w14:textId="01435DC2" w:rsidR="005D5021" w:rsidRDefault="00F03370">
      <w:pPr>
        <w:pStyle w:val="TM2"/>
        <w:rPr>
          <w:rFonts w:asciiTheme="minorHAnsi" w:eastAsiaTheme="minorEastAsia" w:hAnsiTheme="minorHAnsi" w:cstheme="minorBidi"/>
          <w:noProof/>
        </w:rPr>
      </w:pPr>
      <w:hyperlink w:anchor="_Toc95317892" w:history="1">
        <w:r w:rsidR="005D5021" w:rsidRPr="003D7EC7">
          <w:rPr>
            <w:rStyle w:val="Lienhypertexte"/>
            <w:noProof/>
          </w:rPr>
          <w:t>5.2</w:t>
        </w:r>
        <w:r w:rsidR="005D5021">
          <w:rPr>
            <w:rFonts w:asciiTheme="minorHAnsi" w:eastAsiaTheme="minorEastAsia" w:hAnsiTheme="minorHAnsi" w:cstheme="minorBidi"/>
            <w:noProof/>
          </w:rPr>
          <w:tab/>
        </w:r>
        <w:r w:rsidR="005D5021" w:rsidRPr="003D7EC7">
          <w:rPr>
            <w:rStyle w:val="Lienhypertexte"/>
            <w:noProof/>
          </w:rPr>
          <w:t>Critères de performance environnementale</w:t>
        </w:r>
        <w:r w:rsidR="005D5021">
          <w:rPr>
            <w:noProof/>
            <w:webHidden/>
          </w:rPr>
          <w:tab/>
        </w:r>
        <w:r w:rsidR="005D5021">
          <w:rPr>
            <w:noProof/>
            <w:webHidden/>
          </w:rPr>
          <w:fldChar w:fldCharType="begin"/>
        </w:r>
        <w:r w:rsidR="005D5021">
          <w:rPr>
            <w:noProof/>
            <w:webHidden/>
          </w:rPr>
          <w:instrText xml:space="preserve"> PAGEREF _Toc95317892 \h </w:instrText>
        </w:r>
        <w:r w:rsidR="005D5021">
          <w:rPr>
            <w:noProof/>
            <w:webHidden/>
          </w:rPr>
        </w:r>
        <w:r w:rsidR="005D5021">
          <w:rPr>
            <w:noProof/>
            <w:webHidden/>
          </w:rPr>
          <w:fldChar w:fldCharType="separate"/>
        </w:r>
        <w:r w:rsidR="00B5446A">
          <w:rPr>
            <w:noProof/>
            <w:webHidden/>
          </w:rPr>
          <w:t>15</w:t>
        </w:r>
        <w:r w:rsidR="005D5021">
          <w:rPr>
            <w:noProof/>
            <w:webHidden/>
          </w:rPr>
          <w:fldChar w:fldCharType="end"/>
        </w:r>
      </w:hyperlink>
    </w:p>
    <w:p w14:paraId="7F6B2B9A" w14:textId="32BE419F" w:rsidR="00EB0D03" w:rsidRDefault="004D2E04">
      <w:pPr>
        <w:spacing w:after="120"/>
      </w:pPr>
      <w:r>
        <w:fldChar w:fldCharType="end"/>
      </w:r>
    </w:p>
    <w:p w14:paraId="4D74B851" w14:textId="77777777" w:rsidR="00EB0D03" w:rsidRDefault="00EB0D03">
      <w:pPr>
        <w:tabs>
          <w:tab w:val="left" w:pos="3152"/>
          <w:tab w:val="left" w:pos="5220"/>
        </w:tabs>
        <w:spacing w:after="120"/>
      </w:pPr>
    </w:p>
    <w:p w14:paraId="11CFE18E" w14:textId="77777777" w:rsidR="00EB0D03" w:rsidRDefault="00EB0D03">
      <w:pPr>
        <w:tabs>
          <w:tab w:val="left" w:pos="5220"/>
        </w:tabs>
        <w:spacing w:after="120"/>
      </w:pPr>
    </w:p>
    <w:p w14:paraId="6F0CCE2A" w14:textId="77777777" w:rsidR="00EB0D03" w:rsidRDefault="00EB0D03">
      <w:pPr>
        <w:tabs>
          <w:tab w:val="left" w:pos="5220"/>
        </w:tabs>
        <w:spacing w:after="120"/>
      </w:pPr>
    </w:p>
    <w:p w14:paraId="594E0955" w14:textId="77777777" w:rsidR="00EB0D03" w:rsidRDefault="00EB0D03">
      <w:pPr>
        <w:tabs>
          <w:tab w:val="left" w:pos="5220"/>
        </w:tabs>
        <w:spacing w:after="120"/>
      </w:pPr>
    </w:p>
    <w:p w14:paraId="21C8E742" w14:textId="77777777" w:rsidR="00EB0D03" w:rsidRDefault="00EB0D03">
      <w:pPr>
        <w:tabs>
          <w:tab w:val="left" w:pos="5220"/>
        </w:tabs>
        <w:spacing w:after="120"/>
      </w:pPr>
    </w:p>
    <w:p w14:paraId="335C9F9A" w14:textId="77777777" w:rsidR="00EB0D03" w:rsidRDefault="00EB0D03">
      <w:pPr>
        <w:tabs>
          <w:tab w:val="left" w:pos="5220"/>
        </w:tabs>
        <w:spacing w:after="120"/>
      </w:pPr>
    </w:p>
    <w:p w14:paraId="03639B82" w14:textId="77777777" w:rsidR="00EB0D03" w:rsidRDefault="00EB0D03">
      <w:pPr>
        <w:tabs>
          <w:tab w:val="left" w:pos="5220"/>
        </w:tabs>
        <w:spacing w:after="120"/>
      </w:pPr>
    </w:p>
    <w:p w14:paraId="1F51856C" w14:textId="77777777" w:rsidR="00EB0D03" w:rsidRDefault="00EB0D03">
      <w:pPr>
        <w:tabs>
          <w:tab w:val="left" w:pos="5220"/>
        </w:tabs>
        <w:spacing w:after="120"/>
      </w:pPr>
    </w:p>
    <w:p w14:paraId="157846BF" w14:textId="77777777" w:rsidR="00EB0D03" w:rsidRDefault="00EB0D03">
      <w:pPr>
        <w:tabs>
          <w:tab w:val="left" w:pos="5220"/>
        </w:tabs>
        <w:spacing w:after="120"/>
      </w:pPr>
    </w:p>
    <w:p w14:paraId="423EBDF1" w14:textId="77777777" w:rsidR="00EB0D03" w:rsidRDefault="00EB0D03">
      <w:pPr>
        <w:tabs>
          <w:tab w:val="left" w:pos="5220"/>
        </w:tabs>
        <w:spacing w:after="120"/>
      </w:pPr>
    </w:p>
    <w:p w14:paraId="7C0994FF" w14:textId="77777777" w:rsidR="00EB0D03" w:rsidRDefault="00EB0D03">
      <w:pPr>
        <w:tabs>
          <w:tab w:val="left" w:pos="5220"/>
        </w:tabs>
        <w:spacing w:after="120"/>
      </w:pPr>
    </w:p>
    <w:p w14:paraId="16A601A9" w14:textId="77777777" w:rsidR="00EB0D03" w:rsidRDefault="00EB0D03">
      <w:pPr>
        <w:tabs>
          <w:tab w:val="left" w:pos="5220"/>
        </w:tabs>
        <w:spacing w:after="120"/>
      </w:pPr>
    </w:p>
    <w:p w14:paraId="799A7028" w14:textId="77777777" w:rsidR="00BF1E37" w:rsidRDefault="00BF1E37">
      <w:r>
        <w:br w:type="page"/>
      </w:r>
    </w:p>
    <w:p w14:paraId="34CD9E7A" w14:textId="77777777" w:rsidR="00EB0D03" w:rsidRDefault="00EB0D03">
      <w:pPr>
        <w:tabs>
          <w:tab w:val="left" w:pos="5220"/>
        </w:tabs>
        <w:spacing w:after="120"/>
      </w:pPr>
    </w:p>
    <w:p w14:paraId="4F45702F" w14:textId="77777777" w:rsidR="00EB0D03" w:rsidRDefault="00EB0D03">
      <w:pPr>
        <w:tabs>
          <w:tab w:val="left" w:pos="5220"/>
        </w:tabs>
        <w:spacing w:after="120"/>
      </w:pPr>
    </w:p>
    <w:p w14:paraId="35ED87F4" w14:textId="77777777" w:rsidR="00EB0D03" w:rsidRDefault="00EB0D03">
      <w:pPr>
        <w:tabs>
          <w:tab w:val="left" w:pos="5220"/>
        </w:tabs>
        <w:spacing w:after="120"/>
      </w:pPr>
    </w:p>
    <w:p w14:paraId="595FA16A" w14:textId="77777777" w:rsidR="00EB0D03" w:rsidRDefault="004D2E04">
      <w:pPr>
        <w:pStyle w:val="Titre1"/>
        <w:spacing w:before="0" w:after="120" w:line="240" w:lineRule="auto"/>
      </w:pPr>
      <w:bookmarkStart w:id="2" w:name="_3znysh7"/>
      <w:bookmarkStart w:id="3" w:name="_Toc95317877"/>
      <w:bookmarkEnd w:id="2"/>
      <w:r>
        <w:t>Cadre général de l’AAP</w:t>
      </w:r>
      <w:bookmarkEnd w:id="3"/>
    </w:p>
    <w:p w14:paraId="44C05033" w14:textId="77777777" w:rsidR="00EB0D03" w:rsidRDefault="00EB0D03"/>
    <w:p w14:paraId="20D19590" w14:textId="77777777" w:rsidR="00EB0D03" w:rsidRPr="00FF461F" w:rsidRDefault="004D2E04">
      <w:pPr>
        <w:pStyle w:val="Titre2"/>
        <w:keepLines/>
        <w:spacing w:before="280" w:line="240" w:lineRule="auto"/>
        <w:ind w:left="0" w:firstLine="0"/>
        <w:jc w:val="left"/>
      </w:pPr>
      <w:bookmarkStart w:id="4" w:name="_2et92p0"/>
      <w:bookmarkStart w:id="5" w:name="_Toc95317878"/>
      <w:bookmarkEnd w:id="4"/>
      <w:r w:rsidRPr="00A914B2">
        <w:rPr>
          <w:caps/>
        </w:rPr>
        <w:t>C</w:t>
      </w:r>
      <w:r w:rsidRPr="00FF461F">
        <w:t>ontexte et objectifs de l’AAP</w:t>
      </w:r>
      <w:bookmarkEnd w:id="5"/>
    </w:p>
    <w:p w14:paraId="437CD990" w14:textId="77777777" w:rsidR="00FB78C1" w:rsidRDefault="00FB78C1" w:rsidP="002F304D">
      <w:pPr>
        <w:spacing w:after="120"/>
      </w:pPr>
      <w:r>
        <w:t xml:space="preserve">Cet appel à projet s’inscrit dans le cadre du plan d’investissement France 2030, doté de plus de 50 milliards d’euros sur la période 2022-2027, dont 34 milliards d’euros de nouveaux crédits, qui seront investis pour que nos entreprises, nos universités, nos organismes de recherche réussissent pleinement leurs transitions dans ces filières stratégiques. </w:t>
      </w:r>
    </w:p>
    <w:p w14:paraId="2D9686E7" w14:textId="2113D4C2" w:rsidR="00EB0D03" w:rsidRDefault="00F56F4B" w:rsidP="0069617F">
      <w:pPr>
        <w:spacing w:after="120"/>
      </w:pPr>
      <w:r>
        <w:t>L’</w:t>
      </w:r>
      <w:r w:rsidR="00E456A0">
        <w:t>AAP</w:t>
      </w:r>
      <w:r w:rsidRPr="00F56F4B">
        <w:t xml:space="preserve"> « Briques technologiques et démonstrateurs </w:t>
      </w:r>
      <w:proofErr w:type="spellStart"/>
      <w:r w:rsidRPr="00F56F4B">
        <w:t>pré-industriels</w:t>
      </w:r>
      <w:proofErr w:type="spellEnd"/>
      <w:r w:rsidR="00F77546">
        <w:t xml:space="preserve"> </w:t>
      </w:r>
      <w:r w:rsidRPr="00F56F4B">
        <w:t>»</w:t>
      </w:r>
      <w:r>
        <w:t xml:space="preserve"> </w:t>
      </w:r>
      <w:r w:rsidR="004D2E04">
        <w:t xml:space="preserve">s’inscrit dans le cadre </w:t>
      </w:r>
      <w:r w:rsidR="00F57A28">
        <w:t xml:space="preserve">de </w:t>
      </w:r>
      <w:r>
        <w:t xml:space="preserve">la </w:t>
      </w:r>
      <w:r w:rsidRPr="002066E0">
        <w:rPr>
          <w:b/>
        </w:rPr>
        <w:t>stratégie d’accélération « Technologies Avancées des Systèmes Energétiques »</w:t>
      </w:r>
      <w:r w:rsidR="00215BD7">
        <w:t>,</w:t>
      </w:r>
      <w:r w:rsidR="00F77546">
        <w:t xml:space="preserve"> </w:t>
      </w:r>
      <w:r w:rsidR="004D2E04">
        <w:t xml:space="preserve">dont un des objectifs est de soutenir </w:t>
      </w:r>
      <w:r w:rsidR="004D5CA1">
        <w:t>l’innovation en promouvant le développement de briques technologiques et les actions de démonstration</w:t>
      </w:r>
      <w:r w:rsidR="004D2E04">
        <w:t>.</w:t>
      </w:r>
    </w:p>
    <w:p w14:paraId="02C21EDE" w14:textId="77777777" w:rsidR="00A36307" w:rsidRDefault="00A36307" w:rsidP="00A36307">
      <w:pPr>
        <w:spacing w:after="0"/>
      </w:pPr>
      <w:r>
        <w:t>Il s’inscrit dans un contexte de forte augmentation des capacités de production des énergies renouvelables à l’échelle mondiale et européenne. Au sein de l’Union Européenne, leur part du mix énergétique global, qui est de l’ordre de 20% en 2020, pourrait atteindre 32% en 2030.</w:t>
      </w:r>
    </w:p>
    <w:p w14:paraId="6C26E10B" w14:textId="5B6D045C" w:rsidR="00A36307" w:rsidRDefault="00A36307" w:rsidP="00A36307">
      <w:pPr>
        <w:spacing w:after="0"/>
      </w:pPr>
      <w:r>
        <w:t xml:space="preserve">Au niveau national, l’objectif à l’horizon 2028, prévu dans le cadre de la programmation pluriannuelle de l’énergie (PPE), vise un doublement des capacités </w:t>
      </w:r>
      <w:r w:rsidR="00FF461F">
        <w:t xml:space="preserve">de production des énergies renouvelables </w:t>
      </w:r>
      <w:r>
        <w:t>électriques installées par rapport à 2017 (110 GW).</w:t>
      </w:r>
    </w:p>
    <w:p w14:paraId="2A945E42" w14:textId="3483F9A1" w:rsidR="00A36307" w:rsidRDefault="00A36307" w:rsidP="00AB2B44">
      <w:pPr>
        <w:spacing w:after="120"/>
      </w:pPr>
      <w:r>
        <w:t xml:space="preserve">Les réseaux énergétiques sont aujourd’hui confrontés </w:t>
      </w:r>
      <w:r w:rsidR="007C248A">
        <w:t>au</w:t>
      </w:r>
      <w:r>
        <w:t xml:space="preserve"> développement des nouveaux moyens de production d’énergie renouvelable, décentralisés et fluctuants, ainsi qu’à une évolution des usages (accroissement des consommations électriques liées aux nouveaux usages, insertion des véhicules électriques). Face à ces tendances </w:t>
      </w:r>
      <w:r w:rsidR="00917BCE">
        <w:t>de fond</w:t>
      </w:r>
      <w:r>
        <w:t>, les réseaux bénéficient des avancées récentes et continues des technologies de communication qui permettent aux systèmes énergétiques d’associer de façon complémentaire les énergies disponibles et les usages.</w:t>
      </w:r>
    </w:p>
    <w:p w14:paraId="18F0CCBE" w14:textId="77777777" w:rsidR="00EB0D03" w:rsidRDefault="00A36307" w:rsidP="00AB2B44">
      <w:pPr>
        <w:spacing w:after="0"/>
      </w:pPr>
      <w:r>
        <w:t>Fort de ces constats, il apparaît qu’un positionnement renforcé sur les marchés des nouvelles</w:t>
      </w:r>
      <w:r w:rsidR="007B46F8">
        <w:t xml:space="preserve"> t</w:t>
      </w:r>
      <w:r>
        <w:t>echnologies</w:t>
      </w:r>
      <w:r w:rsidR="007B46F8">
        <w:t xml:space="preserve"> </w:t>
      </w:r>
      <w:r>
        <w:t>de l’énergie les plus prometteuses devient un enjeu fondamental de souveraineté pour la France et plus largement l’Europe et doit permettre une indépendance énergétique accrue. Plus encore, l’excellence technologique de la France dans ces domaines lui confère un avantage certain pour développer une industrie de l’énergie innovante, pérenne et compétitive au niveau international, en mesure de répondre aux ambitions de la transition énergétique.</w:t>
      </w:r>
    </w:p>
    <w:p w14:paraId="68EB426E" w14:textId="77777777" w:rsidR="00EB0D03" w:rsidRDefault="00EB0D03">
      <w:pPr>
        <w:spacing w:after="120"/>
      </w:pPr>
    </w:p>
    <w:p w14:paraId="246052A6" w14:textId="3D4FAB54" w:rsidR="00EB0D03" w:rsidRDefault="004D2E04">
      <w:pPr>
        <w:rPr>
          <w:b/>
          <w:color w:val="000000"/>
        </w:rPr>
      </w:pPr>
      <w:r>
        <w:rPr>
          <w:b/>
          <w:color w:val="000000"/>
        </w:rPr>
        <w:t xml:space="preserve">Enjeux de l’AAP pour le développement </w:t>
      </w:r>
      <w:r w:rsidR="005A16F0">
        <w:rPr>
          <w:b/>
          <w:color w:val="000000"/>
        </w:rPr>
        <w:t>des systèmes énergétiques</w:t>
      </w:r>
    </w:p>
    <w:p w14:paraId="1E4F783C" w14:textId="77777777" w:rsidR="00EB0D03" w:rsidRDefault="00EB0D03"/>
    <w:p w14:paraId="69C445AD" w14:textId="77777777" w:rsidR="00AB2B44" w:rsidRDefault="005A16F0" w:rsidP="00AB2B44">
      <w:pPr>
        <w:spacing w:after="120"/>
      </w:pPr>
      <w:r>
        <w:t>Cet AAP cible en particulier trois secteurs qui démontre</w:t>
      </w:r>
      <w:r w:rsidR="00CA3976">
        <w:t>nt</w:t>
      </w:r>
      <w:r w:rsidR="00AB2B44">
        <w:t xml:space="preserve"> un fort potentiel de transformation de notre économie et de notre société et une capacité à devenir des relais robustes de croissance économique pour notre pays</w:t>
      </w:r>
      <w:r>
        <w:t> :</w:t>
      </w:r>
    </w:p>
    <w:p w14:paraId="29B1DA50" w14:textId="50C5ED26" w:rsidR="00AB2B44" w:rsidRDefault="00AB2B44" w:rsidP="007B46F8">
      <w:pPr>
        <w:spacing w:after="120"/>
      </w:pPr>
      <w:r>
        <w:t xml:space="preserve">- </w:t>
      </w:r>
      <w:r w:rsidRPr="00CA3976">
        <w:rPr>
          <w:b/>
        </w:rPr>
        <w:t>Le photovoltaïque</w:t>
      </w:r>
      <w:r>
        <w:t xml:space="preserve"> </w:t>
      </w:r>
      <w:r w:rsidR="00530DC5">
        <w:t xml:space="preserve">(PV) </w:t>
      </w:r>
      <w:r>
        <w:t>dont les prévisions de croissance sont très élevées pour la prochaine</w:t>
      </w:r>
      <w:r w:rsidR="007B46F8">
        <w:t xml:space="preserve"> </w:t>
      </w:r>
      <w:r>
        <w:t>décennie ;</w:t>
      </w:r>
    </w:p>
    <w:p w14:paraId="2710E816" w14:textId="77777777" w:rsidR="00AB2B44" w:rsidRPr="00CA3976" w:rsidRDefault="00AB2B44" w:rsidP="007B46F8">
      <w:pPr>
        <w:spacing w:after="120"/>
        <w:rPr>
          <w:b/>
        </w:rPr>
      </w:pPr>
      <w:r>
        <w:t xml:space="preserve">- </w:t>
      </w:r>
      <w:r w:rsidRPr="00CA3976">
        <w:rPr>
          <w:b/>
        </w:rPr>
        <w:t>L’éolien flottant</w:t>
      </w:r>
      <w:r>
        <w:t xml:space="preserve"> qui est un marché émergent prometteur, pour lequel la France possède un</w:t>
      </w:r>
      <w:r w:rsidR="007B46F8">
        <w:t xml:space="preserve"> </w:t>
      </w:r>
      <w:r>
        <w:t xml:space="preserve">savoir-faire </w:t>
      </w:r>
      <w:r w:rsidRPr="00CA3976">
        <w:t>technologique fort et un potentiel de développement significatif</w:t>
      </w:r>
      <w:r w:rsidR="007B46F8" w:rsidRPr="007B46F8">
        <w:t> ;</w:t>
      </w:r>
    </w:p>
    <w:p w14:paraId="4EA4503C" w14:textId="77777777" w:rsidR="00EB0D03" w:rsidRDefault="00AB2B44" w:rsidP="006E14EE">
      <w:pPr>
        <w:spacing w:after="0"/>
      </w:pPr>
      <w:r w:rsidRPr="00CA3976">
        <w:t xml:space="preserve">- </w:t>
      </w:r>
      <w:r w:rsidRPr="00CA3976">
        <w:rPr>
          <w:b/>
        </w:rPr>
        <w:t>Les réseaux énergétiques</w:t>
      </w:r>
      <w:r>
        <w:t>, qui vont connaître des transformations importantes et pour lesquels la France possède un savoir-faire technologique reconnu mondialement.</w:t>
      </w:r>
    </w:p>
    <w:p w14:paraId="10A6E923" w14:textId="77777777" w:rsidR="00AB2B44" w:rsidRDefault="00AB2B44" w:rsidP="00AB2B44">
      <w:pPr>
        <w:spacing w:after="120"/>
      </w:pPr>
    </w:p>
    <w:p w14:paraId="6E4AA74C" w14:textId="77777777" w:rsidR="00CA3976" w:rsidRDefault="004D2E04">
      <w:r>
        <w:t xml:space="preserve">Cet AAP a pour objet de faire émerger </w:t>
      </w:r>
      <w:r w:rsidR="005447C2">
        <w:t>une offre française</w:t>
      </w:r>
      <w:r>
        <w:t> </w:t>
      </w:r>
      <w:r w:rsidR="005447C2">
        <w:t>innovante sur les marchés nationaux et mondiaux,</w:t>
      </w:r>
      <w:r w:rsidR="00CA3976">
        <w:t xml:space="preserve"> permettant </w:t>
      </w:r>
      <w:r w:rsidR="005447C2">
        <w:t>de</w:t>
      </w:r>
      <w:r w:rsidR="00CA3976">
        <w:t>:</w:t>
      </w:r>
    </w:p>
    <w:p w14:paraId="410108AB" w14:textId="77777777" w:rsidR="00EB0D03" w:rsidRDefault="00CA3976" w:rsidP="0036243F">
      <w:pPr>
        <w:pStyle w:val="Paragraphedeliste"/>
        <w:numPr>
          <w:ilvl w:val="0"/>
          <w:numId w:val="10"/>
        </w:numPr>
      </w:pPr>
      <w:r>
        <w:lastRenderedPageBreak/>
        <w:t>réduire l’empreinte environnementale et le co</w:t>
      </w:r>
      <w:r w:rsidR="005447C2">
        <w:t>ût</w:t>
      </w:r>
      <w:r>
        <w:t xml:space="preserve"> des technologies de production d’énergies renouvelables (éolien flot</w:t>
      </w:r>
      <w:r w:rsidR="005447C2">
        <w:t>t</w:t>
      </w:r>
      <w:r>
        <w:t>ant et PV) ;</w:t>
      </w:r>
    </w:p>
    <w:p w14:paraId="5FB65DEA" w14:textId="77777777" w:rsidR="00CA3976" w:rsidRDefault="00CA3976" w:rsidP="0036243F">
      <w:pPr>
        <w:pStyle w:val="Paragraphedeliste"/>
        <w:numPr>
          <w:ilvl w:val="0"/>
          <w:numId w:val="10"/>
        </w:numPr>
      </w:pPr>
      <w:r>
        <w:t>favoriser l’insertion massi</w:t>
      </w:r>
      <w:r w:rsidR="005447C2">
        <w:t>ve des syst</w:t>
      </w:r>
      <w:r w:rsidR="00A14DFE">
        <w:t>èmes de production</w:t>
      </w:r>
      <w:r w:rsidR="005447C2">
        <w:t xml:space="preserve"> d’énergies renouvelables au sein des réseaux énergétiques.</w:t>
      </w:r>
    </w:p>
    <w:p w14:paraId="44EE6A88" w14:textId="4275E255" w:rsidR="00EB0D03" w:rsidRDefault="00EB0D03">
      <w:pPr>
        <w:spacing w:after="120"/>
      </w:pPr>
    </w:p>
    <w:p w14:paraId="3F789DD6" w14:textId="77777777" w:rsidR="00085014" w:rsidRDefault="00085014">
      <w:pPr>
        <w:spacing w:after="120"/>
      </w:pPr>
    </w:p>
    <w:p w14:paraId="0979B47B" w14:textId="77777777" w:rsidR="00EB0D03" w:rsidRPr="00FF461F" w:rsidRDefault="004D2E04">
      <w:pPr>
        <w:pStyle w:val="Titre2"/>
        <w:keepLines/>
        <w:spacing w:before="280" w:line="240" w:lineRule="auto"/>
        <w:ind w:left="0" w:firstLine="0"/>
        <w:jc w:val="left"/>
        <w:rPr>
          <w:color w:val="000000"/>
        </w:rPr>
      </w:pPr>
      <w:bookmarkStart w:id="6" w:name="_Toc95317879"/>
      <w:r w:rsidRPr="00A914B2">
        <w:rPr>
          <w:caps/>
        </w:rPr>
        <w:t>P</w:t>
      </w:r>
      <w:r w:rsidRPr="00FF461F">
        <w:t>riorités thématiques et typologie des projets attendus</w:t>
      </w:r>
      <w:bookmarkEnd w:id="6"/>
    </w:p>
    <w:p w14:paraId="1D0D9AB1" w14:textId="77777777" w:rsidR="00300028" w:rsidRDefault="004D2E04" w:rsidP="00D57DCF">
      <w:pPr>
        <w:spacing w:after="120"/>
      </w:pPr>
      <w:r>
        <w:t xml:space="preserve">Les projets </w:t>
      </w:r>
      <w:r w:rsidR="00300028">
        <w:t xml:space="preserve">devront s’inscrire dans une des 3 thématiques prioritaires : </w:t>
      </w:r>
      <w:r w:rsidR="00300028" w:rsidRPr="00300028">
        <w:rPr>
          <w:b/>
        </w:rPr>
        <w:t>le photovoltaïque, l’éolien flottant, les réseaux énergétiques</w:t>
      </w:r>
      <w:r w:rsidR="00300028">
        <w:t xml:space="preserve">. </w:t>
      </w:r>
    </w:p>
    <w:p w14:paraId="4D752C55" w14:textId="77777777" w:rsidR="00EB5FEA" w:rsidRDefault="00EB5FEA" w:rsidP="00EB5FEA">
      <w:pPr>
        <w:spacing w:after="120"/>
      </w:pPr>
      <w:r>
        <w:t>Cet AAP vise à identifier des solutions dont le niveau de maturité doit permettre leur commercialisation ou leur industrialisation à l’issue du projet.</w:t>
      </w:r>
    </w:p>
    <w:p w14:paraId="7FB9B9F5" w14:textId="77777777" w:rsidR="00EB0D03" w:rsidRDefault="00300028">
      <w:r>
        <w:tab/>
      </w:r>
      <w:r w:rsidR="004D2E04">
        <w:t xml:space="preserve"> </w:t>
      </w:r>
    </w:p>
    <w:p w14:paraId="131FD847" w14:textId="77777777" w:rsidR="00D57DCF" w:rsidRDefault="007B46F8" w:rsidP="00300028">
      <w:pPr>
        <w:rPr>
          <w:b/>
        </w:rPr>
      </w:pPr>
      <w:r>
        <w:rPr>
          <w:b/>
        </w:rPr>
        <w:t>D</w:t>
      </w:r>
      <w:r w:rsidR="00D57DCF">
        <w:rPr>
          <w:b/>
        </w:rPr>
        <w:t>éveloppement de briques technologiques innovantes et de démonstrateurs</w:t>
      </w:r>
    </w:p>
    <w:p w14:paraId="47B8E167" w14:textId="77777777" w:rsidR="006C1B3C" w:rsidRPr="006C1B3C" w:rsidRDefault="006C1B3C" w:rsidP="00300028">
      <w:pPr>
        <w:rPr>
          <w:b/>
        </w:rPr>
      </w:pPr>
    </w:p>
    <w:p w14:paraId="1AABFC72" w14:textId="77777777" w:rsidR="00D57DCF" w:rsidRDefault="00D57DCF" w:rsidP="007B46F8">
      <w:r>
        <w:t>Le soutien au développement de briques technologiques innovantes et aux systèmes de</w:t>
      </w:r>
      <w:r w:rsidR="007B46F8">
        <w:t xml:space="preserve"> </w:t>
      </w:r>
      <w:r>
        <w:t>démonstration est un maillon essentiel permettant de tester et d’évalu</w:t>
      </w:r>
      <w:r w:rsidR="00A01129">
        <w:t xml:space="preserve">er les performances techniques, </w:t>
      </w:r>
      <w:r>
        <w:t>économiques et environnementales des solutions développées dans de</w:t>
      </w:r>
      <w:r w:rsidR="00A01129">
        <w:t xml:space="preserve">s conditions représentatives de </w:t>
      </w:r>
      <w:r>
        <w:t>l’exploitation commerciale.</w:t>
      </w:r>
    </w:p>
    <w:p w14:paraId="53005497" w14:textId="77777777" w:rsidR="00D57DCF" w:rsidRDefault="00D57DCF" w:rsidP="00587EF9">
      <w:r>
        <w:t xml:space="preserve">Cet axe cible des projets de R&amp;D et de démonstration </w:t>
      </w:r>
      <w:r w:rsidR="00587EF9">
        <w:t xml:space="preserve">préindustrielle </w:t>
      </w:r>
      <w:r>
        <w:t>d’excellence visant à démontrer :</w:t>
      </w:r>
    </w:p>
    <w:p w14:paraId="4EBA0104" w14:textId="77777777" w:rsidR="00A01129" w:rsidRDefault="00D57DCF" w:rsidP="00695F2A">
      <w:pPr>
        <w:pStyle w:val="Paragraphedeliste"/>
        <w:numPr>
          <w:ilvl w:val="0"/>
          <w:numId w:val="43"/>
        </w:numPr>
      </w:pPr>
      <w:r>
        <w:t>la viabilité technico-économique de solutions innovantes de p</w:t>
      </w:r>
      <w:r w:rsidR="00A01129">
        <w:t xml:space="preserve">roduction/fourniture d’énergies </w:t>
      </w:r>
      <w:r>
        <w:t>et de vecteurs renouvelables, et d’optimisation des systèmes énergétiques,</w:t>
      </w:r>
    </w:p>
    <w:p w14:paraId="50C5E053" w14:textId="77777777" w:rsidR="00A01129" w:rsidRDefault="00D57DCF" w:rsidP="00695F2A">
      <w:pPr>
        <w:pStyle w:val="Paragraphedeliste"/>
        <w:numPr>
          <w:ilvl w:val="0"/>
          <w:numId w:val="43"/>
        </w:numPr>
      </w:pPr>
      <w:r>
        <w:t>l’adéquation avec le marché de ces solutions,</w:t>
      </w:r>
    </w:p>
    <w:p w14:paraId="523BC33E" w14:textId="77777777" w:rsidR="00D57DCF" w:rsidRDefault="00D57DCF" w:rsidP="00695F2A">
      <w:pPr>
        <w:pStyle w:val="Paragraphedeliste"/>
        <w:numPr>
          <w:ilvl w:val="0"/>
          <w:numId w:val="43"/>
        </w:numPr>
      </w:pPr>
      <w:r>
        <w:t>la plus-value sur le plan environnemental des briques technologiques</w:t>
      </w:r>
      <w:r w:rsidR="0059535D">
        <w:t xml:space="preserve"> développées</w:t>
      </w:r>
      <w:r>
        <w:t>.</w:t>
      </w:r>
    </w:p>
    <w:p w14:paraId="59BDFB5C" w14:textId="77777777" w:rsidR="00D57DCF" w:rsidRDefault="00D57DCF" w:rsidP="006E14EE">
      <w:r>
        <w:t>Ces projets permettront le développement et la démonstration d</w:t>
      </w:r>
      <w:r w:rsidR="00A01129">
        <w:t xml:space="preserve">e produits, services ou modèles </w:t>
      </w:r>
      <w:r>
        <w:t>économiques innovants et créateurs de valeur pour l’économie nationale.</w:t>
      </w:r>
    </w:p>
    <w:p w14:paraId="6860F074" w14:textId="77777777" w:rsidR="00D57DCF" w:rsidRDefault="00D57DCF" w:rsidP="00300028"/>
    <w:p w14:paraId="69F591E4" w14:textId="77777777" w:rsidR="00A01129" w:rsidRPr="00A01129" w:rsidRDefault="00587EF9" w:rsidP="00A01129">
      <w:pPr>
        <w:rPr>
          <w:b/>
        </w:rPr>
      </w:pPr>
      <w:r>
        <w:rPr>
          <w:b/>
        </w:rPr>
        <w:t xml:space="preserve">Axe 1 - </w:t>
      </w:r>
      <w:r w:rsidR="00A01129" w:rsidRPr="00A01129">
        <w:rPr>
          <w:b/>
        </w:rPr>
        <w:t>Le Photovoltaïque</w:t>
      </w:r>
    </w:p>
    <w:p w14:paraId="0CEACC6C" w14:textId="04C4986A" w:rsidR="00A01129" w:rsidRDefault="00A01129" w:rsidP="00A01129">
      <w:r>
        <w:t xml:space="preserve">Pour le </w:t>
      </w:r>
      <w:r w:rsidR="00530DC5">
        <w:t xml:space="preserve">secteur </w:t>
      </w:r>
      <w:r>
        <w:t>photovoltaïque, il s’agira en particulier de soutenir le développement de briques technologiques et démonstrateurs visant le développement et l’expérimentation de technologies et de solutions PV apportant une plus grande compétitivité économique et une meilleure prise en compte des impacts environnementaux et/ou visant le développement d’une économie circulaire au sein de la filière photovoltaïque ou en lien avec des filières connexes.</w:t>
      </w:r>
    </w:p>
    <w:p w14:paraId="26B0F0A0" w14:textId="77777777" w:rsidR="00A01129" w:rsidRDefault="00A01129" w:rsidP="00A01129">
      <w:pPr>
        <w:spacing w:after="120"/>
      </w:pPr>
      <w:r>
        <w:t xml:space="preserve">De façon non exhaustive, les projets pourront notamment traiter du développement de nouvelles technologies de cellules et modules PV haut rendement, de nouveaux procédés et équipements de fabrication des matériaux et dispositifs photovoltaïques, du développement de nouveaux moyens de caractérisation des cellules/modules PV, du recyclage des modules photovoltaïques, du développement de nouveaux composants </w:t>
      </w:r>
      <w:r w:rsidR="0059535D">
        <w:t xml:space="preserve">d’électronique de puissance </w:t>
      </w:r>
      <w:r>
        <w:t>et de nouvelles architectures de centrales PV répondant à l’évolution de la tension des chaînes photovoltaïques, ou encore de technologies hybrides électricité/chaleur.</w:t>
      </w:r>
    </w:p>
    <w:p w14:paraId="6D0BF61A" w14:textId="11F8C459" w:rsidR="00A01129" w:rsidRDefault="00A01129" w:rsidP="00A01129">
      <w:pPr>
        <w:spacing w:after="0"/>
      </w:pPr>
      <w:r>
        <w:t>Cet axe pourra également soutenir de façon spécifique quelques projets photovoltaïques d’excellence</w:t>
      </w:r>
      <w:r w:rsidR="00B74A73">
        <w:rPr>
          <w:rStyle w:val="Appelnotedebasdep"/>
        </w:rPr>
        <w:footnoteReference w:id="3"/>
      </w:r>
      <w:r>
        <w:t>, intégrés et de grande envergure afin de faire émerger des champions industriels, ayant pris en compte l’ensemble des besoins de la filière, sur des secteurs de marché à fort potentiel de croissance pour cette filière</w:t>
      </w:r>
      <w:r w:rsidR="004E042A">
        <w:t>, notamment</w:t>
      </w:r>
      <w:r>
        <w:t xml:space="preserve"> : le mainstream PV, l’</w:t>
      </w:r>
      <w:proofErr w:type="spellStart"/>
      <w:r>
        <w:t>agrivoltaïsme</w:t>
      </w:r>
      <w:proofErr w:type="spellEnd"/>
      <w:r>
        <w:t>, le photovoltaïque intégré au bâtiment (BIPV) et l’électromobilité (VIPV).</w:t>
      </w:r>
    </w:p>
    <w:p w14:paraId="7EED2453" w14:textId="77777777" w:rsidR="00B74A73" w:rsidRDefault="00B74A73" w:rsidP="00B74A73">
      <w:pPr>
        <w:spacing w:after="0"/>
      </w:pPr>
      <w:r>
        <w:lastRenderedPageBreak/>
        <w:t>En ce sens, ces projets devront :</w:t>
      </w:r>
    </w:p>
    <w:p w14:paraId="6A977F1B" w14:textId="6ABD4DA8" w:rsidR="00B74A73" w:rsidRDefault="00B74A73" w:rsidP="00695F2A">
      <w:pPr>
        <w:pStyle w:val="Paragraphedeliste"/>
        <w:numPr>
          <w:ilvl w:val="0"/>
          <w:numId w:val="44"/>
        </w:numPr>
        <w:spacing w:after="0"/>
      </w:pPr>
      <w:r>
        <w:t xml:space="preserve">porter des phases de </w:t>
      </w:r>
      <w:r w:rsidR="004E042A">
        <w:t>développement</w:t>
      </w:r>
      <w:r>
        <w:t xml:space="preserve"> jusqu’aux phases d’expérimentation préindustrielle et/ou de démonstration in-situ,</w:t>
      </w:r>
    </w:p>
    <w:p w14:paraId="432992D9" w14:textId="0928461E" w:rsidR="00B74A73" w:rsidRDefault="00B74A73" w:rsidP="00F57A28">
      <w:pPr>
        <w:pStyle w:val="Paragraphedeliste"/>
        <w:numPr>
          <w:ilvl w:val="0"/>
          <w:numId w:val="44"/>
        </w:numPr>
        <w:spacing w:after="0"/>
        <w:jc w:val="left"/>
      </w:pPr>
      <w:r>
        <w:t>intégrer les acteurs clés de la chaîne de valeur et du marché visé (centres de R&amp;D,</w:t>
      </w:r>
      <w:r w:rsidR="00F57A28">
        <w:t xml:space="preserve"> </w:t>
      </w:r>
      <w:r>
        <w:t>équipementiers, fabricants, fournisseurs de composants, développeurs/intégrateurs, utilisateurs/prescripteurs, recycleurs</w:t>
      </w:r>
      <w:r w:rsidR="00EE269D">
        <w:t>, etc.</w:t>
      </w:r>
      <w:r>
        <w:t>)</w:t>
      </w:r>
    </w:p>
    <w:p w14:paraId="2CF36513" w14:textId="77777777" w:rsidR="00B74A73" w:rsidRDefault="00B74A73" w:rsidP="00695F2A">
      <w:pPr>
        <w:pStyle w:val="Paragraphedeliste"/>
        <w:numPr>
          <w:ilvl w:val="0"/>
          <w:numId w:val="44"/>
        </w:numPr>
        <w:spacing w:after="0"/>
      </w:pPr>
      <w:r>
        <w:t>démontrer leur capacité à pénétrer les marchés visés et/ou à prendre des parts de marché significatives.</w:t>
      </w:r>
    </w:p>
    <w:p w14:paraId="1079665E" w14:textId="77777777" w:rsidR="00EB0D03" w:rsidRDefault="00A01129" w:rsidP="00A01129">
      <w:pPr>
        <w:autoSpaceDE w:val="0"/>
        <w:autoSpaceDN w:val="0"/>
        <w:adjustRightInd w:val="0"/>
        <w:spacing w:after="0"/>
        <w:rPr>
          <w:rFonts w:ascii="CIDFont+F1" w:hAnsi="CIDFont+F1" w:cs="CIDFont+F1"/>
        </w:rPr>
      </w:pPr>
      <w:r>
        <w:rPr>
          <w:rFonts w:ascii="CIDFont+F1" w:hAnsi="CIDFont+F1" w:cs="CIDFont+F1"/>
        </w:rPr>
        <w:t xml:space="preserve">Au-delà de ces objectifs prioritaires, ces projets </w:t>
      </w:r>
      <w:r w:rsidR="0059535D">
        <w:rPr>
          <w:rFonts w:ascii="CIDFont+F1" w:hAnsi="CIDFont+F1" w:cs="CIDFont+F1"/>
        </w:rPr>
        <w:t xml:space="preserve">intégrés </w:t>
      </w:r>
      <w:r>
        <w:rPr>
          <w:rFonts w:ascii="CIDFont+F1" w:hAnsi="CIDFont+F1" w:cs="CIDFont+F1"/>
        </w:rPr>
        <w:t>devront également permettre de renforcer la structuration de la filière photovoltaïque, de favoriser la constitution de consortia industriels, d’accentuer le continuum entre la recherche et l’industrie et de mettre en visibilité l’ensemble des acteurs de la R&amp;D jusqu’à l’industrialisation.</w:t>
      </w:r>
    </w:p>
    <w:p w14:paraId="1C58DD2C" w14:textId="77777777" w:rsidR="00A01129" w:rsidRDefault="00A01129" w:rsidP="00A01129">
      <w:pPr>
        <w:autoSpaceDE w:val="0"/>
        <w:autoSpaceDN w:val="0"/>
        <w:adjustRightInd w:val="0"/>
        <w:spacing w:after="0"/>
        <w:rPr>
          <w:rFonts w:ascii="CIDFont+F1" w:hAnsi="CIDFont+F1" w:cs="CIDFont+F1"/>
        </w:rPr>
      </w:pPr>
    </w:p>
    <w:p w14:paraId="18299D3B" w14:textId="77777777" w:rsidR="00A01129" w:rsidRPr="00781BD8" w:rsidRDefault="00587EF9" w:rsidP="00A01129">
      <w:pPr>
        <w:autoSpaceDE w:val="0"/>
        <w:autoSpaceDN w:val="0"/>
        <w:adjustRightInd w:val="0"/>
        <w:spacing w:after="0"/>
        <w:rPr>
          <w:rFonts w:ascii="CIDFont+F1" w:hAnsi="CIDFont+F1" w:cs="CIDFont+F1"/>
          <w:b/>
        </w:rPr>
      </w:pPr>
      <w:r>
        <w:rPr>
          <w:rFonts w:ascii="CIDFont+F1" w:hAnsi="CIDFont+F1" w:cs="CIDFont+F1"/>
          <w:b/>
        </w:rPr>
        <w:t xml:space="preserve">Axe 2 - </w:t>
      </w:r>
      <w:r w:rsidR="00A01129" w:rsidRPr="00781BD8">
        <w:rPr>
          <w:rFonts w:ascii="CIDFont+F1" w:hAnsi="CIDFont+F1" w:cs="CIDFont+F1"/>
          <w:b/>
        </w:rPr>
        <w:t>L’éolien flottant</w:t>
      </w:r>
    </w:p>
    <w:p w14:paraId="0F819569" w14:textId="719B70BA" w:rsidR="00A01129" w:rsidRPr="00A01129" w:rsidRDefault="00A01129" w:rsidP="00A01129">
      <w:pPr>
        <w:autoSpaceDE w:val="0"/>
        <w:autoSpaceDN w:val="0"/>
        <w:adjustRightInd w:val="0"/>
        <w:spacing w:after="0"/>
        <w:rPr>
          <w:rFonts w:ascii="CIDFont+F1" w:hAnsi="CIDFont+F1" w:cs="CIDFont+F1"/>
        </w:rPr>
      </w:pPr>
      <w:r w:rsidRPr="00A01129">
        <w:rPr>
          <w:rFonts w:ascii="CIDFont+F1" w:hAnsi="CIDFont+F1" w:cs="CIDFont+F1"/>
        </w:rPr>
        <w:t>En ce qui concerne l’éolien flottant, l’accompagnement des briques tec</w:t>
      </w:r>
      <w:r w:rsidR="00781BD8">
        <w:rPr>
          <w:rFonts w:ascii="CIDFont+F1" w:hAnsi="CIDFont+F1" w:cs="CIDFont+F1"/>
        </w:rPr>
        <w:t xml:space="preserve">hnologiques vise à accélérer la </w:t>
      </w:r>
      <w:r w:rsidRPr="00A01129">
        <w:rPr>
          <w:rFonts w:ascii="CIDFont+F1" w:hAnsi="CIDFont+F1" w:cs="CIDFont+F1"/>
        </w:rPr>
        <w:t>réduction des coûts</w:t>
      </w:r>
      <w:r w:rsidR="004E042A">
        <w:rPr>
          <w:rFonts w:ascii="CIDFont+F1" w:hAnsi="CIDFont+F1" w:cs="CIDFont+F1"/>
        </w:rPr>
        <w:t xml:space="preserve"> et l’amélioration des performances</w:t>
      </w:r>
      <w:r w:rsidRPr="00A01129">
        <w:rPr>
          <w:rFonts w:ascii="CIDFont+F1" w:hAnsi="CIDFont+F1" w:cs="CIDFont+F1"/>
        </w:rPr>
        <w:t xml:space="preserve">. Les briques technologiques attendues </w:t>
      </w:r>
      <w:r w:rsidR="0059535D" w:rsidRPr="00A01129">
        <w:rPr>
          <w:rFonts w:ascii="CIDFont+F1" w:hAnsi="CIDFont+F1" w:cs="CIDFont+F1"/>
        </w:rPr>
        <w:t>p</w:t>
      </w:r>
      <w:r w:rsidR="0059535D">
        <w:rPr>
          <w:rFonts w:ascii="CIDFont+F1" w:hAnsi="CIDFont+F1" w:cs="CIDFont+F1"/>
        </w:rPr>
        <w:t>ourront</w:t>
      </w:r>
      <w:r w:rsidR="0059535D" w:rsidRPr="00A01129">
        <w:rPr>
          <w:rFonts w:ascii="CIDFont+F1" w:hAnsi="CIDFont+F1" w:cs="CIDFont+F1"/>
        </w:rPr>
        <w:t xml:space="preserve"> </w:t>
      </w:r>
      <w:r w:rsidRPr="00A01129">
        <w:rPr>
          <w:rFonts w:ascii="CIDFont+F1" w:hAnsi="CIDFont+F1" w:cs="CIDFont+F1"/>
        </w:rPr>
        <w:t>ê</w:t>
      </w:r>
      <w:r w:rsidR="00781BD8">
        <w:rPr>
          <w:rFonts w:ascii="CIDFont+F1" w:hAnsi="CIDFont+F1" w:cs="CIDFont+F1"/>
        </w:rPr>
        <w:t xml:space="preserve">tre mises en </w:t>
      </w:r>
      <w:r w:rsidR="00C83EBB">
        <w:rPr>
          <w:rFonts w:ascii="CIDFont+F1" w:hAnsi="CIDFont+F1" w:cs="CIDFont+F1"/>
        </w:rPr>
        <w:t>œuvre</w:t>
      </w:r>
      <w:r w:rsidR="00781BD8">
        <w:rPr>
          <w:rFonts w:ascii="CIDFont+F1" w:hAnsi="CIDFont+F1" w:cs="CIDFont+F1"/>
        </w:rPr>
        <w:t xml:space="preserve"> dans toutes </w:t>
      </w:r>
      <w:r w:rsidRPr="00A01129">
        <w:rPr>
          <w:rFonts w:ascii="CIDFont+F1" w:hAnsi="CIDFont+F1" w:cs="CIDFont+F1"/>
        </w:rPr>
        <w:t>les phases de développements des projets (ingénierie et mét</w:t>
      </w:r>
      <w:r w:rsidR="00781BD8">
        <w:rPr>
          <w:rFonts w:ascii="CIDFont+F1" w:hAnsi="CIDFont+F1" w:cs="CIDFont+F1"/>
        </w:rPr>
        <w:t xml:space="preserve">hodes, équipements intégrés aux </w:t>
      </w:r>
      <w:r w:rsidRPr="00A01129">
        <w:rPr>
          <w:rFonts w:ascii="CIDFont+F1" w:hAnsi="CIDFont+F1" w:cs="CIDFont+F1"/>
        </w:rPr>
        <w:t>flotteurs/ancrages/câbles, équipements pour faciliter l’industrialisation, méthodes et outils</w:t>
      </w:r>
      <w:r w:rsidR="00781BD8">
        <w:rPr>
          <w:rFonts w:ascii="CIDFont+F1" w:hAnsi="CIDFont+F1" w:cs="CIDFont+F1"/>
        </w:rPr>
        <w:t xml:space="preserve"> </w:t>
      </w:r>
      <w:r w:rsidRPr="00A01129">
        <w:rPr>
          <w:rFonts w:ascii="CIDFont+F1" w:hAnsi="CIDFont+F1" w:cs="CIDFont+F1"/>
        </w:rPr>
        <w:t>d’installation, instrumentation visant la supervision, l’opération et la maintenance des équipements</w:t>
      </w:r>
      <w:r w:rsidR="00C83EBB">
        <w:rPr>
          <w:rFonts w:ascii="CIDFont+F1" w:hAnsi="CIDFont+F1" w:cs="CIDFont+F1"/>
        </w:rPr>
        <w:t>, etc.</w:t>
      </w:r>
      <w:r w:rsidRPr="00A01129">
        <w:rPr>
          <w:rFonts w:ascii="CIDFont+F1" w:hAnsi="CIDFont+F1" w:cs="CIDFont+F1"/>
        </w:rPr>
        <w:t>).</w:t>
      </w:r>
    </w:p>
    <w:p w14:paraId="675FD3E8" w14:textId="77777777" w:rsidR="004E042A" w:rsidRDefault="00781BD8" w:rsidP="00781BD8">
      <w:pPr>
        <w:autoSpaceDE w:val="0"/>
        <w:autoSpaceDN w:val="0"/>
        <w:adjustRightInd w:val="0"/>
        <w:spacing w:after="0"/>
        <w:rPr>
          <w:rFonts w:ascii="CIDFont+F1" w:hAnsi="CIDFont+F1" w:cs="CIDFont+F1"/>
        </w:rPr>
      </w:pPr>
      <w:r>
        <w:rPr>
          <w:rFonts w:ascii="CIDFont+F1" w:hAnsi="CIDFont+F1" w:cs="CIDFont+F1"/>
        </w:rPr>
        <w:t>Cet axe</w:t>
      </w:r>
      <w:r w:rsidR="00A01129" w:rsidRPr="00A01129">
        <w:rPr>
          <w:rFonts w:ascii="CIDFont+F1" w:hAnsi="CIDFont+F1" w:cs="CIDFont+F1"/>
        </w:rPr>
        <w:t xml:space="preserve"> pourra supporter le développement de turbines plus puissan</w:t>
      </w:r>
      <w:r>
        <w:rPr>
          <w:rFonts w:ascii="CIDFont+F1" w:hAnsi="CIDFont+F1" w:cs="CIDFont+F1"/>
        </w:rPr>
        <w:t xml:space="preserve">tes et plus adaptées à l’éolien </w:t>
      </w:r>
      <w:r w:rsidR="00A01129" w:rsidRPr="00A01129">
        <w:rPr>
          <w:rFonts w:ascii="CIDFont+F1" w:hAnsi="CIDFont+F1" w:cs="CIDFont+F1"/>
        </w:rPr>
        <w:t>flottant. Le développement de génératrices sans terres rares, de nace</w:t>
      </w:r>
      <w:r>
        <w:rPr>
          <w:rFonts w:ascii="CIDFont+F1" w:hAnsi="CIDFont+F1" w:cs="CIDFont+F1"/>
        </w:rPr>
        <w:t xml:space="preserve">lles légères ou encore de pales </w:t>
      </w:r>
      <w:r w:rsidR="00A01129" w:rsidRPr="00A01129">
        <w:rPr>
          <w:rFonts w:ascii="CIDFont+F1" w:hAnsi="CIDFont+F1" w:cs="CIDFont+F1"/>
        </w:rPr>
        <w:t xml:space="preserve">recyclables </w:t>
      </w:r>
      <w:r w:rsidR="00530DC5">
        <w:rPr>
          <w:rFonts w:ascii="CIDFont+F1" w:hAnsi="CIDFont+F1" w:cs="CIDFont+F1"/>
        </w:rPr>
        <w:t xml:space="preserve">ou de concepts de flotteurs innovants </w:t>
      </w:r>
      <w:r w:rsidR="00A01129" w:rsidRPr="00A01129">
        <w:rPr>
          <w:rFonts w:ascii="CIDFont+F1" w:hAnsi="CIDFont+F1" w:cs="CIDFont+F1"/>
        </w:rPr>
        <w:t xml:space="preserve">pourra </w:t>
      </w:r>
      <w:r w:rsidR="004E042A">
        <w:rPr>
          <w:rFonts w:ascii="CIDFont+F1" w:hAnsi="CIDFont+F1" w:cs="CIDFont+F1"/>
        </w:rPr>
        <w:t xml:space="preserve">également </w:t>
      </w:r>
      <w:r w:rsidR="00A01129" w:rsidRPr="00A01129">
        <w:rPr>
          <w:rFonts w:ascii="CIDFont+F1" w:hAnsi="CIDFont+F1" w:cs="CIDFont+F1"/>
        </w:rPr>
        <w:t xml:space="preserve">être soutenu. </w:t>
      </w:r>
    </w:p>
    <w:p w14:paraId="4BEDEE1C" w14:textId="1D8349AC" w:rsidR="004E042A" w:rsidRDefault="004E042A" w:rsidP="00781BD8">
      <w:pPr>
        <w:autoSpaceDE w:val="0"/>
        <w:autoSpaceDN w:val="0"/>
        <w:adjustRightInd w:val="0"/>
        <w:spacing w:after="0"/>
        <w:rPr>
          <w:rFonts w:ascii="CIDFont+F1" w:hAnsi="CIDFont+F1" w:cs="CIDFont+F1"/>
        </w:rPr>
      </w:pPr>
      <w:r>
        <w:rPr>
          <w:rFonts w:ascii="CIDFont+F1" w:hAnsi="CIDFont+F1" w:cs="CIDFont+F1"/>
        </w:rPr>
        <w:t>Avec l’éolien flottant,</w:t>
      </w:r>
      <w:r w:rsidRPr="00A01129">
        <w:rPr>
          <w:rFonts w:ascii="CIDFont+F1" w:hAnsi="CIDFont+F1" w:cs="CIDFont+F1"/>
        </w:rPr>
        <w:t xml:space="preserve"> </w:t>
      </w:r>
      <w:r w:rsidR="00A01129" w:rsidRPr="00A01129">
        <w:rPr>
          <w:rFonts w:ascii="CIDFont+F1" w:hAnsi="CIDFont+F1" w:cs="CIDFont+F1"/>
        </w:rPr>
        <w:t>le sujet du raccordement</w:t>
      </w:r>
      <w:r>
        <w:rPr>
          <w:rFonts w:ascii="CIDFont+F1" w:hAnsi="CIDFont+F1" w:cs="CIDFont+F1"/>
        </w:rPr>
        <w:t xml:space="preserve"> devient plus prégnant</w:t>
      </w:r>
      <w:r w:rsidR="00A01129" w:rsidRPr="00A01129">
        <w:rPr>
          <w:rFonts w:ascii="CIDFont+F1" w:hAnsi="CIDFont+F1" w:cs="CIDFont+F1"/>
        </w:rPr>
        <w:t xml:space="preserve"> </w:t>
      </w:r>
      <w:r>
        <w:rPr>
          <w:rFonts w:ascii="CIDFont+F1" w:hAnsi="CIDFont+F1" w:cs="CIDFont+F1"/>
        </w:rPr>
        <w:t xml:space="preserve">(accroissement de </w:t>
      </w:r>
      <w:r w:rsidR="00A01129" w:rsidRPr="00A01129">
        <w:rPr>
          <w:rFonts w:ascii="CIDFont+F1" w:hAnsi="CIDFont+F1" w:cs="CIDFont+F1"/>
        </w:rPr>
        <w:t>la dis</w:t>
      </w:r>
      <w:r w:rsidR="00781BD8">
        <w:rPr>
          <w:rFonts w:ascii="CIDFont+F1" w:hAnsi="CIDFont+F1" w:cs="CIDFont+F1"/>
        </w:rPr>
        <w:t xml:space="preserve">tance des parcs à la terre et </w:t>
      </w:r>
      <w:r w:rsidR="00A01129" w:rsidRPr="00A01129">
        <w:rPr>
          <w:rFonts w:ascii="CIDFont+F1" w:hAnsi="CIDFont+F1" w:cs="CIDFont+F1"/>
        </w:rPr>
        <w:t xml:space="preserve">la </w:t>
      </w:r>
      <w:r>
        <w:rPr>
          <w:rFonts w:ascii="CIDFont+F1" w:hAnsi="CIDFont+F1" w:cs="CIDFont+F1"/>
        </w:rPr>
        <w:t>hauteur d’eau).</w:t>
      </w:r>
      <w:r w:rsidR="00A01129" w:rsidRPr="00A01129">
        <w:rPr>
          <w:rFonts w:ascii="CIDFont+F1" w:hAnsi="CIDFont+F1" w:cs="CIDFont+F1"/>
        </w:rPr>
        <w:t xml:space="preserve"> </w:t>
      </w:r>
      <w:r>
        <w:rPr>
          <w:rFonts w:ascii="CIDFont+F1" w:hAnsi="CIDFont+F1" w:cs="CIDFont+F1"/>
        </w:rPr>
        <w:t>L</w:t>
      </w:r>
      <w:r w:rsidR="00781BD8">
        <w:rPr>
          <w:rFonts w:ascii="CIDFont+F1" w:hAnsi="CIDFont+F1" w:cs="CIDFont+F1"/>
        </w:rPr>
        <w:t xml:space="preserve">e développement de solutions de </w:t>
      </w:r>
      <w:r w:rsidR="00A01129" w:rsidRPr="00A01129">
        <w:rPr>
          <w:rFonts w:ascii="CIDFont+F1" w:hAnsi="CIDFont+F1" w:cs="CIDFont+F1"/>
        </w:rPr>
        <w:t xml:space="preserve">raccordement en courant continu, de sous-stations flottantes et de </w:t>
      </w:r>
      <w:r w:rsidR="00781BD8">
        <w:rPr>
          <w:rFonts w:ascii="CIDFont+F1" w:hAnsi="CIDFont+F1" w:cs="CIDFont+F1"/>
        </w:rPr>
        <w:t xml:space="preserve">câbles électriques dynamiques à </w:t>
      </w:r>
      <w:r w:rsidR="00A01129" w:rsidRPr="00A01129">
        <w:rPr>
          <w:rFonts w:ascii="CIDFont+F1" w:hAnsi="CIDFont+F1" w:cs="CIDFont+F1"/>
        </w:rPr>
        <w:t>haut voltage permettant d’évacuer l’énergie produite par les parcs</w:t>
      </w:r>
      <w:r w:rsidR="00781BD8">
        <w:rPr>
          <w:rFonts w:ascii="CIDFont+F1" w:hAnsi="CIDFont+F1" w:cs="CIDFont+F1"/>
        </w:rPr>
        <w:t xml:space="preserve"> éoliens flottants</w:t>
      </w:r>
      <w:r w:rsidR="00587EF9">
        <w:rPr>
          <w:rFonts w:ascii="CIDFont+F1" w:hAnsi="CIDFont+F1" w:cs="CIDFont+F1"/>
        </w:rPr>
        <w:t xml:space="preserve"> pourra </w:t>
      </w:r>
      <w:r>
        <w:rPr>
          <w:rFonts w:ascii="CIDFont+F1" w:hAnsi="CIDFont+F1" w:cs="CIDFont+F1"/>
        </w:rPr>
        <w:t xml:space="preserve">ainsi </w:t>
      </w:r>
      <w:r w:rsidR="00587EF9">
        <w:rPr>
          <w:rFonts w:ascii="CIDFont+F1" w:hAnsi="CIDFont+F1" w:cs="CIDFont+F1"/>
        </w:rPr>
        <w:t>faire l’objet d’un accompagnement</w:t>
      </w:r>
      <w:r w:rsidR="00781BD8">
        <w:rPr>
          <w:rFonts w:ascii="CIDFont+F1" w:hAnsi="CIDFont+F1" w:cs="CIDFont+F1"/>
        </w:rPr>
        <w:t xml:space="preserve">. </w:t>
      </w:r>
    </w:p>
    <w:p w14:paraId="794DA0BA" w14:textId="1A83C5F6" w:rsidR="00A01129" w:rsidRDefault="00781BD8" w:rsidP="00781BD8">
      <w:pPr>
        <w:autoSpaceDE w:val="0"/>
        <w:autoSpaceDN w:val="0"/>
        <w:adjustRightInd w:val="0"/>
        <w:spacing w:after="0"/>
        <w:rPr>
          <w:rFonts w:ascii="CIDFont+F1" w:hAnsi="CIDFont+F1" w:cs="CIDFont+F1"/>
        </w:rPr>
      </w:pPr>
      <w:r>
        <w:rPr>
          <w:rFonts w:ascii="CIDFont+F1" w:hAnsi="CIDFont+F1" w:cs="CIDFont+F1"/>
        </w:rPr>
        <w:t xml:space="preserve">Des projets </w:t>
      </w:r>
      <w:r w:rsidR="00A01129" w:rsidRPr="00A01129">
        <w:rPr>
          <w:rFonts w:ascii="CIDFont+F1" w:hAnsi="CIDFont+F1" w:cs="CIDFont+F1"/>
        </w:rPr>
        <w:t>permettant d’améliorer l’acceptabilité des parcs éoliens en mer, en part</w:t>
      </w:r>
      <w:r>
        <w:rPr>
          <w:rFonts w:ascii="CIDFont+F1" w:hAnsi="CIDFont+F1" w:cs="CIDFont+F1"/>
        </w:rPr>
        <w:t xml:space="preserve">iculier flottants pourront être </w:t>
      </w:r>
      <w:r w:rsidR="00A01129" w:rsidRPr="00A01129">
        <w:rPr>
          <w:rFonts w:ascii="CIDFont+F1" w:hAnsi="CIDFont+F1" w:cs="CIDFont+F1"/>
        </w:rPr>
        <w:t>soutenus. A ce titre</w:t>
      </w:r>
      <w:r w:rsidR="00587EF9">
        <w:rPr>
          <w:rFonts w:ascii="CIDFont+F1" w:hAnsi="CIDFont+F1" w:cs="CIDFont+F1"/>
        </w:rPr>
        <w:t>,</w:t>
      </w:r>
      <w:r w:rsidR="00A01129" w:rsidRPr="00A01129">
        <w:rPr>
          <w:rFonts w:ascii="CIDFont+F1" w:hAnsi="CIDFont+F1" w:cs="CIDFont+F1"/>
        </w:rPr>
        <w:t xml:space="preserve"> des initiatives permettant une meilleure intégration des projets</w:t>
      </w:r>
      <w:r>
        <w:rPr>
          <w:rFonts w:ascii="CIDFont+F1" w:hAnsi="CIDFont+F1" w:cs="CIDFont+F1"/>
        </w:rPr>
        <w:t xml:space="preserve"> aux bénéfices des usagers </w:t>
      </w:r>
      <w:r w:rsidR="00A01129" w:rsidRPr="00A01129">
        <w:rPr>
          <w:rFonts w:ascii="CIDFont+F1" w:hAnsi="CIDFont+F1" w:cs="CIDFont+F1"/>
        </w:rPr>
        <w:t>de la mer, notamment le secteur de la pêche professionnel</w:t>
      </w:r>
      <w:r>
        <w:rPr>
          <w:rFonts w:ascii="CIDFont+F1" w:hAnsi="CIDFont+F1" w:cs="CIDFont+F1"/>
        </w:rPr>
        <w:t>le (</w:t>
      </w:r>
      <w:proofErr w:type="spellStart"/>
      <w:r>
        <w:rPr>
          <w:rFonts w:ascii="CIDFont+F1" w:hAnsi="CIDFont+F1" w:cs="CIDFont+F1"/>
        </w:rPr>
        <w:t>co-activités</w:t>
      </w:r>
      <w:proofErr w:type="spellEnd"/>
      <w:r>
        <w:rPr>
          <w:rFonts w:ascii="CIDFont+F1" w:hAnsi="CIDFont+F1" w:cs="CIDFont+F1"/>
        </w:rPr>
        <w:t xml:space="preserve">, mutualisation </w:t>
      </w:r>
      <w:r w:rsidR="00A01129" w:rsidRPr="00A01129">
        <w:rPr>
          <w:rFonts w:ascii="CIDFont+F1" w:hAnsi="CIDFont+F1" w:cs="CIDFont+F1"/>
        </w:rPr>
        <w:t>logistique, technologies d’ancrages ou de câbles inter éoliennes compatible avec un</w:t>
      </w:r>
      <w:r>
        <w:rPr>
          <w:rFonts w:ascii="CIDFont+F1" w:hAnsi="CIDFont+F1" w:cs="CIDFont+F1"/>
        </w:rPr>
        <w:t xml:space="preserve"> grand nombre de types de pêches</w:t>
      </w:r>
      <w:r w:rsidR="00C83EBB">
        <w:rPr>
          <w:rFonts w:ascii="CIDFont+F1" w:hAnsi="CIDFont+F1" w:cs="CIDFont+F1"/>
        </w:rPr>
        <w:t>, etc.</w:t>
      </w:r>
      <w:r>
        <w:rPr>
          <w:rFonts w:ascii="CIDFont+F1" w:hAnsi="CIDFont+F1" w:cs="CIDFont+F1"/>
        </w:rPr>
        <w:t>) pourront être accompagnés dans le cadre de cet AAP.</w:t>
      </w:r>
    </w:p>
    <w:p w14:paraId="321BF9A1" w14:textId="77777777" w:rsidR="006C1B3C" w:rsidRDefault="006C1B3C" w:rsidP="00781BD8">
      <w:pPr>
        <w:autoSpaceDE w:val="0"/>
        <w:autoSpaceDN w:val="0"/>
        <w:adjustRightInd w:val="0"/>
        <w:spacing w:after="0"/>
        <w:rPr>
          <w:rFonts w:ascii="CIDFont+F1" w:hAnsi="CIDFont+F1" w:cs="CIDFont+F1"/>
        </w:rPr>
      </w:pPr>
    </w:p>
    <w:p w14:paraId="76446B47" w14:textId="77777777" w:rsidR="0069617F" w:rsidRPr="0069617F" w:rsidRDefault="00587EF9" w:rsidP="0069617F">
      <w:pPr>
        <w:autoSpaceDE w:val="0"/>
        <w:autoSpaceDN w:val="0"/>
        <w:adjustRightInd w:val="0"/>
        <w:rPr>
          <w:rFonts w:ascii="CIDFont+F1" w:hAnsi="CIDFont+F1" w:cs="CIDFont+F1"/>
          <w:b/>
        </w:rPr>
      </w:pPr>
      <w:r>
        <w:rPr>
          <w:rFonts w:ascii="CIDFont+F1" w:hAnsi="CIDFont+F1" w:cs="CIDFont+F1"/>
          <w:b/>
        </w:rPr>
        <w:t xml:space="preserve">Axe 3 - </w:t>
      </w:r>
      <w:r w:rsidR="0069617F" w:rsidRPr="0069617F">
        <w:rPr>
          <w:rFonts w:ascii="CIDFont+F1" w:hAnsi="CIDFont+F1" w:cs="CIDFont+F1"/>
          <w:b/>
        </w:rPr>
        <w:t>Les réseaux et le</w:t>
      </w:r>
      <w:r w:rsidR="001A223A">
        <w:rPr>
          <w:rFonts w:ascii="CIDFont+F1" w:hAnsi="CIDFont+F1" w:cs="CIDFont+F1"/>
          <w:b/>
        </w:rPr>
        <w:t>s</w:t>
      </w:r>
      <w:r w:rsidR="0069617F" w:rsidRPr="0069617F">
        <w:rPr>
          <w:rFonts w:ascii="CIDFont+F1" w:hAnsi="CIDFont+F1" w:cs="CIDFont+F1"/>
          <w:b/>
        </w:rPr>
        <w:t xml:space="preserve"> système</w:t>
      </w:r>
      <w:r w:rsidR="00323F89">
        <w:rPr>
          <w:rFonts w:ascii="CIDFont+F1" w:hAnsi="CIDFont+F1" w:cs="CIDFont+F1"/>
          <w:b/>
        </w:rPr>
        <w:t>s</w:t>
      </w:r>
      <w:r w:rsidR="0069617F" w:rsidRPr="0069617F">
        <w:rPr>
          <w:rFonts w:ascii="CIDFont+F1" w:hAnsi="CIDFont+F1" w:cs="CIDFont+F1"/>
          <w:b/>
        </w:rPr>
        <w:t xml:space="preserve"> énergétiques</w:t>
      </w:r>
    </w:p>
    <w:p w14:paraId="128E2BDF" w14:textId="653291F3" w:rsidR="00695F2A" w:rsidRDefault="006B26A3" w:rsidP="0069617F">
      <w:pPr>
        <w:autoSpaceDE w:val="0"/>
        <w:autoSpaceDN w:val="0"/>
        <w:adjustRightInd w:val="0"/>
        <w:spacing w:after="0"/>
        <w:rPr>
          <w:rFonts w:ascii="CIDFont+F1" w:hAnsi="CIDFont+F1" w:cs="CIDFont+F1"/>
        </w:rPr>
      </w:pPr>
      <w:r>
        <w:rPr>
          <w:rFonts w:ascii="CIDFont+F1" w:hAnsi="CIDFont+F1" w:cs="CIDFont+F1"/>
        </w:rPr>
        <w:t>L’AAP s’attachera à soutenir deux thématiques</w:t>
      </w:r>
      <w:r w:rsidR="0069617F">
        <w:rPr>
          <w:rFonts w:ascii="CIDFont+F1" w:hAnsi="CIDFont+F1" w:cs="CIDFont+F1"/>
        </w:rPr>
        <w:t xml:space="preserve"> complémentaires</w:t>
      </w:r>
      <w:r w:rsidR="008F3F49">
        <w:rPr>
          <w:rFonts w:ascii="CIDFont+F1" w:hAnsi="CIDFont+F1" w:cs="CIDFont+F1"/>
        </w:rPr>
        <w:t>,</w:t>
      </w:r>
      <w:r w:rsidR="0069617F">
        <w:rPr>
          <w:rFonts w:ascii="CIDFont+F1" w:hAnsi="CIDFont+F1" w:cs="CIDFont+F1"/>
        </w:rPr>
        <w:t xml:space="preserve"> </w:t>
      </w:r>
      <w:r>
        <w:rPr>
          <w:rFonts w:ascii="CIDFont+F1" w:hAnsi="CIDFont+F1" w:cs="CIDFont+F1"/>
        </w:rPr>
        <w:t xml:space="preserve">dans l’optique de </w:t>
      </w:r>
      <w:r w:rsidR="0069617F" w:rsidRPr="0069617F">
        <w:rPr>
          <w:rFonts w:ascii="CIDFont+F1" w:hAnsi="CIDFont+F1" w:cs="CIDFont+F1"/>
        </w:rPr>
        <w:t>construire un système énergétique bas carbone, résilient et optimum</w:t>
      </w:r>
      <w:r w:rsidR="0069617F">
        <w:rPr>
          <w:rFonts w:ascii="CIDFont+F1" w:hAnsi="CIDFont+F1" w:cs="CIDFont+F1"/>
        </w:rPr>
        <w:t xml:space="preserve"> d’un point de vue économique</w:t>
      </w:r>
      <w:r w:rsidR="00915B7D">
        <w:rPr>
          <w:rFonts w:ascii="CIDFont+F1" w:hAnsi="CIDFont+F1" w:cs="CIDFont+F1"/>
        </w:rPr>
        <w:t xml:space="preserve"> </w:t>
      </w:r>
      <w:r w:rsidR="0069617F">
        <w:rPr>
          <w:rFonts w:ascii="CIDFont+F1" w:hAnsi="CIDFont+F1" w:cs="CIDFont+F1"/>
        </w:rPr>
        <w:t xml:space="preserve">: </w:t>
      </w:r>
    </w:p>
    <w:p w14:paraId="10CC2D7B" w14:textId="21FF0B4D" w:rsidR="00695F2A" w:rsidRDefault="006B26A3" w:rsidP="0069617F">
      <w:pPr>
        <w:autoSpaceDE w:val="0"/>
        <w:autoSpaceDN w:val="0"/>
        <w:adjustRightInd w:val="0"/>
        <w:spacing w:after="0"/>
        <w:rPr>
          <w:rFonts w:ascii="CIDFont+F1" w:hAnsi="CIDFont+F1" w:cs="CIDFont+F1"/>
        </w:rPr>
      </w:pPr>
      <w:r>
        <w:rPr>
          <w:rFonts w:ascii="CIDFont+F1" w:hAnsi="CIDFont+F1" w:cs="CIDFont+F1"/>
        </w:rPr>
        <w:t xml:space="preserve">1. </w:t>
      </w:r>
      <w:r w:rsidR="0049154D">
        <w:rPr>
          <w:rFonts w:ascii="CIDFont+F1" w:hAnsi="CIDFont+F1" w:cs="CIDFont+F1"/>
        </w:rPr>
        <w:t>L’optimisation des</w:t>
      </w:r>
      <w:r w:rsidR="0069617F" w:rsidRPr="0069617F">
        <w:rPr>
          <w:rFonts w:ascii="CIDFont+F1" w:hAnsi="CIDFont+F1" w:cs="CIDFont+F1"/>
        </w:rPr>
        <w:t xml:space="preserve"> infrastructures</w:t>
      </w:r>
      <w:r w:rsidR="0049154D">
        <w:rPr>
          <w:rFonts w:ascii="CIDFont+F1" w:hAnsi="CIDFont+F1" w:cs="CIDFont+F1"/>
        </w:rPr>
        <w:t> ;</w:t>
      </w:r>
      <w:r w:rsidR="0069617F" w:rsidRPr="0069617F">
        <w:rPr>
          <w:rFonts w:ascii="CIDFont+F1" w:hAnsi="CIDFont+F1" w:cs="CIDFont+F1"/>
        </w:rPr>
        <w:t xml:space="preserve"> </w:t>
      </w:r>
    </w:p>
    <w:p w14:paraId="39D4822C" w14:textId="6B1C67FF" w:rsidR="0069617F" w:rsidRPr="0069617F" w:rsidRDefault="006B26A3" w:rsidP="0069617F">
      <w:pPr>
        <w:autoSpaceDE w:val="0"/>
        <w:autoSpaceDN w:val="0"/>
        <w:adjustRightInd w:val="0"/>
        <w:spacing w:after="0"/>
        <w:rPr>
          <w:rFonts w:ascii="CIDFont+F1" w:hAnsi="CIDFont+F1" w:cs="CIDFont+F1"/>
        </w:rPr>
      </w:pPr>
      <w:r>
        <w:rPr>
          <w:rFonts w:ascii="CIDFont+F1" w:hAnsi="CIDFont+F1" w:cs="CIDFont+F1"/>
        </w:rPr>
        <w:t xml:space="preserve">2. </w:t>
      </w:r>
      <w:r w:rsidR="0049154D">
        <w:rPr>
          <w:rFonts w:ascii="CIDFont+F1" w:hAnsi="CIDFont+F1" w:cs="CIDFont+F1"/>
        </w:rPr>
        <w:t>Le développement des</w:t>
      </w:r>
      <w:r w:rsidR="0069617F" w:rsidRPr="0069617F">
        <w:rPr>
          <w:rFonts w:ascii="CIDFont+F1" w:hAnsi="CIDFont+F1" w:cs="CIDFont+F1"/>
        </w:rPr>
        <w:t xml:space="preserve"> leviers de l’optimisation temps réel.</w:t>
      </w:r>
    </w:p>
    <w:p w14:paraId="2892A3BC" w14:textId="07F1F544" w:rsidR="0069617F" w:rsidRDefault="0069617F" w:rsidP="0069617F">
      <w:pPr>
        <w:autoSpaceDE w:val="0"/>
        <w:autoSpaceDN w:val="0"/>
        <w:adjustRightInd w:val="0"/>
        <w:spacing w:after="0"/>
        <w:rPr>
          <w:rFonts w:ascii="CIDFont+F1" w:hAnsi="CIDFont+F1" w:cs="CIDFont+F1"/>
        </w:rPr>
      </w:pPr>
      <w:r w:rsidRPr="0069617F">
        <w:rPr>
          <w:rFonts w:ascii="CIDFont+F1" w:hAnsi="CIDFont+F1" w:cs="CIDFont+F1"/>
        </w:rPr>
        <w:t>Une attention particulière sera apportée aux technologies à fort poten</w:t>
      </w:r>
      <w:r>
        <w:rPr>
          <w:rFonts w:ascii="CIDFont+F1" w:hAnsi="CIDFont+F1" w:cs="CIDFont+F1"/>
        </w:rPr>
        <w:t>tiel d’export, pour lesquels la</w:t>
      </w:r>
      <w:r w:rsidR="00C859B1">
        <w:rPr>
          <w:rFonts w:ascii="CIDFont+F1" w:hAnsi="CIDFont+F1" w:cs="CIDFont+F1"/>
        </w:rPr>
        <w:t xml:space="preserve"> </w:t>
      </w:r>
      <w:r w:rsidRPr="0069617F">
        <w:rPr>
          <w:rFonts w:ascii="CIDFont+F1" w:hAnsi="CIDFont+F1" w:cs="CIDFont+F1"/>
        </w:rPr>
        <w:t xml:space="preserve">diminution </w:t>
      </w:r>
      <w:r w:rsidR="00517431">
        <w:rPr>
          <w:rFonts w:ascii="CIDFont+F1" w:hAnsi="CIDFont+F1" w:cs="CIDFont+F1"/>
        </w:rPr>
        <w:t>des délais de commercialisation</w:t>
      </w:r>
      <w:r w:rsidRPr="0069617F">
        <w:rPr>
          <w:rFonts w:ascii="CIDFont+F1" w:hAnsi="CIDFont+F1" w:cs="CIDFont+F1"/>
        </w:rPr>
        <w:t xml:space="preserve"> permettrait de donner un avantage à la fil</w:t>
      </w:r>
      <w:r w:rsidR="001E2116">
        <w:rPr>
          <w:rFonts w:ascii="CIDFont+F1" w:hAnsi="CIDFont+F1" w:cs="CIDFont+F1"/>
        </w:rPr>
        <w:t>ière française</w:t>
      </w:r>
      <w:r w:rsidR="00915B7D">
        <w:rPr>
          <w:rFonts w:ascii="CIDFont+F1" w:hAnsi="CIDFont+F1" w:cs="CIDFont+F1"/>
        </w:rPr>
        <w:t>.</w:t>
      </w:r>
    </w:p>
    <w:p w14:paraId="1CA01D4B" w14:textId="77777777" w:rsidR="0069617F" w:rsidRPr="0069617F" w:rsidRDefault="0069617F" w:rsidP="0069617F">
      <w:pPr>
        <w:autoSpaceDE w:val="0"/>
        <w:autoSpaceDN w:val="0"/>
        <w:adjustRightInd w:val="0"/>
        <w:spacing w:after="0"/>
        <w:rPr>
          <w:rFonts w:ascii="CIDFont+F1" w:hAnsi="CIDFont+F1" w:cs="CIDFont+F1"/>
        </w:rPr>
      </w:pPr>
    </w:p>
    <w:p w14:paraId="4590905A" w14:textId="43BD4CCD" w:rsidR="006C1B3C" w:rsidRDefault="0049154D" w:rsidP="00012201">
      <w:pPr>
        <w:pStyle w:val="Paragraphedeliste"/>
        <w:numPr>
          <w:ilvl w:val="0"/>
          <w:numId w:val="41"/>
        </w:numPr>
        <w:autoSpaceDE w:val="0"/>
        <w:autoSpaceDN w:val="0"/>
        <w:adjustRightInd w:val="0"/>
        <w:rPr>
          <w:rFonts w:ascii="CIDFont+F1" w:hAnsi="CIDFont+F1" w:cs="CIDFont+F1"/>
        </w:rPr>
      </w:pPr>
      <w:r>
        <w:rPr>
          <w:rFonts w:ascii="CIDFont+F1" w:hAnsi="CIDFont+F1" w:cs="CIDFont+F1"/>
        </w:rPr>
        <w:t>Optimisation des</w:t>
      </w:r>
      <w:r w:rsidR="0069617F" w:rsidRPr="0069617F">
        <w:rPr>
          <w:rFonts w:ascii="CIDFont+F1" w:hAnsi="CIDFont+F1" w:cs="CIDFont+F1"/>
        </w:rPr>
        <w:t xml:space="preserve"> infrastructures</w:t>
      </w:r>
    </w:p>
    <w:p w14:paraId="55FE98D2" w14:textId="77777777" w:rsidR="0069617F" w:rsidRDefault="0069617F" w:rsidP="006E14EE">
      <w:pPr>
        <w:autoSpaceDE w:val="0"/>
        <w:autoSpaceDN w:val="0"/>
        <w:adjustRightInd w:val="0"/>
        <w:rPr>
          <w:rFonts w:ascii="CIDFont+F1" w:hAnsi="CIDFont+F1" w:cs="CIDFont+F1"/>
        </w:rPr>
      </w:pPr>
      <w:r>
        <w:rPr>
          <w:rFonts w:ascii="CIDFont+F1" w:hAnsi="CIDFont+F1" w:cs="CIDFont+F1"/>
        </w:rPr>
        <w:t>Cet axe s’attachera à soutenir le développement de solutions innovantes permettant :</w:t>
      </w:r>
    </w:p>
    <w:p w14:paraId="23399F1C" w14:textId="77C55248" w:rsidR="0069617F" w:rsidRPr="0069617F" w:rsidRDefault="0069617F" w:rsidP="00012201">
      <w:pPr>
        <w:pStyle w:val="Paragraphedeliste"/>
        <w:numPr>
          <w:ilvl w:val="1"/>
          <w:numId w:val="41"/>
        </w:numPr>
        <w:autoSpaceDE w:val="0"/>
        <w:autoSpaceDN w:val="0"/>
        <w:adjustRightInd w:val="0"/>
        <w:spacing w:after="0"/>
        <w:rPr>
          <w:rFonts w:ascii="CIDFont+F1" w:hAnsi="CIDFont+F1" w:cs="CIDFont+F1"/>
        </w:rPr>
      </w:pPr>
      <w:r>
        <w:rPr>
          <w:rFonts w:ascii="CIDFont+F1" w:hAnsi="CIDFont+F1" w:cs="CIDFont+F1"/>
        </w:rPr>
        <w:t xml:space="preserve">D’améliorer </w:t>
      </w:r>
      <w:r w:rsidR="00441BDF">
        <w:rPr>
          <w:rFonts w:ascii="CIDFont+F1" w:hAnsi="CIDFont+F1" w:cs="CIDFont+F1"/>
        </w:rPr>
        <w:t xml:space="preserve">pour l’ensemble des acteurs, publics et privés, </w:t>
      </w:r>
      <w:r>
        <w:rPr>
          <w:rFonts w:ascii="CIDFont+F1" w:hAnsi="CIDFont+F1" w:cs="CIDFont+F1"/>
        </w:rPr>
        <w:t>la m</w:t>
      </w:r>
      <w:r w:rsidRPr="0069617F">
        <w:rPr>
          <w:rFonts w:ascii="CIDFont+F1" w:hAnsi="CIDFont+F1" w:cs="CIDFont+F1"/>
        </w:rPr>
        <w:t>odélisation et</w:t>
      </w:r>
      <w:r w:rsidR="00324020">
        <w:rPr>
          <w:rFonts w:ascii="CIDFont+F1" w:hAnsi="CIDFont+F1" w:cs="CIDFont+F1"/>
        </w:rPr>
        <w:t xml:space="preserve"> la</w:t>
      </w:r>
      <w:r w:rsidRPr="0069617F">
        <w:rPr>
          <w:rFonts w:ascii="CIDFont+F1" w:hAnsi="CIDFont+F1" w:cs="CIDFont+F1"/>
        </w:rPr>
        <w:t xml:space="preserve"> planification</w:t>
      </w:r>
      <w:r w:rsidR="00324020">
        <w:rPr>
          <w:rFonts w:ascii="CIDFont+F1" w:hAnsi="CIDFont+F1" w:cs="CIDFont+F1"/>
        </w:rPr>
        <w:t xml:space="preserve"> </w:t>
      </w:r>
      <w:r w:rsidR="00A705AD">
        <w:rPr>
          <w:rFonts w:ascii="CIDFont+F1" w:hAnsi="CIDFont+F1" w:cs="CIDFont+F1"/>
        </w:rPr>
        <w:t>des infrastructures,</w:t>
      </w:r>
      <w:r w:rsidR="00DF553F">
        <w:rPr>
          <w:rFonts w:ascii="CIDFont+F1" w:hAnsi="CIDFont+F1" w:cs="CIDFont+F1"/>
        </w:rPr>
        <w:t xml:space="preserve"> de la production, de la demande et de </w:t>
      </w:r>
      <w:r w:rsidR="00C04157">
        <w:rPr>
          <w:rFonts w:ascii="CIDFont+F1" w:hAnsi="CIDFont+F1" w:cs="CIDFont+F1"/>
        </w:rPr>
        <w:t xml:space="preserve">la </w:t>
      </w:r>
      <w:r w:rsidR="00DF553F">
        <w:rPr>
          <w:rFonts w:ascii="CIDFont+F1" w:hAnsi="CIDFont+F1" w:cs="CIDFont+F1"/>
        </w:rPr>
        <w:t>flexibilité du système énergétique,</w:t>
      </w:r>
      <w:r w:rsidR="00324020">
        <w:rPr>
          <w:rFonts w:ascii="CIDFont+F1" w:hAnsi="CIDFont+F1" w:cs="CIDFont+F1"/>
        </w:rPr>
        <w:t xml:space="preserve"> à des pas de temps et des échelles géographiques</w:t>
      </w:r>
      <w:r w:rsidR="00C04157">
        <w:rPr>
          <w:rFonts w:ascii="CIDFont+F1" w:hAnsi="CIDFont+F1" w:cs="CIDFont+F1"/>
        </w:rPr>
        <w:t xml:space="preserve"> variés </w:t>
      </w:r>
      <w:r>
        <w:rPr>
          <w:rFonts w:ascii="CIDFont+F1" w:hAnsi="CIDFont+F1" w:cs="CIDFont+F1"/>
        </w:rPr>
        <w:t>;</w:t>
      </w:r>
    </w:p>
    <w:p w14:paraId="7499C172" w14:textId="31E64E88" w:rsidR="0069617F" w:rsidRDefault="0069617F" w:rsidP="00012201">
      <w:pPr>
        <w:pStyle w:val="Paragraphedeliste"/>
        <w:numPr>
          <w:ilvl w:val="1"/>
          <w:numId w:val="41"/>
        </w:numPr>
        <w:autoSpaceDE w:val="0"/>
        <w:autoSpaceDN w:val="0"/>
        <w:adjustRightInd w:val="0"/>
        <w:spacing w:after="0"/>
        <w:rPr>
          <w:rFonts w:ascii="CIDFont+F1" w:hAnsi="CIDFont+F1" w:cs="CIDFont+F1"/>
        </w:rPr>
      </w:pPr>
      <w:r>
        <w:rPr>
          <w:rFonts w:ascii="CIDFont+F1" w:hAnsi="CIDFont+F1" w:cs="CIDFont+F1"/>
        </w:rPr>
        <w:t>D</w:t>
      </w:r>
      <w:r w:rsidR="00DF553F">
        <w:rPr>
          <w:rFonts w:ascii="CIDFont+F1" w:hAnsi="CIDFont+F1" w:cs="CIDFont+F1"/>
        </w:rPr>
        <w:t>’améliorer</w:t>
      </w:r>
      <w:r>
        <w:rPr>
          <w:rFonts w:ascii="CIDFont+F1" w:hAnsi="CIDFont+F1" w:cs="CIDFont+F1"/>
        </w:rPr>
        <w:t xml:space="preserve"> le couplage sectoriel</w:t>
      </w:r>
      <w:r w:rsidR="00324020">
        <w:rPr>
          <w:rFonts w:ascii="CIDFont+F1" w:hAnsi="CIDFont+F1" w:cs="CIDFont+F1"/>
        </w:rPr>
        <w:t>,</w:t>
      </w:r>
      <w:r>
        <w:rPr>
          <w:rFonts w:ascii="CIDFont+F1" w:hAnsi="CIDFont+F1" w:cs="CIDFont+F1"/>
        </w:rPr>
        <w:t xml:space="preserve"> </w:t>
      </w:r>
      <w:r w:rsidRPr="0069617F">
        <w:rPr>
          <w:rFonts w:ascii="CIDFont+F1" w:hAnsi="CIDFont+F1" w:cs="CIDFont+F1"/>
        </w:rPr>
        <w:t>c’est-à-dire</w:t>
      </w:r>
      <w:r>
        <w:rPr>
          <w:rFonts w:ascii="CIDFont+F1" w:hAnsi="CIDFont+F1" w:cs="CIDFont+F1"/>
        </w:rPr>
        <w:t xml:space="preserve"> </w:t>
      </w:r>
      <w:r w:rsidRPr="0069617F">
        <w:rPr>
          <w:rFonts w:ascii="CIDFont+F1" w:hAnsi="CIDFont+F1" w:cs="CIDFont+F1"/>
        </w:rPr>
        <w:t xml:space="preserve">l’interaction entre plusieurs </w:t>
      </w:r>
      <w:r w:rsidR="00323F89">
        <w:rPr>
          <w:rFonts w:ascii="CIDFont+F1" w:hAnsi="CIDFont+F1" w:cs="CIDFont+F1"/>
        </w:rPr>
        <w:t>« </w:t>
      </w:r>
      <w:r w:rsidRPr="0069617F">
        <w:rPr>
          <w:rFonts w:ascii="CIDFont+F1" w:hAnsi="CIDFont+F1" w:cs="CIDFont+F1"/>
        </w:rPr>
        <w:t>fluides énergétiques</w:t>
      </w:r>
      <w:r w:rsidR="00323F89">
        <w:rPr>
          <w:rFonts w:ascii="CIDFont+F1" w:hAnsi="CIDFont+F1" w:cs="CIDFont+F1"/>
        </w:rPr>
        <w:t> »</w:t>
      </w:r>
      <w:r w:rsidRPr="0069617F">
        <w:rPr>
          <w:rFonts w:ascii="CIDFont+F1" w:hAnsi="CIDFont+F1" w:cs="CIDFont+F1"/>
        </w:rPr>
        <w:t xml:space="preserve"> (électricité, gaz, chaleur / froid</w:t>
      </w:r>
      <w:r w:rsidR="00323F89">
        <w:rPr>
          <w:rFonts w:ascii="CIDFont+F1" w:hAnsi="CIDFont+F1" w:cs="CIDFont+F1"/>
        </w:rPr>
        <w:t>, eau</w:t>
      </w:r>
      <w:r w:rsidRPr="0069617F">
        <w:rPr>
          <w:rFonts w:ascii="CIDFont+F1" w:hAnsi="CIDFont+F1" w:cs="CIDFont+F1"/>
        </w:rPr>
        <w:t>)</w:t>
      </w:r>
      <w:r w:rsidR="00324020">
        <w:rPr>
          <w:rFonts w:ascii="CIDFont+F1" w:hAnsi="CIDFont+F1" w:cs="CIDFont+F1"/>
        </w:rPr>
        <w:t>,</w:t>
      </w:r>
      <w:r w:rsidRPr="0069617F">
        <w:rPr>
          <w:rFonts w:ascii="CIDFont+F1" w:hAnsi="CIDFont+F1" w:cs="CIDFont+F1"/>
        </w:rPr>
        <w:t xml:space="preserve"> à des fins de</w:t>
      </w:r>
      <w:r>
        <w:rPr>
          <w:rFonts w:ascii="CIDFont+F1" w:hAnsi="CIDFont+F1" w:cs="CIDFont+F1"/>
        </w:rPr>
        <w:t xml:space="preserve"> </w:t>
      </w:r>
      <w:r w:rsidRPr="0069617F">
        <w:rPr>
          <w:rFonts w:ascii="CIDFont+F1" w:hAnsi="CIDFont+F1" w:cs="CIDFont+F1"/>
        </w:rPr>
        <w:t xml:space="preserve">flexibilité, d’équilibrage entre l’offre et la demande, ou </w:t>
      </w:r>
      <w:r w:rsidR="00C04157">
        <w:rPr>
          <w:rFonts w:ascii="CIDFont+F1" w:hAnsi="CIDFont+F1" w:cs="CIDFont+F1"/>
        </w:rPr>
        <w:t>d</w:t>
      </w:r>
      <w:r w:rsidRPr="0069617F">
        <w:rPr>
          <w:rFonts w:ascii="CIDFont+F1" w:hAnsi="CIDFont+F1" w:cs="CIDFont+F1"/>
        </w:rPr>
        <w:t>’efficacité de l’utilisation de</w:t>
      </w:r>
      <w:r w:rsidR="00C04157">
        <w:rPr>
          <w:rFonts w:ascii="CIDFont+F1" w:hAnsi="CIDFont+F1" w:cs="CIDFont+F1"/>
        </w:rPr>
        <w:t>s</w:t>
      </w:r>
      <w:r>
        <w:rPr>
          <w:rFonts w:ascii="CIDFont+F1" w:hAnsi="CIDFont+F1" w:cs="CIDFont+F1"/>
        </w:rPr>
        <w:t xml:space="preserve"> ressources énergétiques locales ;</w:t>
      </w:r>
    </w:p>
    <w:p w14:paraId="499F2F2B" w14:textId="2C6E1C1B" w:rsidR="0069617F" w:rsidRDefault="00DF553F" w:rsidP="00012201">
      <w:pPr>
        <w:pStyle w:val="Paragraphedeliste"/>
        <w:numPr>
          <w:ilvl w:val="1"/>
          <w:numId w:val="41"/>
        </w:numPr>
        <w:autoSpaceDE w:val="0"/>
        <w:autoSpaceDN w:val="0"/>
        <w:adjustRightInd w:val="0"/>
        <w:spacing w:after="0"/>
        <w:rPr>
          <w:rFonts w:ascii="CIDFont+F1" w:hAnsi="CIDFont+F1" w:cs="CIDFont+F1"/>
        </w:rPr>
      </w:pPr>
      <w:r>
        <w:rPr>
          <w:rFonts w:ascii="CIDFont+F1" w:hAnsi="CIDFont+F1" w:cs="CIDFont+F1"/>
        </w:rPr>
        <w:t>D’améliorer grâce à des équipements innovants la performance des</w:t>
      </w:r>
      <w:r w:rsidR="000E2891">
        <w:rPr>
          <w:rFonts w:ascii="CIDFont+F1" w:hAnsi="CIDFont+F1" w:cs="CIDFont+F1"/>
        </w:rPr>
        <w:t xml:space="preserve"> </w:t>
      </w:r>
      <w:r w:rsidR="0069617F">
        <w:rPr>
          <w:rFonts w:ascii="CIDFont+F1" w:hAnsi="CIDFont+F1" w:cs="CIDFont+F1"/>
        </w:rPr>
        <w:t>réseaux ;</w:t>
      </w:r>
    </w:p>
    <w:p w14:paraId="1C9EA941" w14:textId="77777777" w:rsidR="00E23275" w:rsidRDefault="00E23275" w:rsidP="00E23275">
      <w:pPr>
        <w:pStyle w:val="Paragraphedeliste"/>
        <w:autoSpaceDE w:val="0"/>
        <w:autoSpaceDN w:val="0"/>
        <w:adjustRightInd w:val="0"/>
        <w:spacing w:before="120" w:after="0"/>
        <w:ind w:left="1077"/>
        <w:rPr>
          <w:rFonts w:ascii="CIDFont+F1" w:hAnsi="CIDFont+F1" w:cs="CIDFont+F1"/>
        </w:rPr>
      </w:pPr>
    </w:p>
    <w:p w14:paraId="0DCFD0EC" w14:textId="6684EE4E" w:rsidR="00E23275" w:rsidRPr="00E23275" w:rsidRDefault="0049154D" w:rsidP="00012201">
      <w:pPr>
        <w:pStyle w:val="Paragraphedeliste"/>
        <w:numPr>
          <w:ilvl w:val="0"/>
          <w:numId w:val="41"/>
        </w:numPr>
        <w:autoSpaceDE w:val="0"/>
        <w:autoSpaceDN w:val="0"/>
        <w:adjustRightInd w:val="0"/>
        <w:spacing w:before="120"/>
        <w:ind w:left="1077" w:hanging="357"/>
        <w:rPr>
          <w:rFonts w:ascii="CIDFont+F1" w:hAnsi="CIDFont+F1" w:cs="CIDFont+F1"/>
        </w:rPr>
      </w:pPr>
      <w:r>
        <w:rPr>
          <w:rFonts w:ascii="CIDFont+F1" w:hAnsi="CIDFont+F1" w:cs="CIDFont+F1"/>
        </w:rPr>
        <w:t>Développement des</w:t>
      </w:r>
      <w:r w:rsidR="00E23275" w:rsidRPr="00E23275">
        <w:rPr>
          <w:rFonts w:ascii="CIDFont+F1" w:hAnsi="CIDFont+F1" w:cs="CIDFont+F1"/>
        </w:rPr>
        <w:t xml:space="preserve"> leviers de l’optimisation temps réel</w:t>
      </w:r>
    </w:p>
    <w:p w14:paraId="788EAAF3" w14:textId="282302C3" w:rsidR="00E23275" w:rsidRDefault="00E23275" w:rsidP="00E23275">
      <w:pPr>
        <w:autoSpaceDE w:val="0"/>
        <w:autoSpaceDN w:val="0"/>
        <w:adjustRightInd w:val="0"/>
        <w:spacing w:after="0"/>
        <w:rPr>
          <w:rFonts w:ascii="CIDFont+F1" w:hAnsi="CIDFont+F1" w:cs="CIDFont+F1"/>
        </w:rPr>
      </w:pPr>
      <w:r w:rsidRPr="00E23275">
        <w:rPr>
          <w:rFonts w:ascii="CIDFont+F1" w:hAnsi="CIDFont+F1" w:cs="CIDFont+F1"/>
        </w:rPr>
        <w:t>Au-delà de l’anticipation des besoins en infrastructures, la performance du système énergétique de</w:t>
      </w:r>
      <w:r>
        <w:rPr>
          <w:rFonts w:ascii="CIDFont+F1" w:hAnsi="CIDFont+F1" w:cs="CIDFont+F1"/>
        </w:rPr>
        <w:t xml:space="preserve"> </w:t>
      </w:r>
      <w:r w:rsidRPr="00E23275">
        <w:rPr>
          <w:rFonts w:ascii="CIDFont+F1" w:hAnsi="CIDFont+F1" w:cs="CIDFont+F1"/>
        </w:rPr>
        <w:t xml:space="preserve">demain reposera grandement sur la capacité des différents acteurs à </w:t>
      </w:r>
      <w:r w:rsidR="00BD1B9E">
        <w:rPr>
          <w:rFonts w:ascii="CIDFont+F1" w:hAnsi="CIDFont+F1" w:cs="CIDFont+F1"/>
        </w:rPr>
        <w:t>le piloter</w:t>
      </w:r>
      <w:r w:rsidRPr="00E23275">
        <w:rPr>
          <w:rFonts w:ascii="CIDFont+F1" w:hAnsi="CIDFont+F1" w:cs="CIDFont+F1"/>
        </w:rPr>
        <w:t>, notamment dans un contexte</w:t>
      </w:r>
      <w:r>
        <w:rPr>
          <w:rFonts w:ascii="CIDFont+F1" w:hAnsi="CIDFont+F1" w:cs="CIDFont+F1"/>
        </w:rPr>
        <w:t xml:space="preserve"> </w:t>
      </w:r>
      <w:r w:rsidRPr="00E23275">
        <w:rPr>
          <w:rFonts w:ascii="CIDFont+F1" w:hAnsi="CIDFont+F1" w:cs="CIDFont+F1"/>
        </w:rPr>
        <w:t xml:space="preserve">de part croissante des </w:t>
      </w:r>
      <w:r w:rsidR="0033660A">
        <w:rPr>
          <w:rFonts w:ascii="CIDFont+F1" w:hAnsi="CIDFont+F1" w:cs="CIDFont+F1"/>
        </w:rPr>
        <w:t>énergies renouvelables</w:t>
      </w:r>
      <w:r w:rsidR="0033660A" w:rsidRPr="00E23275">
        <w:rPr>
          <w:rFonts w:ascii="CIDFont+F1" w:hAnsi="CIDFont+F1" w:cs="CIDFont+F1"/>
        </w:rPr>
        <w:t xml:space="preserve"> </w:t>
      </w:r>
      <w:r w:rsidRPr="00E23275">
        <w:rPr>
          <w:rFonts w:ascii="CIDFont+F1" w:hAnsi="CIDFont+F1" w:cs="CIDFont+F1"/>
        </w:rPr>
        <w:t>variables. Les solutions s’appuieront massivement sur des outils</w:t>
      </w:r>
      <w:r>
        <w:rPr>
          <w:rFonts w:ascii="CIDFont+F1" w:hAnsi="CIDFont+F1" w:cs="CIDFont+F1"/>
        </w:rPr>
        <w:t xml:space="preserve"> </w:t>
      </w:r>
      <w:r w:rsidRPr="00E23275">
        <w:rPr>
          <w:rFonts w:ascii="CIDFont+F1" w:hAnsi="CIDFont+F1" w:cs="CIDFont+F1"/>
        </w:rPr>
        <w:t>numériques et automatisés qui restent encore largement à développer</w:t>
      </w:r>
      <w:r w:rsidR="0033660A">
        <w:rPr>
          <w:rFonts w:ascii="CIDFont+F1" w:hAnsi="CIDFont+F1" w:cs="CIDFont+F1"/>
        </w:rPr>
        <w:t>. Cet axe visera notamment le développement :</w:t>
      </w:r>
    </w:p>
    <w:p w14:paraId="1441157B" w14:textId="06B4A893" w:rsidR="00E23275" w:rsidRDefault="0033660A" w:rsidP="00012201">
      <w:pPr>
        <w:pStyle w:val="Paragraphedeliste"/>
        <w:numPr>
          <w:ilvl w:val="1"/>
          <w:numId w:val="41"/>
        </w:numPr>
        <w:autoSpaceDE w:val="0"/>
        <w:autoSpaceDN w:val="0"/>
        <w:adjustRightInd w:val="0"/>
        <w:spacing w:after="0"/>
        <w:rPr>
          <w:rFonts w:ascii="CIDFont+F1" w:hAnsi="CIDFont+F1" w:cs="CIDFont+F1"/>
        </w:rPr>
      </w:pPr>
      <w:r>
        <w:rPr>
          <w:rFonts w:ascii="CIDFont+F1" w:hAnsi="CIDFont+F1" w:cs="CIDFont+F1"/>
        </w:rPr>
        <w:t>D’o</w:t>
      </w:r>
      <w:r w:rsidR="00E23275">
        <w:rPr>
          <w:rFonts w:ascii="CIDFont+F1" w:hAnsi="CIDFont+F1" w:cs="CIDFont+F1"/>
        </w:rPr>
        <w:t>utils de pilotage du système électrique </w:t>
      </w:r>
      <w:r w:rsidR="00C14EFD">
        <w:rPr>
          <w:rFonts w:ascii="CIDFont+F1" w:hAnsi="CIDFont+F1" w:cs="CIDFont+F1"/>
        </w:rPr>
        <w:t>de demain</w:t>
      </w:r>
      <w:r w:rsidR="00E23275">
        <w:rPr>
          <w:rFonts w:ascii="CIDFont+F1" w:hAnsi="CIDFont+F1" w:cs="CIDFont+F1"/>
        </w:rPr>
        <w:t>;</w:t>
      </w:r>
    </w:p>
    <w:p w14:paraId="1FE1C410" w14:textId="77777777" w:rsidR="00E23275" w:rsidRDefault="0033660A" w:rsidP="00012201">
      <w:pPr>
        <w:pStyle w:val="Paragraphedeliste"/>
        <w:numPr>
          <w:ilvl w:val="1"/>
          <w:numId w:val="41"/>
        </w:numPr>
        <w:autoSpaceDE w:val="0"/>
        <w:autoSpaceDN w:val="0"/>
        <w:adjustRightInd w:val="0"/>
        <w:spacing w:after="0"/>
        <w:rPr>
          <w:rFonts w:ascii="CIDFont+F1" w:hAnsi="CIDFont+F1" w:cs="CIDFont+F1"/>
        </w:rPr>
      </w:pPr>
      <w:r>
        <w:rPr>
          <w:rFonts w:ascii="CIDFont+F1" w:hAnsi="CIDFont+F1" w:cs="CIDFont+F1"/>
        </w:rPr>
        <w:t>D’</w:t>
      </w:r>
      <w:r w:rsidR="00E23275">
        <w:rPr>
          <w:rFonts w:ascii="CIDFont+F1" w:hAnsi="CIDFont+F1" w:cs="CIDFont+F1"/>
        </w:rPr>
        <w:t xml:space="preserve">équipements d’électronique de puissance </w:t>
      </w:r>
      <w:r w:rsidR="00F72F6F">
        <w:rPr>
          <w:rFonts w:ascii="CIDFont+F1" w:hAnsi="CIDFont+F1" w:cs="CIDFont+F1"/>
        </w:rPr>
        <w:t>permettant de s’affranchir de la stabilité apportée par les moyens de production conventionnel</w:t>
      </w:r>
      <w:r w:rsidR="00262D72">
        <w:rPr>
          <w:rFonts w:ascii="CIDFont+F1" w:hAnsi="CIDFont+F1" w:cs="CIDFont+F1"/>
        </w:rPr>
        <w:t>s</w:t>
      </w:r>
      <w:r w:rsidR="00E23275">
        <w:rPr>
          <w:rFonts w:ascii="CIDFont+F1" w:hAnsi="CIDFont+F1" w:cs="CIDFont+F1"/>
        </w:rPr>
        <w:t> ;</w:t>
      </w:r>
    </w:p>
    <w:p w14:paraId="332B4C04" w14:textId="00FFC2D1" w:rsidR="00E23275" w:rsidRDefault="0033660A" w:rsidP="00012201">
      <w:pPr>
        <w:pStyle w:val="Paragraphedeliste"/>
        <w:numPr>
          <w:ilvl w:val="1"/>
          <w:numId w:val="41"/>
        </w:numPr>
        <w:autoSpaceDE w:val="0"/>
        <w:autoSpaceDN w:val="0"/>
        <w:adjustRightInd w:val="0"/>
        <w:spacing w:after="0"/>
        <w:rPr>
          <w:rFonts w:ascii="CIDFont+F1" w:hAnsi="CIDFont+F1" w:cs="CIDFont+F1"/>
        </w:rPr>
      </w:pPr>
      <w:r>
        <w:rPr>
          <w:rFonts w:ascii="CIDFont+F1" w:hAnsi="CIDFont+F1" w:cs="CIDFont+F1"/>
        </w:rPr>
        <w:t>De d</w:t>
      </w:r>
      <w:r w:rsidR="001A223A">
        <w:rPr>
          <w:rFonts w:ascii="CIDFont+F1" w:hAnsi="CIDFont+F1" w:cs="CIDFont+F1"/>
        </w:rPr>
        <w:t xml:space="preserve">ispositifs </w:t>
      </w:r>
      <w:r w:rsidR="00BD1B9E">
        <w:rPr>
          <w:rFonts w:ascii="CIDFont+F1" w:hAnsi="CIDFont+F1" w:cs="CIDFont+F1"/>
        </w:rPr>
        <w:t xml:space="preserve">et de solutions numériques </w:t>
      </w:r>
      <w:r w:rsidR="001A223A">
        <w:rPr>
          <w:rFonts w:ascii="CIDFont+F1" w:hAnsi="CIDFont+F1" w:cs="CIDFont+F1"/>
        </w:rPr>
        <w:t>permettant la massification des flexibilité diffuses</w:t>
      </w:r>
      <w:r w:rsidR="00F72F6F">
        <w:rPr>
          <w:rFonts w:ascii="CIDFont+F1" w:hAnsi="CIDFont+F1" w:cs="CIDFont+F1"/>
        </w:rPr>
        <w:t xml:space="preserve"> à coût maitrisé</w:t>
      </w:r>
      <w:r w:rsidR="001A223A">
        <w:rPr>
          <w:rFonts w:ascii="CIDFont+F1" w:hAnsi="CIDFont+F1" w:cs="CIDFont+F1"/>
        </w:rPr>
        <w:t>.</w:t>
      </w:r>
    </w:p>
    <w:p w14:paraId="46670B22" w14:textId="77777777" w:rsidR="003B0747" w:rsidRDefault="003B0747" w:rsidP="003B0747">
      <w:pPr>
        <w:pStyle w:val="Paragraphedeliste"/>
        <w:autoSpaceDE w:val="0"/>
        <w:autoSpaceDN w:val="0"/>
        <w:adjustRightInd w:val="0"/>
        <w:spacing w:after="0"/>
        <w:ind w:left="1800"/>
        <w:rPr>
          <w:rFonts w:ascii="CIDFont+F1" w:hAnsi="CIDFont+F1" w:cs="CIDFont+F1"/>
        </w:rPr>
      </w:pPr>
    </w:p>
    <w:p w14:paraId="087DDE4C" w14:textId="77777777" w:rsidR="00ED1B68" w:rsidRDefault="00ED1B68" w:rsidP="00ED1B68">
      <w:pPr>
        <w:pStyle w:val="Titre1"/>
        <w:numPr>
          <w:ilvl w:val="0"/>
          <w:numId w:val="0"/>
        </w:numPr>
        <w:spacing w:before="0" w:after="120" w:line="240" w:lineRule="auto"/>
        <w:ind w:left="432"/>
      </w:pPr>
      <w:bookmarkStart w:id="7" w:name="_Toc429412718"/>
      <w:bookmarkStart w:id="8" w:name="_Toc429412719"/>
      <w:bookmarkStart w:id="9" w:name="_Toc408561622"/>
      <w:bookmarkStart w:id="10" w:name="_Toc429412720"/>
      <w:bookmarkStart w:id="11" w:name="_Toc499646230"/>
      <w:bookmarkEnd w:id="7"/>
      <w:bookmarkEnd w:id="8"/>
      <w:bookmarkEnd w:id="9"/>
      <w:bookmarkEnd w:id="10"/>
      <w:bookmarkEnd w:id="11"/>
    </w:p>
    <w:p w14:paraId="446CD5D6" w14:textId="1C2A5BBC" w:rsidR="00EB0D03" w:rsidRPr="006E14EE" w:rsidRDefault="00ED1B68" w:rsidP="00ED1B68">
      <w:pPr>
        <w:pStyle w:val="Titre1"/>
        <w:spacing w:before="0" w:after="120" w:line="240" w:lineRule="auto"/>
      </w:pPr>
      <w:bookmarkStart w:id="12" w:name="_Toc95317880"/>
      <w:r>
        <w:t>Processus Global de l’AAP</w:t>
      </w:r>
      <w:bookmarkEnd w:id="12"/>
    </w:p>
    <w:p w14:paraId="1E543A9A" w14:textId="77777777" w:rsidR="00EB0D03" w:rsidRDefault="00EB0D03">
      <w:pPr>
        <w:spacing w:before="120" w:after="180"/>
      </w:pPr>
    </w:p>
    <w:p w14:paraId="2058E0D7" w14:textId="76507E3D" w:rsidR="00EB0D03" w:rsidRDefault="004D2E04">
      <w:pPr>
        <w:spacing w:before="120" w:after="180"/>
      </w:pPr>
      <w:r>
        <w:t xml:space="preserve">Le processus de traitement d’un dossier comprend plusieurs étapes : le pré-dépôt, le dépôt, la décision de financement et la contractualisation du projet. </w:t>
      </w:r>
    </w:p>
    <w:p w14:paraId="0CB6691B" w14:textId="1AB9D0B4" w:rsidR="00EB0D03" w:rsidRDefault="004D2E04">
      <w:r>
        <w:rPr>
          <w:noProof/>
        </w:rPr>
        <mc:AlternateContent>
          <mc:Choice Requires="wpg">
            <w:drawing>
              <wp:inline distT="0" distB="0" distL="0" distR="0" wp14:anchorId="55E32954" wp14:editId="06B5561C">
                <wp:extent cx="5759450" cy="963295"/>
                <wp:effectExtent l="0" t="0" r="0" b="0"/>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pic:cNvPicPr>
                      </pic:nvPicPr>
                      <pic:blipFill>
                        <a:blip r:embed="rId11"/>
                        <a:stretch/>
                      </pic:blipFill>
                      <pic:spPr bwMode="auto">
                        <a:xfrm>
                          <a:off x="0" y="0"/>
                          <a:ext cx="5759449" cy="963294"/>
                        </a:xfrm>
                        <a:prstGeom prst="rect">
                          <a:avLst/>
                        </a:prstGeom>
                        <a:noFill/>
                        <a:ln w="9525">
                          <a:noFill/>
                          <a:miter/>
                          <a:headEnd/>
                          <a:tailEnd/>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mso-wrap-distance-left:0.0pt;mso-wrap-distance-top:0.0pt;mso-wrap-distance-right:0.0pt;mso-wrap-distance-bottom:0.0pt;width:453.5pt;height:75.8pt;" strokeweight="0.75pt">
                <v:path textboxrect="0,0,0,0"/>
                <v:imagedata r:id="rId32" o:title=""/>
              </v:shape>
            </w:pict>
          </mc:Fallback>
        </mc:AlternateContent>
      </w:r>
    </w:p>
    <w:p w14:paraId="4CEAF1D9" w14:textId="77777777" w:rsidR="006A5AD4" w:rsidRDefault="006A5AD4" w:rsidP="006A5AD4">
      <w:pPr>
        <w:pStyle w:val="Titre3"/>
        <w:numPr>
          <w:ilvl w:val="0"/>
          <w:numId w:val="0"/>
        </w:numPr>
        <w:ind w:left="720"/>
      </w:pPr>
    </w:p>
    <w:p w14:paraId="6C4CDEC8" w14:textId="6DDBC977" w:rsidR="006E14EE" w:rsidRPr="00A914B2" w:rsidRDefault="00FF461F" w:rsidP="006E14EE">
      <w:pPr>
        <w:pStyle w:val="Titre2"/>
        <w:keepLines/>
        <w:spacing w:before="280" w:line="240" w:lineRule="auto"/>
        <w:ind w:left="0" w:firstLine="0"/>
        <w:jc w:val="left"/>
        <w:rPr>
          <w:caps/>
        </w:rPr>
      </w:pPr>
      <w:bookmarkStart w:id="13" w:name="_Toc95317881"/>
      <w:r>
        <w:rPr>
          <w:caps/>
        </w:rPr>
        <w:t>P</w:t>
      </w:r>
      <w:r>
        <w:t>ré-dépôt et dépôt</w:t>
      </w:r>
      <w:bookmarkEnd w:id="13"/>
    </w:p>
    <w:p w14:paraId="5C0B8D66" w14:textId="4B739709" w:rsidR="00EB0D03" w:rsidRPr="00A914B2" w:rsidRDefault="005872B4" w:rsidP="008B01DB">
      <w:pPr>
        <w:pStyle w:val="Titre4"/>
        <w:numPr>
          <w:ilvl w:val="0"/>
          <w:numId w:val="0"/>
        </w:numPr>
        <w:ind w:firstLine="709"/>
        <w:rPr>
          <w:b w:val="0"/>
          <w:sz w:val="22"/>
          <w:szCs w:val="22"/>
        </w:rPr>
      </w:pPr>
      <w:r>
        <w:rPr>
          <w:b w:val="0"/>
          <w:sz w:val="22"/>
          <w:szCs w:val="22"/>
        </w:rPr>
        <w:t>3</w:t>
      </w:r>
      <w:r w:rsidR="00FF461F">
        <w:rPr>
          <w:b w:val="0"/>
          <w:sz w:val="22"/>
          <w:szCs w:val="22"/>
        </w:rPr>
        <w:t xml:space="preserve">.1.1 </w:t>
      </w:r>
      <w:r w:rsidR="004D2E04" w:rsidRPr="00A914B2">
        <w:rPr>
          <w:b w:val="0"/>
          <w:sz w:val="22"/>
          <w:szCs w:val="22"/>
        </w:rPr>
        <w:t>Réunion de pré-dépôt</w:t>
      </w:r>
    </w:p>
    <w:p w14:paraId="423C6DE0" w14:textId="77777777" w:rsidR="00EB0D03" w:rsidRDefault="004D2E04">
      <w:pPr>
        <w:spacing w:before="120" w:after="120"/>
      </w:pPr>
      <w:r>
        <w:t>Cette étape nécessaire pour envisager un dépôt, a vocation à orienter et à conseiller le porteur de projet sur les points suivants :</w:t>
      </w:r>
    </w:p>
    <w:p w14:paraId="235012D4" w14:textId="77777777" w:rsidR="00EB0D03" w:rsidRDefault="004D2E04" w:rsidP="0036243F">
      <w:pPr>
        <w:numPr>
          <w:ilvl w:val="0"/>
          <w:numId w:val="6"/>
        </w:numPr>
        <w:spacing w:before="120" w:after="120"/>
        <w:contextualSpacing/>
      </w:pPr>
      <w:r>
        <w:t>Adéquation du projet avec les attendus du cahier des charges</w:t>
      </w:r>
      <w:r w:rsidR="00E456A0">
        <w:t>,</w:t>
      </w:r>
    </w:p>
    <w:p w14:paraId="51EF0A6F" w14:textId="77777777" w:rsidR="00EB0D03" w:rsidRDefault="004D2E04" w:rsidP="0036243F">
      <w:pPr>
        <w:numPr>
          <w:ilvl w:val="0"/>
          <w:numId w:val="6"/>
        </w:numPr>
        <w:spacing w:before="120" w:after="120"/>
        <w:contextualSpacing/>
      </w:pPr>
      <w:r>
        <w:t>Etat de l’art en matière d’innovation vis-à-vis du projet proposé</w:t>
      </w:r>
      <w:r w:rsidR="00E456A0">
        <w:t>,</w:t>
      </w:r>
    </w:p>
    <w:p w14:paraId="5A701FBC" w14:textId="77777777" w:rsidR="00EB0D03" w:rsidRDefault="004D2E04" w:rsidP="0036243F">
      <w:pPr>
        <w:numPr>
          <w:ilvl w:val="0"/>
          <w:numId w:val="6"/>
        </w:numPr>
        <w:spacing w:before="120" w:after="120"/>
        <w:contextualSpacing/>
      </w:pPr>
      <w:r>
        <w:t>Caractère impactant et transformant du projet proposé dans le domaine de la transition écologique et du développement de l’économie française</w:t>
      </w:r>
      <w:r w:rsidR="00E456A0">
        <w:t>.</w:t>
      </w:r>
      <w:r>
        <w:t xml:space="preserve"> </w:t>
      </w:r>
    </w:p>
    <w:p w14:paraId="1A7E6037" w14:textId="77777777" w:rsidR="00EB0D03" w:rsidRDefault="00EB0D03">
      <w:pPr>
        <w:spacing w:before="120" w:after="120"/>
      </w:pPr>
    </w:p>
    <w:p w14:paraId="7D3DED8D" w14:textId="77777777" w:rsidR="00C83EBB" w:rsidRDefault="004D2E04" w:rsidP="00C83EBB">
      <w:pPr>
        <w:spacing w:before="120" w:after="120"/>
      </w:pPr>
      <w:r>
        <w:t>La réunion de pré-dépôt consiste en une présentation par le porteur de projet du démonstrateur proposé. Cette présentation doit s’appuyer sur un diaporama au format PowerPoint (voir Annexe 2, disponible sur la page internet de l’AAP) et doit se dérouler 1 mois au minimum avant le dépôt d’un dossier.</w:t>
      </w:r>
    </w:p>
    <w:p w14:paraId="4BCF36AE" w14:textId="77777777" w:rsidR="00C83EBB" w:rsidRDefault="00C83EBB" w:rsidP="00C83EBB">
      <w:pPr>
        <w:spacing w:before="120" w:after="120"/>
      </w:pPr>
    </w:p>
    <w:p w14:paraId="67717FCF" w14:textId="77777777" w:rsidR="006A5AD4" w:rsidRDefault="004D2E04">
      <w:pPr>
        <w:spacing w:before="120" w:after="180"/>
      </w:pPr>
      <w:r>
        <w:t xml:space="preserve">Le porteur doit contacter l’ADEME pour organiser une réunion de pré-dépôt, à l’adresse suivante : </w:t>
      </w:r>
      <w:hyperlink r:id="rId33" w:history="1">
        <w:r w:rsidR="0076293F" w:rsidRPr="00262D72">
          <w:rPr>
            <w:rStyle w:val="Lienhypertexte"/>
            <w:b/>
          </w:rPr>
          <w:t>aap.tase@ademe.fr</w:t>
        </w:r>
      </w:hyperlink>
      <w:r>
        <w:rPr>
          <w:b/>
          <w:color w:val="0000FF"/>
        </w:rPr>
        <w:t xml:space="preserve"> </w:t>
      </w:r>
      <w:r w:rsidR="00C83EBB">
        <w:t>. L</w:t>
      </w:r>
      <w:r>
        <w:t>’annexe 2 devrait être transmise lors de cette demande.</w:t>
      </w:r>
    </w:p>
    <w:p w14:paraId="084116CC" w14:textId="77777777" w:rsidR="00C83EBB" w:rsidRDefault="00C83EBB">
      <w:pPr>
        <w:spacing w:before="120" w:after="180"/>
        <w:rPr>
          <w:b/>
          <w:color w:val="0000FF"/>
        </w:rPr>
      </w:pPr>
    </w:p>
    <w:p w14:paraId="4414477B" w14:textId="7C828B8D" w:rsidR="00EB0D03" w:rsidRPr="00A914B2" w:rsidRDefault="005872B4" w:rsidP="00C83EBB">
      <w:pPr>
        <w:pStyle w:val="Titre4"/>
        <w:numPr>
          <w:ilvl w:val="0"/>
          <w:numId w:val="0"/>
        </w:numPr>
        <w:spacing w:before="120"/>
        <w:ind w:firstLine="709"/>
        <w:rPr>
          <w:b w:val="0"/>
          <w:sz w:val="22"/>
          <w:szCs w:val="22"/>
        </w:rPr>
      </w:pPr>
      <w:r>
        <w:rPr>
          <w:b w:val="0"/>
          <w:sz w:val="22"/>
          <w:szCs w:val="22"/>
        </w:rPr>
        <w:t>3</w:t>
      </w:r>
      <w:r w:rsidR="00FF461F">
        <w:rPr>
          <w:b w:val="0"/>
          <w:sz w:val="22"/>
          <w:szCs w:val="22"/>
        </w:rPr>
        <w:t xml:space="preserve">.1.2 </w:t>
      </w:r>
      <w:r w:rsidR="004D2E04" w:rsidRPr="00A914B2">
        <w:rPr>
          <w:b w:val="0"/>
          <w:sz w:val="22"/>
          <w:szCs w:val="22"/>
        </w:rPr>
        <w:t xml:space="preserve">Dépôt </w:t>
      </w:r>
    </w:p>
    <w:p w14:paraId="59071C70" w14:textId="77777777" w:rsidR="00EB0D03" w:rsidRDefault="004D2E04">
      <w:pPr>
        <w:spacing w:before="120" w:after="120"/>
        <w:jc w:val="left"/>
        <w:rPr>
          <w:color w:val="000000"/>
        </w:rPr>
      </w:pPr>
      <w:r>
        <w:rPr>
          <w:color w:val="000000"/>
        </w:rPr>
        <w:t>Les projets doivent être adressés sous forme électronique via la plateforme de l’ADEME :</w:t>
      </w:r>
    </w:p>
    <w:p w14:paraId="00DADDF7" w14:textId="77777777" w:rsidR="00EB0D03" w:rsidRDefault="00F03370">
      <w:pPr>
        <w:spacing w:before="120" w:after="180"/>
        <w:jc w:val="center"/>
      </w:pPr>
      <w:hyperlink r:id="rId34" w:tooltip="https://agirpourlatransition.ademe.fr/" w:history="1">
        <w:r w:rsidR="004D2E04">
          <w:rPr>
            <w:color w:val="0000FF" w:themeColor="hyperlink"/>
            <w:u w:val="single"/>
          </w:rPr>
          <w:t>https://agirpourlatransition.ademe.fr/</w:t>
        </w:r>
      </w:hyperlink>
      <w:r w:rsidR="004D2E04">
        <w:t xml:space="preserve"> </w:t>
      </w:r>
    </w:p>
    <w:p w14:paraId="67820812" w14:textId="77777777" w:rsidR="006A5AD4" w:rsidRDefault="004D2E04" w:rsidP="00C83EBB">
      <w:pPr>
        <w:spacing w:before="120" w:after="0"/>
      </w:pPr>
      <w:r>
        <w:lastRenderedPageBreak/>
        <w:t xml:space="preserve">Attention, en cas de projet collaboratif, seul le coordonnateur du projet est habilité à déposer le dossier sur la plateforme. Cependant, le dépôt engendre une demande de validation adressée à tous les partenaires via un mail généré à partir de la plateforme. </w:t>
      </w:r>
      <w:r>
        <w:rPr>
          <w:b/>
        </w:rPr>
        <w:t>Merci de bien prendre en compte ce délai de validation pour le dépôt du dossier avant la clôture intermédiaire de l’AAP</w:t>
      </w:r>
      <w:r>
        <w:t>.</w:t>
      </w:r>
    </w:p>
    <w:p w14:paraId="027C955A" w14:textId="77777777" w:rsidR="00C83EBB" w:rsidRDefault="00C83EBB" w:rsidP="00C83EBB">
      <w:pPr>
        <w:spacing w:before="120" w:after="0"/>
      </w:pPr>
    </w:p>
    <w:p w14:paraId="007A517A" w14:textId="459493CB" w:rsidR="00EB0D03" w:rsidRPr="00A914B2" w:rsidRDefault="005872B4" w:rsidP="00C83EBB">
      <w:pPr>
        <w:pStyle w:val="Titre4"/>
        <w:numPr>
          <w:ilvl w:val="0"/>
          <w:numId w:val="0"/>
        </w:numPr>
        <w:spacing w:before="120"/>
        <w:ind w:firstLine="709"/>
        <w:rPr>
          <w:b w:val="0"/>
          <w:sz w:val="22"/>
          <w:szCs w:val="22"/>
        </w:rPr>
      </w:pPr>
      <w:r>
        <w:rPr>
          <w:b w:val="0"/>
          <w:sz w:val="22"/>
          <w:szCs w:val="22"/>
        </w:rPr>
        <w:t>3</w:t>
      </w:r>
      <w:r w:rsidR="00FF461F">
        <w:rPr>
          <w:b w:val="0"/>
          <w:sz w:val="22"/>
          <w:szCs w:val="22"/>
        </w:rPr>
        <w:t xml:space="preserve">.1.3 </w:t>
      </w:r>
      <w:r w:rsidR="0036243F" w:rsidRPr="00A914B2">
        <w:rPr>
          <w:b w:val="0"/>
          <w:sz w:val="22"/>
          <w:szCs w:val="22"/>
        </w:rPr>
        <w:t>C</w:t>
      </w:r>
      <w:r w:rsidR="004D2E04" w:rsidRPr="00A914B2">
        <w:rPr>
          <w:b w:val="0"/>
          <w:sz w:val="22"/>
          <w:szCs w:val="22"/>
        </w:rPr>
        <w:t>ritères d’éligibilité</w:t>
      </w:r>
    </w:p>
    <w:p w14:paraId="6F945624" w14:textId="77777777" w:rsidR="00EB0D03" w:rsidRDefault="004D2E04">
      <w:pPr>
        <w:pBdr>
          <w:top w:val="none" w:sz="4" w:space="0" w:color="000000"/>
          <w:left w:val="none" w:sz="4" w:space="0" w:color="000000"/>
          <w:bottom w:val="none" w:sz="4" w:space="0" w:color="000000"/>
          <w:right w:val="none" w:sz="4" w:space="0" w:color="000000"/>
          <w:between w:val="none" w:sz="4" w:space="0" w:color="000000"/>
        </w:pBdr>
        <w:spacing w:before="120" w:after="0"/>
        <w:jc w:val="left"/>
        <w:rPr>
          <w:color w:val="000000"/>
        </w:rPr>
      </w:pPr>
      <w:r>
        <w:rPr>
          <w:color w:val="000000"/>
        </w:rPr>
        <w:t xml:space="preserve">A titre informatif, voici les critères clés : </w:t>
      </w:r>
    </w:p>
    <w:p w14:paraId="28B982FB" w14:textId="77777777" w:rsidR="00EB0D03" w:rsidRDefault="004D2E04" w:rsidP="0036243F">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20" w:after="0"/>
        <w:ind w:left="720"/>
        <w:rPr>
          <w:b/>
          <w:color w:val="000000"/>
        </w:rPr>
      </w:pPr>
      <w:r>
        <w:rPr>
          <w:b/>
          <w:color w:val="000000"/>
        </w:rPr>
        <w:t xml:space="preserve">Montant minimum de coût du projet : </w:t>
      </w:r>
    </w:p>
    <w:p w14:paraId="6FE2B12B" w14:textId="1F559760" w:rsidR="00EB0D03" w:rsidRDefault="004D2E04" w:rsidP="0036243F">
      <w:pPr>
        <w:numPr>
          <w:ilvl w:val="1"/>
          <w:numId w:val="3"/>
        </w:numPr>
        <w:pBdr>
          <w:top w:val="none" w:sz="4" w:space="0" w:color="000000"/>
          <w:left w:val="none" w:sz="4" w:space="0" w:color="000000"/>
          <w:bottom w:val="none" w:sz="4" w:space="0" w:color="000000"/>
          <w:right w:val="none" w:sz="4" w:space="0" w:color="000000"/>
          <w:between w:val="none" w:sz="4" w:space="0" w:color="000000"/>
        </w:pBdr>
        <w:spacing w:before="120" w:after="0"/>
        <w:rPr>
          <w:b/>
          <w:color w:val="000000"/>
        </w:rPr>
      </w:pPr>
      <w:r>
        <w:t xml:space="preserve">Dans le cas général, le coût total du projet devra être de </w:t>
      </w:r>
      <w:r w:rsidR="00F22790">
        <w:t>1,5</w:t>
      </w:r>
      <w:r w:rsidRPr="00262D72">
        <w:t xml:space="preserve"> millions d’euros</w:t>
      </w:r>
      <w:r>
        <w:t xml:space="preserve"> minimum.</w:t>
      </w:r>
    </w:p>
    <w:p w14:paraId="66B3C497" w14:textId="7B518B13" w:rsidR="00EB0D03" w:rsidRDefault="004D2E04" w:rsidP="0036243F">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20" w:after="0"/>
        <w:ind w:left="720"/>
        <w:rPr>
          <w:b/>
          <w:color w:val="000000"/>
        </w:rPr>
      </w:pPr>
      <w:r>
        <w:rPr>
          <w:b/>
          <w:color w:val="000000"/>
        </w:rPr>
        <w:t>Nombre de partenaires (</w:t>
      </w:r>
      <w:r w:rsidR="009C3B31">
        <w:rPr>
          <w:b/>
          <w:color w:val="000000"/>
        </w:rPr>
        <w:t>i.e.</w:t>
      </w:r>
      <w:r>
        <w:rPr>
          <w:b/>
          <w:color w:val="000000"/>
        </w:rPr>
        <w:t xml:space="preserve"> demandeurs d’aides) :</w:t>
      </w:r>
    </w:p>
    <w:p w14:paraId="1989CC5E" w14:textId="77777777" w:rsidR="00EB0D03" w:rsidRDefault="004D2E04" w:rsidP="0036243F">
      <w:pPr>
        <w:numPr>
          <w:ilvl w:val="1"/>
          <w:numId w:val="3"/>
        </w:numPr>
        <w:pBdr>
          <w:top w:val="none" w:sz="4" w:space="0" w:color="000000"/>
          <w:left w:val="none" w:sz="4" w:space="0" w:color="000000"/>
          <w:bottom w:val="none" w:sz="4" w:space="0" w:color="000000"/>
          <w:right w:val="none" w:sz="4" w:space="0" w:color="000000"/>
          <w:between w:val="none" w:sz="4" w:space="0" w:color="000000"/>
        </w:pBdr>
        <w:spacing w:before="120" w:after="0"/>
        <w:ind w:left="1440"/>
        <w:rPr>
          <w:b/>
          <w:color w:val="000000"/>
        </w:rPr>
      </w:pPr>
      <w:r>
        <w:t>Le coordinateur du projet, ou le porteur dans le cas d’un projet mono-partenaire, doit être une entreprise.</w:t>
      </w:r>
    </w:p>
    <w:p w14:paraId="5672011F" w14:textId="6A553539" w:rsidR="00253B34" w:rsidRPr="00253B34" w:rsidRDefault="00253B34" w:rsidP="0036243F">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20" w:after="0"/>
        <w:ind w:left="720"/>
        <w:rPr>
          <w:b/>
          <w:color w:val="000000"/>
        </w:rPr>
      </w:pPr>
      <w:r w:rsidRPr="00253B34">
        <w:rPr>
          <w:b/>
        </w:rPr>
        <w:t>Dans le cas général d’un consortium, composé d’entreprises ou d’établissements de recherche, les projets devront impliquer jusqu’à 5 partenaires</w:t>
      </w:r>
      <w:r w:rsidR="00AB6E33">
        <w:rPr>
          <w:rStyle w:val="Appelnotedebasdep"/>
          <w:b/>
        </w:rPr>
        <w:footnoteReference w:id="4"/>
      </w:r>
      <w:r w:rsidRPr="00253B34">
        <w:rPr>
          <w:b/>
        </w:rPr>
        <w:t xml:space="preserve"> demandeurs d’aides. Chaque partenaire </w:t>
      </w:r>
      <w:r w:rsidRPr="008C773D">
        <w:rPr>
          <w:b/>
        </w:rPr>
        <w:t xml:space="preserve">doit porter au moins </w:t>
      </w:r>
      <w:r w:rsidR="003C17B2" w:rsidRPr="008C773D">
        <w:rPr>
          <w:b/>
        </w:rPr>
        <w:t>3</w:t>
      </w:r>
      <w:r w:rsidRPr="008C773D">
        <w:rPr>
          <w:b/>
        </w:rPr>
        <w:t>00 000 € de dépenses éligibles</w:t>
      </w:r>
      <w:r w:rsidRPr="00253B34">
        <w:rPr>
          <w:b/>
        </w:rPr>
        <w:t xml:space="preserve"> pour justifier de son implication en tant que partenaire.</w:t>
      </w:r>
      <w:r>
        <w:t xml:space="preserve"> </w:t>
      </w:r>
    </w:p>
    <w:p w14:paraId="6EA1ED55" w14:textId="77777777" w:rsidR="00EB0D03" w:rsidRPr="00253B34" w:rsidRDefault="004D2E04" w:rsidP="0036243F">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20" w:after="0"/>
        <w:ind w:left="720"/>
        <w:rPr>
          <w:b/>
          <w:color w:val="000000"/>
        </w:rPr>
      </w:pPr>
      <w:r>
        <w:rPr>
          <w:b/>
          <w:color w:val="000000"/>
        </w:rPr>
        <w:t xml:space="preserve">Respect de l’objet de l’AAP : </w:t>
      </w:r>
      <w:r>
        <w:t xml:space="preserve">les projets ne respectant pas l’objet de l’AAP </w:t>
      </w:r>
      <w:r w:rsidR="00C83EBB">
        <w:t>seront considérés comme inéligibles</w:t>
      </w:r>
      <w:r>
        <w:t>.</w:t>
      </w:r>
    </w:p>
    <w:p w14:paraId="551AC55F" w14:textId="77777777" w:rsidR="00253B34" w:rsidRDefault="00253B34" w:rsidP="0036243F">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20" w:after="0"/>
        <w:ind w:left="720"/>
        <w:rPr>
          <w:b/>
          <w:color w:val="000000"/>
        </w:rPr>
      </w:pPr>
      <w:r w:rsidRPr="00253B34">
        <w:rPr>
          <w:b/>
        </w:rPr>
        <w:t>Respect des critères environnementaux</w:t>
      </w:r>
      <w:r>
        <w:t xml:space="preserve"> : les projets causant un préjudice important du point de vue de l’environnement seront exclus (cf. Annexe A sur les critères de performance environnementale)</w:t>
      </w:r>
      <w:r w:rsidR="00457A40">
        <w:t>.</w:t>
      </w:r>
    </w:p>
    <w:p w14:paraId="7F12B223" w14:textId="77777777" w:rsidR="00EB0D03" w:rsidRDefault="004D2E04" w:rsidP="0036243F">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20" w:after="0"/>
        <w:ind w:left="720"/>
        <w:rPr>
          <w:b/>
          <w:color w:val="000000"/>
        </w:rPr>
      </w:pPr>
      <w:r>
        <w:rPr>
          <w:b/>
          <w:color w:val="000000"/>
        </w:rPr>
        <w:t xml:space="preserve">Composition du dossier et respect des délais : </w:t>
      </w:r>
      <w:r>
        <w:rPr>
          <w:color w:val="000000"/>
        </w:rPr>
        <w:t>l</w:t>
      </w:r>
      <w:r>
        <w:t>e dossier devra être soumis dans les délais et par les canaux indiqués. Il devra être complet, au format demandé.</w:t>
      </w:r>
    </w:p>
    <w:p w14:paraId="0B48E6BF" w14:textId="2D07908B" w:rsidR="00EB0D03" w:rsidRDefault="004D2E04" w:rsidP="0036243F">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20" w:after="0"/>
        <w:ind w:left="720"/>
        <w:rPr>
          <w:b/>
          <w:color w:val="000000"/>
        </w:rPr>
      </w:pPr>
      <w:r>
        <w:rPr>
          <w:b/>
          <w:color w:val="000000"/>
        </w:rPr>
        <w:t>Indicateurs d’impacts </w:t>
      </w:r>
      <w:r>
        <w:rPr>
          <w:color w:val="000000"/>
        </w:rPr>
        <w:t>(</w:t>
      </w:r>
      <w:proofErr w:type="spellStart"/>
      <w:r>
        <w:rPr>
          <w:color w:val="000000"/>
        </w:rPr>
        <w:t>cf</w:t>
      </w:r>
      <w:proofErr w:type="spellEnd"/>
      <w:r>
        <w:rPr>
          <w:color w:val="000000"/>
        </w:rPr>
        <w:t xml:space="preserve"> Annexe 5 « Grille d’impacts »</w:t>
      </w:r>
      <w:r w:rsidR="0039513F">
        <w:rPr>
          <w:color w:val="000000"/>
        </w:rPr>
        <w:t xml:space="preserve"> et Annexe 6 « Eléments financiers »</w:t>
      </w:r>
      <w:r>
        <w:rPr>
          <w:color w:val="000000"/>
        </w:rPr>
        <w:t>)</w:t>
      </w:r>
      <w:r>
        <w:rPr>
          <w:b/>
          <w:color w:val="000000"/>
        </w:rPr>
        <w:t xml:space="preserve">: </w:t>
      </w:r>
      <w:r>
        <w:rPr>
          <w:color w:val="000000"/>
        </w:rPr>
        <w:t xml:space="preserve">le porteur devra impérativement préciser les indicateurs d’impacts du projet sur un horizon à 5 ans post-projet, cumulés, a minima sur les volets : </w:t>
      </w:r>
    </w:p>
    <w:p w14:paraId="06C8F4F2" w14:textId="77777777" w:rsidR="00EB0D03" w:rsidRDefault="004D2E04" w:rsidP="0036243F">
      <w:pPr>
        <w:numPr>
          <w:ilvl w:val="1"/>
          <w:numId w:val="4"/>
        </w:numPr>
        <w:pBdr>
          <w:top w:val="none" w:sz="4" w:space="0" w:color="000000"/>
          <w:left w:val="none" w:sz="4" w:space="0" w:color="000000"/>
          <w:bottom w:val="none" w:sz="4" w:space="0" w:color="000000"/>
          <w:right w:val="none" w:sz="4" w:space="0" w:color="000000"/>
          <w:between w:val="none" w:sz="4" w:space="0" w:color="000000"/>
        </w:pBdr>
        <w:spacing w:before="120" w:after="0"/>
        <w:rPr>
          <w:color w:val="000000"/>
        </w:rPr>
      </w:pPr>
      <w:r>
        <w:rPr>
          <w:color w:val="000000"/>
        </w:rPr>
        <w:t>Environnement </w:t>
      </w:r>
    </w:p>
    <w:p w14:paraId="6669AD4C" w14:textId="77777777" w:rsidR="00EB0D03" w:rsidRDefault="004D2E04" w:rsidP="0036243F">
      <w:pPr>
        <w:numPr>
          <w:ilvl w:val="1"/>
          <w:numId w:val="4"/>
        </w:numPr>
        <w:pBdr>
          <w:top w:val="none" w:sz="4" w:space="0" w:color="000000"/>
          <w:left w:val="none" w:sz="4" w:space="0" w:color="000000"/>
          <w:bottom w:val="none" w:sz="4" w:space="0" w:color="000000"/>
          <w:right w:val="none" w:sz="4" w:space="0" w:color="000000"/>
          <w:between w:val="none" w:sz="4" w:space="0" w:color="000000"/>
        </w:pBdr>
        <w:spacing w:before="120" w:after="0"/>
        <w:rPr>
          <w:color w:val="000000"/>
        </w:rPr>
      </w:pPr>
      <w:r>
        <w:rPr>
          <w:color w:val="000000"/>
        </w:rPr>
        <w:t>Emplois</w:t>
      </w:r>
      <w:r>
        <w:rPr>
          <w:b/>
          <w:color w:val="000000"/>
        </w:rPr>
        <w:t xml:space="preserve"> </w:t>
      </w:r>
    </w:p>
    <w:p w14:paraId="7F2A1E16" w14:textId="77777777" w:rsidR="00EB0D03" w:rsidRDefault="004D2E04" w:rsidP="0036243F">
      <w:pPr>
        <w:numPr>
          <w:ilvl w:val="1"/>
          <w:numId w:val="4"/>
        </w:numPr>
        <w:pBdr>
          <w:top w:val="none" w:sz="4" w:space="0" w:color="000000"/>
          <w:left w:val="none" w:sz="4" w:space="0" w:color="000000"/>
          <w:bottom w:val="none" w:sz="4" w:space="0" w:color="000000"/>
          <w:right w:val="none" w:sz="4" w:space="0" w:color="000000"/>
          <w:between w:val="none" w:sz="4" w:space="0" w:color="000000"/>
        </w:pBdr>
        <w:spacing w:before="120" w:after="0"/>
      </w:pPr>
      <w:r>
        <w:rPr>
          <w:color w:val="000000"/>
        </w:rPr>
        <w:t>Chiffres d’affaires</w:t>
      </w:r>
      <w:r w:rsidR="008B5803">
        <w:rPr>
          <w:color w:val="000000"/>
        </w:rPr>
        <w:t>.</w:t>
      </w:r>
    </w:p>
    <w:p w14:paraId="0DD13E43" w14:textId="77777777" w:rsidR="00EB0D03" w:rsidRDefault="004D2E04" w:rsidP="0036243F">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20" w:after="0"/>
        <w:ind w:left="720"/>
        <w:rPr>
          <w:b/>
          <w:color w:val="000000"/>
        </w:rPr>
      </w:pPr>
      <w:r>
        <w:rPr>
          <w:b/>
        </w:rPr>
        <w:t>Exigence d’</w:t>
      </w:r>
      <w:proofErr w:type="spellStart"/>
      <w:r>
        <w:rPr>
          <w:b/>
        </w:rPr>
        <w:t>incitativité</w:t>
      </w:r>
      <w:proofErr w:type="spellEnd"/>
      <w:r>
        <w:rPr>
          <w:b/>
        </w:rPr>
        <w:t xml:space="preserve"> de l’aide </w:t>
      </w:r>
      <w:r>
        <w:rPr>
          <w:b/>
          <w:color w:val="000000"/>
        </w:rPr>
        <w:t xml:space="preserve">: </w:t>
      </w:r>
      <w:r>
        <w:rPr>
          <w:color w:val="000000"/>
        </w:rPr>
        <w:t>s</w:t>
      </w:r>
      <w:r>
        <w:t>elon l’article 6 du RGEC, une aide est réputée avoir un effet incitatif si le bénéficiaire a présenté une demande d'aide</w:t>
      </w:r>
      <w:r>
        <w:rPr>
          <w:vertAlign w:val="superscript"/>
        </w:rPr>
        <w:footnoteReference w:id="5"/>
      </w:r>
      <w:r>
        <w:t xml:space="preserve"> écrite à l'État membre concerné avant le début des travaux liés au projet ou à l'activité en question.</w:t>
      </w:r>
    </w:p>
    <w:p w14:paraId="2F4E4504" w14:textId="77777777" w:rsidR="00EB0D03" w:rsidRDefault="004D2E04">
      <w:pPr>
        <w:spacing w:before="120" w:after="120"/>
        <w:ind w:left="720"/>
      </w:pPr>
      <w:r>
        <w:t>Le RGEC défini par ailleurs le « début des travaux » comme « soit le début des travaux de construction liés à l'investissement, soit le premier engagement juridiquement contraignant de commande d'équipement ou tout autre engagement rendant l'investissement irréversible, selon l'événement qui se produit en premier. »</w:t>
      </w:r>
    </w:p>
    <w:p w14:paraId="68BA7887" w14:textId="77777777" w:rsidR="006A5AD4" w:rsidRDefault="004D2E04" w:rsidP="00CB53B2">
      <w:pPr>
        <w:spacing w:before="120" w:after="0"/>
        <w:ind w:left="720"/>
      </w:pPr>
      <w:r>
        <w:t>Ainsi, ne sera éligible à cet AAP qu’un projet pour lequel aucun engagement juridiquement contraignant n’aura été pris dans le périmètre du projet avant la date de dépôt du dossier de candidature considéré comme complet par l’ADEME.</w:t>
      </w:r>
    </w:p>
    <w:p w14:paraId="54AEB739" w14:textId="77777777" w:rsidR="00FF461F" w:rsidRPr="00AC693A" w:rsidRDefault="00FF461F" w:rsidP="00CB53B2">
      <w:pPr>
        <w:spacing w:before="120" w:after="0"/>
      </w:pPr>
    </w:p>
    <w:p w14:paraId="4DB7D9ED" w14:textId="780B86F3" w:rsidR="00EB0D03" w:rsidRPr="00A914B2" w:rsidRDefault="005872B4" w:rsidP="008B01DB">
      <w:pPr>
        <w:pStyle w:val="Titre4"/>
        <w:numPr>
          <w:ilvl w:val="0"/>
          <w:numId w:val="0"/>
        </w:numPr>
        <w:ind w:firstLine="709"/>
        <w:rPr>
          <w:b w:val="0"/>
          <w:sz w:val="22"/>
          <w:szCs w:val="22"/>
        </w:rPr>
      </w:pPr>
      <w:r>
        <w:rPr>
          <w:b w:val="0"/>
          <w:sz w:val="22"/>
          <w:szCs w:val="22"/>
        </w:rPr>
        <w:t>3.</w:t>
      </w:r>
      <w:r w:rsidR="00FF461F">
        <w:rPr>
          <w:b w:val="0"/>
          <w:sz w:val="22"/>
          <w:szCs w:val="22"/>
        </w:rPr>
        <w:t xml:space="preserve">1.4 </w:t>
      </w:r>
      <w:r w:rsidR="004D2E04" w:rsidRPr="00A914B2">
        <w:rPr>
          <w:b w:val="0"/>
          <w:sz w:val="22"/>
          <w:szCs w:val="22"/>
        </w:rPr>
        <w:t>Confidentialité</w:t>
      </w:r>
    </w:p>
    <w:p w14:paraId="2130393C" w14:textId="51F2BD7B" w:rsidR="00EB0D03" w:rsidRDefault="004D2E04">
      <w:pPr>
        <w:spacing w:before="120" w:after="120"/>
      </w:pPr>
      <w:r>
        <w:rPr>
          <w:b/>
        </w:rPr>
        <w:t>L’ADEME garantit que les documents transmis dans le cadre de cet AAP sont soumis à la plus stricte confidentialité</w:t>
      </w:r>
      <w:r>
        <w:t xml:space="preserve"> et ne sont communiqués que dans le cadre restreint de l’expertise et de la gouvernance </w:t>
      </w:r>
      <w:r w:rsidR="00BE38DE">
        <w:t>France 2030</w:t>
      </w:r>
      <w:r>
        <w:t>.</w:t>
      </w:r>
    </w:p>
    <w:p w14:paraId="2037CD57" w14:textId="6F6D7509" w:rsidR="003B0747" w:rsidRDefault="003B0747" w:rsidP="00FB1273">
      <w:pPr>
        <w:pStyle w:val="Titre2"/>
        <w:ind w:left="0" w:hanging="9"/>
      </w:pPr>
      <w:bookmarkStart w:id="14" w:name="_Toc95317882"/>
      <w:r>
        <w:t>Procédure de décision</w:t>
      </w:r>
      <w:bookmarkEnd w:id="14"/>
    </w:p>
    <w:p w14:paraId="14195C7B" w14:textId="77777777" w:rsidR="00BB1FE9" w:rsidRPr="0079500D" w:rsidRDefault="00BB1FE9" w:rsidP="00BB1FE9">
      <w:pPr>
        <w:pStyle w:val="Normal11"/>
        <w:spacing w:line="276" w:lineRule="auto"/>
        <w:jc w:val="both"/>
        <w:rPr>
          <w:sz w:val="22"/>
          <w:szCs w:val="22"/>
        </w:rPr>
      </w:pPr>
      <w:r>
        <w:rPr>
          <w:sz w:val="22"/>
          <w:szCs w:val="22"/>
        </w:rPr>
        <w:t xml:space="preserve">A l’issue de la date de clôture de l’AAP, l’ADEME conduit une première analyse en termes d’éligibilité. </w:t>
      </w:r>
    </w:p>
    <w:p w14:paraId="29AA85DC" w14:textId="754C6E64" w:rsidR="00BE38DE" w:rsidRDefault="00BE38DE" w:rsidP="00BE38DE">
      <w:pPr>
        <w:spacing w:after="9" w:line="268" w:lineRule="auto"/>
        <w:ind w:right="60"/>
        <w:rPr>
          <w:rFonts w:cstheme="minorHAnsi"/>
        </w:rPr>
      </w:pPr>
      <w:r>
        <w:rPr>
          <w:rFonts w:cstheme="minorHAnsi"/>
        </w:rPr>
        <w:t>La procédure de sélection sera définie dans le cadre de la mise en œuvre du Plan d’investissement France 2030 et donnera lieu à une comitologie réunissant les représentants des ministères concernés</w:t>
      </w:r>
      <w:r w:rsidR="0039513F">
        <w:rPr>
          <w:rFonts w:cstheme="minorHAnsi"/>
        </w:rPr>
        <w:t>.</w:t>
      </w:r>
    </w:p>
    <w:p w14:paraId="0DDE0C96" w14:textId="77777777" w:rsidR="00BE38DE" w:rsidRDefault="00BE38DE" w:rsidP="00BE38DE">
      <w:pPr>
        <w:pStyle w:val="Normal11"/>
        <w:spacing w:line="276" w:lineRule="auto"/>
        <w:jc w:val="both"/>
        <w:rPr>
          <w:sz w:val="22"/>
          <w:szCs w:val="22"/>
        </w:rPr>
      </w:pPr>
    </w:p>
    <w:p w14:paraId="3B20B719" w14:textId="71F2757C" w:rsidR="00BB1FE9" w:rsidRDefault="00BB1FE9" w:rsidP="00E51D1F">
      <w:pPr>
        <w:pStyle w:val="Normal11"/>
        <w:spacing w:line="276" w:lineRule="auto"/>
        <w:jc w:val="both"/>
        <w:rPr>
          <w:sz w:val="22"/>
          <w:szCs w:val="22"/>
        </w:rPr>
      </w:pPr>
      <w:r>
        <w:rPr>
          <w:sz w:val="22"/>
          <w:szCs w:val="22"/>
        </w:rPr>
        <w:t>La décision d’octroi de l’aide financière est prise par le Premier ministre</w:t>
      </w:r>
      <w:r w:rsidRPr="006A3970">
        <w:rPr>
          <w:sz w:val="22"/>
          <w:szCs w:val="22"/>
        </w:rPr>
        <w:t xml:space="preserve"> </w:t>
      </w:r>
      <w:r>
        <w:rPr>
          <w:sz w:val="22"/>
          <w:szCs w:val="22"/>
        </w:rPr>
        <w:t>et intervient, dans le cas général, sous un délai de 3 mois</w:t>
      </w:r>
      <w:r w:rsidRPr="00FC104F">
        <w:rPr>
          <w:sz w:val="22"/>
          <w:szCs w:val="22"/>
        </w:rPr>
        <w:t xml:space="preserve"> à</w:t>
      </w:r>
      <w:r>
        <w:rPr>
          <w:sz w:val="22"/>
          <w:szCs w:val="22"/>
        </w:rPr>
        <w:t xml:space="preserve"> partir de la date de relève afférente.</w:t>
      </w:r>
    </w:p>
    <w:p w14:paraId="30B028B0" w14:textId="77777777" w:rsidR="00610544" w:rsidRPr="001E4714" w:rsidRDefault="004D2E04" w:rsidP="00C06EDB">
      <w:pPr>
        <w:pStyle w:val="Titre2"/>
        <w:ind w:left="0" w:hanging="9"/>
      </w:pPr>
      <w:bookmarkStart w:id="15" w:name="_Toc95317883"/>
      <w:r w:rsidRPr="001E4714">
        <w:t>Contractualisation</w:t>
      </w:r>
      <w:bookmarkEnd w:id="15"/>
    </w:p>
    <w:p w14:paraId="7115C811" w14:textId="074AA824" w:rsidR="00EB0D03" w:rsidRPr="001E4714" w:rsidRDefault="005872B4" w:rsidP="00CB53B2">
      <w:pPr>
        <w:pStyle w:val="Titre4"/>
        <w:numPr>
          <w:ilvl w:val="0"/>
          <w:numId w:val="0"/>
        </w:numPr>
        <w:ind w:left="864"/>
        <w:rPr>
          <w:b w:val="0"/>
          <w:sz w:val="22"/>
          <w:szCs w:val="22"/>
        </w:rPr>
      </w:pPr>
      <w:r>
        <w:rPr>
          <w:b w:val="0"/>
          <w:sz w:val="22"/>
          <w:szCs w:val="22"/>
        </w:rPr>
        <w:t>3</w:t>
      </w:r>
      <w:r w:rsidR="00CB53B2">
        <w:rPr>
          <w:b w:val="0"/>
          <w:sz w:val="22"/>
          <w:szCs w:val="22"/>
        </w:rPr>
        <w:t xml:space="preserve">.3.1 </w:t>
      </w:r>
      <w:r w:rsidR="004D2E04" w:rsidRPr="001E4714">
        <w:rPr>
          <w:b w:val="0"/>
          <w:sz w:val="22"/>
          <w:szCs w:val="22"/>
        </w:rPr>
        <w:t>Convention</w:t>
      </w:r>
    </w:p>
    <w:p w14:paraId="6BA93619" w14:textId="77777777" w:rsidR="00CB53B2" w:rsidRDefault="004D2E04">
      <w:pPr>
        <w:spacing w:before="120" w:after="120"/>
      </w:pPr>
      <w:r>
        <w:t>En cas de projet collaboratif, l’ADEME contractualise avec chacun des partenaires du projet bénéficiant d’une aide ; la convention est établie entre l’ADEME et chaque entité juridique (déterminée par le numéro de SIRET du bénéficiaire) qui réalise les dépenses du projet.</w:t>
      </w:r>
    </w:p>
    <w:p w14:paraId="558D5C16" w14:textId="56210E7F" w:rsidR="00EB0D03" w:rsidRPr="00AC693A" w:rsidRDefault="005872B4" w:rsidP="00CB53B2">
      <w:pPr>
        <w:pStyle w:val="Titre4"/>
        <w:numPr>
          <w:ilvl w:val="0"/>
          <w:numId w:val="0"/>
        </w:numPr>
        <w:ind w:left="864"/>
      </w:pPr>
      <w:r>
        <w:rPr>
          <w:b w:val="0"/>
          <w:sz w:val="22"/>
          <w:szCs w:val="22"/>
        </w:rPr>
        <w:t>3</w:t>
      </w:r>
      <w:r w:rsidR="00CB53B2">
        <w:rPr>
          <w:b w:val="0"/>
          <w:sz w:val="22"/>
          <w:szCs w:val="22"/>
        </w:rPr>
        <w:t>.3.2 Versement des aides</w:t>
      </w:r>
    </w:p>
    <w:p w14:paraId="2B128D56" w14:textId="77777777" w:rsidR="00EB0D03" w:rsidRDefault="004D2E04">
      <w:pPr>
        <w:spacing w:before="120" w:after="180"/>
      </w:pPr>
      <w:r>
        <w:rPr>
          <w:b/>
        </w:rPr>
        <w:t>Le 1</w:t>
      </w:r>
      <w:r>
        <w:rPr>
          <w:b/>
          <w:vertAlign w:val="superscript"/>
        </w:rPr>
        <w:t>er</w:t>
      </w:r>
      <w:r>
        <w:rPr>
          <w:b/>
        </w:rPr>
        <w:t xml:space="preserve"> versement de l’aide intervient, dans le cas général, après la réception par l’ADEME des conventions signées de l’ensemble des partenaires du projet bénéficiant d’une aide</w:t>
      </w:r>
      <w:r>
        <w:t>. La répartition des versements de l’aide par l’ADEME est la suivante, dans le cas général :</w:t>
      </w:r>
    </w:p>
    <w:p w14:paraId="01C4F1D0" w14:textId="77777777" w:rsidR="00EB0D03" w:rsidRDefault="004D2E04" w:rsidP="0036243F">
      <w:pPr>
        <w:numPr>
          <w:ilvl w:val="0"/>
          <w:numId w:val="5"/>
        </w:numPr>
        <w:spacing w:before="120" w:after="120"/>
        <w:contextualSpacing/>
      </w:pPr>
      <w:r>
        <w:t>Le versement d’une avance à notification de 15% maximum du montant de l’aide ;</w:t>
      </w:r>
    </w:p>
    <w:p w14:paraId="7B7D7CAB" w14:textId="77777777" w:rsidR="00EB0D03" w:rsidRDefault="004D2E04" w:rsidP="0036243F">
      <w:pPr>
        <w:numPr>
          <w:ilvl w:val="0"/>
          <w:numId w:val="5"/>
        </w:numPr>
        <w:spacing w:before="120" w:after="120"/>
        <w:contextualSpacing/>
      </w:pPr>
      <w:r>
        <w:t>Le cas échéant, un ou plusieurs versements intermédiaires au cours du projet ;</w:t>
      </w:r>
    </w:p>
    <w:p w14:paraId="1824B099" w14:textId="77777777" w:rsidR="00EB0D03" w:rsidRDefault="004D2E04" w:rsidP="0036243F">
      <w:pPr>
        <w:numPr>
          <w:ilvl w:val="0"/>
          <w:numId w:val="5"/>
        </w:numPr>
        <w:spacing w:before="120" w:after="120"/>
        <w:contextualSpacing/>
      </w:pPr>
      <w:r>
        <w:t>Le cas échéant, le versement d’un solde représentant 20% minimum de l’aide.</w:t>
      </w:r>
    </w:p>
    <w:p w14:paraId="5297AD88" w14:textId="77777777" w:rsidR="00EB0D03" w:rsidRDefault="004D2E04">
      <w:pPr>
        <w:spacing w:before="120" w:after="180"/>
      </w:pPr>
      <w:r>
        <w:t>Lorsque l’aide se compose d’une partie subvention et d’une autre partie avance remboursable, chaque versement respectera cette répartition, selon les mêmes proportions.</w:t>
      </w:r>
    </w:p>
    <w:p w14:paraId="1FE90CFB" w14:textId="77777777" w:rsidR="00EB0D03" w:rsidRDefault="004D2E04">
      <w:pPr>
        <w:pStyle w:val="Normal11"/>
        <w:jc w:val="both"/>
        <w:rPr>
          <w:b/>
          <w:sz w:val="22"/>
        </w:rPr>
        <w:sectPr w:rsidR="00EB0D03">
          <w:headerReference w:type="even" r:id="rId35"/>
          <w:headerReference w:type="default" r:id="rId36"/>
          <w:footerReference w:type="default" r:id="rId37"/>
          <w:headerReference w:type="first" r:id="rId38"/>
          <w:footerReference w:type="first" r:id="rId39"/>
          <w:pgSz w:w="11906" w:h="16838"/>
          <w:pgMar w:top="1134" w:right="1418" w:bottom="1134" w:left="1418" w:header="567" w:footer="141" w:gutter="0"/>
          <w:cols w:space="720"/>
          <w:titlePg/>
          <w:docGrid w:linePitch="360"/>
        </w:sectPr>
      </w:pPr>
      <w:r>
        <w:rPr>
          <w:b/>
          <w:sz w:val="22"/>
        </w:rPr>
        <w:t>Dans le cas général le montant des capitaux propres, aux dates des versements de l’aide, devra être supérieur ou égal au montant du cumul des aides versées.</w:t>
      </w:r>
    </w:p>
    <w:p w14:paraId="4AA3B31A" w14:textId="77777777" w:rsidR="00CB53B2" w:rsidRPr="006E14EE" w:rsidRDefault="00CB53B2" w:rsidP="00CB53B2">
      <w:pPr>
        <w:pStyle w:val="Titre1"/>
        <w:spacing w:before="0" w:after="120" w:line="240" w:lineRule="auto"/>
      </w:pPr>
      <w:bookmarkStart w:id="16" w:name="_Toc95317884"/>
      <w:proofErr w:type="spellStart"/>
      <w:r>
        <w:lastRenderedPageBreak/>
        <w:t>Criteres</w:t>
      </w:r>
      <w:proofErr w:type="spellEnd"/>
      <w:r>
        <w:t xml:space="preserve"> de </w:t>
      </w:r>
      <w:proofErr w:type="spellStart"/>
      <w:r>
        <w:t>selection</w:t>
      </w:r>
      <w:proofErr w:type="spellEnd"/>
      <w:r>
        <w:t xml:space="preserve"> et modalités de financement</w:t>
      </w:r>
      <w:bookmarkEnd w:id="16"/>
    </w:p>
    <w:p w14:paraId="051AD5F3" w14:textId="77777777" w:rsidR="008B01DB" w:rsidRPr="001E4714" w:rsidRDefault="008B01DB" w:rsidP="008B01DB">
      <w:pPr>
        <w:pStyle w:val="Titre2"/>
        <w:ind w:left="0" w:hanging="9"/>
      </w:pPr>
      <w:bookmarkStart w:id="17" w:name="_Toc95317885"/>
      <w:r>
        <w:t>Critères de sélection</w:t>
      </w:r>
      <w:bookmarkEnd w:id="17"/>
    </w:p>
    <w:p w14:paraId="718E7529" w14:textId="77777777" w:rsidR="00CA20C0" w:rsidRPr="00CA20C0" w:rsidRDefault="00CA20C0" w:rsidP="00CA20C0"/>
    <w:p w14:paraId="01319458" w14:textId="77777777" w:rsidR="00EB0D03" w:rsidRDefault="004D2E04">
      <w:pPr>
        <w:spacing w:after="120"/>
      </w:pPr>
      <w:r>
        <w:t>Les dossiers retenus pour instruction seront notamment évalués selon les critères ci-dessous.</w:t>
      </w:r>
    </w:p>
    <w:p w14:paraId="66149D8D" w14:textId="77777777" w:rsidR="00EB0D03" w:rsidRDefault="00EB0D03">
      <w:pPr>
        <w:spacing w:after="120"/>
      </w:pPr>
    </w:p>
    <w:tbl>
      <w:tblPr>
        <w:tblW w:w="9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417"/>
        <w:gridCol w:w="4819"/>
        <w:gridCol w:w="1799"/>
      </w:tblGrid>
      <w:tr w:rsidR="00EB0D03" w14:paraId="6ED020EA" w14:textId="77777777" w:rsidTr="00B07E04">
        <w:trPr>
          <w:trHeight w:val="552"/>
        </w:trPr>
        <w:tc>
          <w:tcPr>
            <w:tcW w:w="1422" w:type="dxa"/>
            <w:shd w:val="clear" w:color="D9D9D9" w:fill="D9D9D9"/>
            <w:vAlign w:val="center"/>
          </w:tcPr>
          <w:p w14:paraId="3FED2329" w14:textId="77777777" w:rsidR="00EB0D03" w:rsidRDefault="004D2E04">
            <w:pPr>
              <w:spacing w:after="0"/>
              <w:jc w:val="left"/>
              <w:rPr>
                <w:smallCaps/>
                <w:sz w:val="16"/>
              </w:rPr>
            </w:pPr>
            <w:r>
              <w:rPr>
                <w:smallCaps/>
                <w:color w:val="000000"/>
                <w:sz w:val="16"/>
              </w:rPr>
              <w:t>THÉMATIQUE</w:t>
            </w:r>
          </w:p>
        </w:tc>
        <w:tc>
          <w:tcPr>
            <w:tcW w:w="1417" w:type="dxa"/>
            <w:shd w:val="clear" w:color="D9D9D9" w:fill="D9D9D9"/>
            <w:vAlign w:val="center"/>
          </w:tcPr>
          <w:p w14:paraId="076AA148" w14:textId="77777777" w:rsidR="00EB0D03" w:rsidRDefault="004D2E04">
            <w:pPr>
              <w:spacing w:after="0"/>
              <w:jc w:val="left"/>
              <w:rPr>
                <w:smallCaps/>
                <w:sz w:val="16"/>
              </w:rPr>
            </w:pPr>
            <w:r>
              <w:rPr>
                <w:smallCaps/>
                <w:color w:val="000000"/>
                <w:sz w:val="16"/>
              </w:rPr>
              <w:t>CRITÈRES</w:t>
            </w:r>
          </w:p>
        </w:tc>
        <w:tc>
          <w:tcPr>
            <w:tcW w:w="4819" w:type="dxa"/>
            <w:shd w:val="clear" w:color="D9D9D9" w:fill="D9D9D9"/>
            <w:vAlign w:val="center"/>
          </w:tcPr>
          <w:p w14:paraId="20BA0247" w14:textId="77777777" w:rsidR="00EB0D03" w:rsidRDefault="004D2E04">
            <w:pPr>
              <w:spacing w:after="0"/>
              <w:jc w:val="left"/>
              <w:rPr>
                <w:smallCaps/>
                <w:sz w:val="16"/>
              </w:rPr>
            </w:pPr>
            <w:r>
              <w:rPr>
                <w:smallCaps/>
                <w:color w:val="000000"/>
                <w:sz w:val="16"/>
              </w:rPr>
              <w:t xml:space="preserve">PRÉCISIONS </w:t>
            </w:r>
          </w:p>
        </w:tc>
        <w:tc>
          <w:tcPr>
            <w:tcW w:w="1799" w:type="dxa"/>
            <w:shd w:val="clear" w:color="D9D9D9" w:fill="D9D9D9"/>
            <w:vAlign w:val="center"/>
          </w:tcPr>
          <w:p w14:paraId="1AF61D56" w14:textId="77777777" w:rsidR="00EB0D03" w:rsidRDefault="004D2E04">
            <w:pPr>
              <w:spacing w:after="0"/>
              <w:jc w:val="left"/>
              <w:rPr>
                <w:smallCaps/>
                <w:sz w:val="16"/>
              </w:rPr>
            </w:pPr>
            <w:r>
              <w:rPr>
                <w:smallCaps/>
                <w:color w:val="000000"/>
                <w:sz w:val="16"/>
              </w:rPr>
              <w:t>INFORMATION À PRODUIRE</w:t>
            </w:r>
          </w:p>
        </w:tc>
      </w:tr>
      <w:tr w:rsidR="00EB0D03" w14:paraId="1F614142" w14:textId="77777777" w:rsidTr="00B07E04">
        <w:trPr>
          <w:trHeight w:val="1048"/>
        </w:trPr>
        <w:tc>
          <w:tcPr>
            <w:tcW w:w="1422" w:type="dxa"/>
            <w:vMerge w:val="restart"/>
            <w:shd w:val="clear" w:color="F2F2F2" w:fill="F2F2F2"/>
            <w:vAlign w:val="center"/>
          </w:tcPr>
          <w:p w14:paraId="418BA572" w14:textId="77777777" w:rsidR="00EB0D03" w:rsidRDefault="004D2E04">
            <w:pPr>
              <w:spacing w:after="0"/>
              <w:jc w:val="left"/>
              <w:rPr>
                <w:sz w:val="20"/>
              </w:rPr>
            </w:pPr>
            <w:r>
              <w:rPr>
                <w:sz w:val="20"/>
              </w:rPr>
              <w:t>Projet d’innovation</w:t>
            </w:r>
          </w:p>
        </w:tc>
        <w:tc>
          <w:tcPr>
            <w:tcW w:w="1417" w:type="dxa"/>
            <w:shd w:val="clear" w:color="F2F2F2" w:fill="F2F2F2"/>
            <w:vAlign w:val="center"/>
          </w:tcPr>
          <w:p w14:paraId="2556EABF" w14:textId="77777777" w:rsidR="00EB0D03" w:rsidRDefault="004D2E04">
            <w:pPr>
              <w:spacing w:after="0"/>
              <w:jc w:val="left"/>
              <w:rPr>
                <w:sz w:val="20"/>
              </w:rPr>
            </w:pPr>
            <w:r>
              <w:rPr>
                <w:sz w:val="20"/>
              </w:rPr>
              <w:t xml:space="preserve">Montage du projet </w:t>
            </w:r>
          </w:p>
        </w:tc>
        <w:tc>
          <w:tcPr>
            <w:tcW w:w="4819" w:type="dxa"/>
            <w:shd w:val="clear" w:color="auto" w:fill="auto"/>
            <w:vAlign w:val="center"/>
          </w:tcPr>
          <w:p w14:paraId="12785D2F"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Gouvernance, planning et jalons décisionnels, gestion des risques, description des coûts projet, clarté de la rédaction</w:t>
            </w:r>
          </w:p>
        </w:tc>
        <w:tc>
          <w:tcPr>
            <w:tcW w:w="1799" w:type="dxa"/>
            <w:shd w:val="clear" w:color="auto" w:fill="auto"/>
            <w:vAlign w:val="center"/>
          </w:tcPr>
          <w:p w14:paraId="2E9B859A"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Annexes 3.a, 4</w:t>
            </w:r>
          </w:p>
        </w:tc>
      </w:tr>
      <w:tr w:rsidR="00EB0D03" w14:paraId="3F115418" w14:textId="77777777" w:rsidTr="00B07E04">
        <w:trPr>
          <w:trHeight w:val="1231"/>
        </w:trPr>
        <w:tc>
          <w:tcPr>
            <w:tcW w:w="1422" w:type="dxa"/>
            <w:vMerge/>
            <w:shd w:val="clear" w:color="F2F2F2" w:fill="F2F2F2"/>
            <w:vAlign w:val="center"/>
          </w:tcPr>
          <w:p w14:paraId="7111526C" w14:textId="77777777" w:rsidR="00EB0D03" w:rsidRDefault="00EB0D03">
            <w:pPr>
              <w:widowControl w:val="0"/>
              <w:pBdr>
                <w:top w:val="none" w:sz="4" w:space="0" w:color="000000"/>
                <w:left w:val="none" w:sz="4" w:space="0" w:color="000000"/>
                <w:bottom w:val="none" w:sz="4" w:space="0" w:color="000000"/>
                <w:right w:val="none" w:sz="4" w:space="0" w:color="000000"/>
                <w:between w:val="none" w:sz="4" w:space="0" w:color="000000"/>
              </w:pBdr>
              <w:spacing w:after="0"/>
              <w:jc w:val="left"/>
            </w:pPr>
          </w:p>
        </w:tc>
        <w:tc>
          <w:tcPr>
            <w:tcW w:w="1417" w:type="dxa"/>
            <w:shd w:val="clear" w:color="F2F2F2" w:fill="F2F2F2"/>
            <w:vAlign w:val="center"/>
          </w:tcPr>
          <w:p w14:paraId="4093E415" w14:textId="77777777" w:rsidR="00EB0D03" w:rsidRDefault="004D2E04">
            <w:pPr>
              <w:spacing w:after="0"/>
              <w:jc w:val="left"/>
              <w:rPr>
                <w:sz w:val="20"/>
              </w:rPr>
            </w:pPr>
            <w:r>
              <w:rPr>
                <w:sz w:val="20"/>
              </w:rPr>
              <w:t>Consortium</w:t>
            </w:r>
          </w:p>
        </w:tc>
        <w:tc>
          <w:tcPr>
            <w:tcW w:w="4819" w:type="dxa"/>
            <w:shd w:val="clear" w:color="auto" w:fill="auto"/>
            <w:vAlign w:val="center"/>
          </w:tcPr>
          <w:p w14:paraId="04A1D45F"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Pertinence et complémentarité du partenariat le cas échéant</w:t>
            </w:r>
          </w:p>
        </w:tc>
        <w:tc>
          <w:tcPr>
            <w:tcW w:w="1799" w:type="dxa"/>
            <w:shd w:val="clear" w:color="auto" w:fill="auto"/>
            <w:vAlign w:val="center"/>
          </w:tcPr>
          <w:p w14:paraId="4F5CF2B7"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Annexes 3.a ; 3.b</w:t>
            </w:r>
          </w:p>
          <w:p w14:paraId="3BD824C8"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Projet d’accord de consortium (format libre)</w:t>
            </w:r>
          </w:p>
          <w:p w14:paraId="6E07DF60"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 xml:space="preserve">Mandat de représentation pour le coordinateur </w:t>
            </w:r>
          </w:p>
        </w:tc>
      </w:tr>
      <w:tr w:rsidR="00EB0D03" w14:paraId="54CC5E09" w14:textId="77777777" w:rsidTr="00B07E04">
        <w:trPr>
          <w:trHeight w:val="1048"/>
        </w:trPr>
        <w:tc>
          <w:tcPr>
            <w:tcW w:w="1422" w:type="dxa"/>
            <w:vMerge/>
            <w:shd w:val="clear" w:color="F2F2F2" w:fill="F2F2F2"/>
            <w:vAlign w:val="center"/>
          </w:tcPr>
          <w:p w14:paraId="16D3FE0E" w14:textId="77777777" w:rsidR="00EB0D03" w:rsidRDefault="00EB0D03">
            <w:pPr>
              <w:widowControl w:val="0"/>
              <w:pBdr>
                <w:top w:val="none" w:sz="4" w:space="0" w:color="000000"/>
                <w:left w:val="none" w:sz="4" w:space="0" w:color="000000"/>
                <w:bottom w:val="none" w:sz="4" w:space="0" w:color="000000"/>
                <w:right w:val="none" w:sz="4" w:space="0" w:color="000000"/>
                <w:between w:val="none" w:sz="4" w:space="0" w:color="000000"/>
              </w:pBdr>
              <w:spacing w:after="0"/>
              <w:jc w:val="left"/>
            </w:pPr>
          </w:p>
        </w:tc>
        <w:tc>
          <w:tcPr>
            <w:tcW w:w="1417" w:type="dxa"/>
            <w:shd w:val="clear" w:color="F2F2F2" w:fill="F2F2F2"/>
            <w:vAlign w:val="center"/>
          </w:tcPr>
          <w:p w14:paraId="5DC610B0" w14:textId="77777777" w:rsidR="00EB0D03" w:rsidRDefault="004D2E04">
            <w:pPr>
              <w:spacing w:after="0"/>
              <w:jc w:val="left"/>
              <w:rPr>
                <w:sz w:val="20"/>
              </w:rPr>
            </w:pPr>
            <w:r>
              <w:rPr>
                <w:sz w:val="20"/>
              </w:rPr>
              <w:t>Plan de financement (projet)</w:t>
            </w:r>
          </w:p>
        </w:tc>
        <w:tc>
          <w:tcPr>
            <w:tcW w:w="4819" w:type="dxa"/>
            <w:shd w:val="clear" w:color="auto" w:fill="auto"/>
            <w:vAlign w:val="center"/>
          </w:tcPr>
          <w:p w14:paraId="127B1338"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 xml:space="preserve">Modalités de financement du projet (vigilance sur le respect des besoins en fonds propres – </w:t>
            </w:r>
            <w:proofErr w:type="spellStart"/>
            <w:r>
              <w:rPr>
                <w:sz w:val="20"/>
              </w:rPr>
              <w:t>cf</w:t>
            </w:r>
            <w:proofErr w:type="spellEnd"/>
            <w:r>
              <w:rPr>
                <w:sz w:val="20"/>
              </w:rPr>
              <w:t xml:space="preserve"> 4.3.2)</w:t>
            </w:r>
          </w:p>
          <w:p w14:paraId="169D18AC"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proofErr w:type="spellStart"/>
            <w:r>
              <w:rPr>
                <w:sz w:val="20"/>
              </w:rPr>
              <w:t>Incitativité</w:t>
            </w:r>
            <w:proofErr w:type="spellEnd"/>
            <w:r>
              <w:rPr>
                <w:sz w:val="20"/>
              </w:rPr>
              <w:t xml:space="preserve"> de l’aide</w:t>
            </w:r>
          </w:p>
        </w:tc>
        <w:tc>
          <w:tcPr>
            <w:tcW w:w="1799" w:type="dxa"/>
            <w:shd w:val="clear" w:color="auto" w:fill="auto"/>
            <w:vAlign w:val="center"/>
          </w:tcPr>
          <w:p w14:paraId="23C84358"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Annexes 3.b ; 6</w:t>
            </w:r>
          </w:p>
        </w:tc>
      </w:tr>
      <w:tr w:rsidR="00EB0D03" w14:paraId="15D0013C" w14:textId="77777777" w:rsidTr="00B07E04">
        <w:trPr>
          <w:trHeight w:val="1048"/>
        </w:trPr>
        <w:tc>
          <w:tcPr>
            <w:tcW w:w="1422" w:type="dxa"/>
            <w:vMerge/>
            <w:shd w:val="clear" w:color="F2F2F2" w:fill="F2F2F2"/>
            <w:vAlign w:val="center"/>
          </w:tcPr>
          <w:p w14:paraId="3F405BA8" w14:textId="77777777" w:rsidR="00EB0D03" w:rsidRDefault="00EB0D03">
            <w:pPr>
              <w:widowControl w:val="0"/>
              <w:pBdr>
                <w:top w:val="none" w:sz="4" w:space="0" w:color="000000"/>
                <w:left w:val="none" w:sz="4" w:space="0" w:color="000000"/>
                <w:bottom w:val="none" w:sz="4" w:space="0" w:color="000000"/>
                <w:right w:val="none" w:sz="4" w:space="0" w:color="000000"/>
                <w:between w:val="none" w:sz="4" w:space="0" w:color="000000"/>
              </w:pBdr>
              <w:spacing w:after="0"/>
              <w:jc w:val="left"/>
            </w:pPr>
          </w:p>
        </w:tc>
        <w:tc>
          <w:tcPr>
            <w:tcW w:w="1417" w:type="dxa"/>
            <w:shd w:val="clear" w:color="F2F2F2" w:fill="F2F2F2"/>
            <w:vAlign w:val="center"/>
          </w:tcPr>
          <w:p w14:paraId="23091473" w14:textId="77777777" w:rsidR="00EB0D03" w:rsidRDefault="004D2E04">
            <w:pPr>
              <w:spacing w:after="0"/>
              <w:jc w:val="left"/>
              <w:rPr>
                <w:sz w:val="20"/>
              </w:rPr>
            </w:pPr>
            <w:r>
              <w:rPr>
                <w:sz w:val="20"/>
              </w:rPr>
              <w:t>Innovation</w:t>
            </w:r>
          </w:p>
        </w:tc>
        <w:tc>
          <w:tcPr>
            <w:tcW w:w="4819" w:type="dxa"/>
            <w:shd w:val="clear" w:color="auto" w:fill="auto"/>
            <w:vAlign w:val="center"/>
          </w:tcPr>
          <w:p w14:paraId="2E624024"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Innovation de type : technologique (visant le produit et/ou les process), économique, ou organisationnelle</w:t>
            </w:r>
          </w:p>
          <w:p w14:paraId="0A43800B"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Verrous à lever</w:t>
            </w:r>
          </w:p>
          <w:p w14:paraId="5A93ED1A"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Etat de l’art</w:t>
            </w:r>
          </w:p>
        </w:tc>
        <w:tc>
          <w:tcPr>
            <w:tcW w:w="1799" w:type="dxa"/>
            <w:shd w:val="clear" w:color="auto" w:fill="auto"/>
            <w:vAlign w:val="center"/>
          </w:tcPr>
          <w:p w14:paraId="77FBE6BE"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Annexe 3.a</w:t>
            </w:r>
          </w:p>
        </w:tc>
      </w:tr>
      <w:tr w:rsidR="00EB0D03" w14:paraId="5AEB7C5B" w14:textId="77777777" w:rsidTr="00B07E04">
        <w:trPr>
          <w:trHeight w:val="1477"/>
        </w:trPr>
        <w:tc>
          <w:tcPr>
            <w:tcW w:w="1422" w:type="dxa"/>
            <w:vMerge/>
            <w:shd w:val="clear" w:color="F2F2F2" w:fill="F2F2F2"/>
            <w:vAlign w:val="center"/>
          </w:tcPr>
          <w:p w14:paraId="67CC1829" w14:textId="77777777" w:rsidR="00EB0D03" w:rsidRDefault="00EB0D03">
            <w:pPr>
              <w:widowControl w:val="0"/>
              <w:pBdr>
                <w:top w:val="none" w:sz="4" w:space="0" w:color="000000"/>
                <w:left w:val="none" w:sz="4" w:space="0" w:color="000000"/>
                <w:bottom w:val="none" w:sz="4" w:space="0" w:color="000000"/>
                <w:right w:val="none" w:sz="4" w:space="0" w:color="000000"/>
                <w:between w:val="none" w:sz="4" w:space="0" w:color="000000"/>
              </w:pBdr>
              <w:spacing w:after="0"/>
              <w:jc w:val="left"/>
            </w:pPr>
          </w:p>
        </w:tc>
        <w:tc>
          <w:tcPr>
            <w:tcW w:w="1417" w:type="dxa"/>
            <w:shd w:val="clear" w:color="F2F2F2" w:fill="F2F2F2"/>
            <w:vAlign w:val="center"/>
          </w:tcPr>
          <w:p w14:paraId="1BC7D408" w14:textId="77777777" w:rsidR="00EB0D03" w:rsidRDefault="004D2E04">
            <w:pPr>
              <w:spacing w:after="0"/>
              <w:jc w:val="left"/>
              <w:rPr>
                <w:sz w:val="20"/>
              </w:rPr>
            </w:pPr>
            <w:r>
              <w:rPr>
                <w:sz w:val="20"/>
              </w:rPr>
              <w:t>Impacts</w:t>
            </w:r>
          </w:p>
        </w:tc>
        <w:tc>
          <w:tcPr>
            <w:tcW w:w="4819" w:type="dxa"/>
            <w:shd w:val="clear" w:color="auto" w:fill="auto"/>
            <w:vAlign w:val="center"/>
          </w:tcPr>
          <w:p w14:paraId="5C1E0967" w14:textId="77777777" w:rsidR="00EB0D03" w:rsidRDefault="00EB0D03">
            <w:pPr>
              <w:pBdr>
                <w:top w:val="none" w:sz="4" w:space="0" w:color="000000"/>
                <w:left w:val="none" w:sz="4" w:space="0" w:color="000000"/>
                <w:bottom w:val="none" w:sz="4" w:space="0" w:color="000000"/>
                <w:right w:val="none" w:sz="4" w:space="0" w:color="000000"/>
                <w:between w:val="none" w:sz="4" w:space="0" w:color="000000"/>
              </w:pBdr>
              <w:spacing w:after="0"/>
              <w:ind w:left="376"/>
              <w:jc w:val="left"/>
              <w:rPr>
                <w:sz w:val="20"/>
              </w:rPr>
            </w:pPr>
          </w:p>
          <w:p w14:paraId="075B8DBC"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 xml:space="preserve">Quantification des éléments annoncés en annexe 5 (ex : ACV, ETV, préservation de la biodiversité, </w:t>
            </w:r>
            <w:proofErr w:type="spellStart"/>
            <w:r>
              <w:rPr>
                <w:sz w:val="20"/>
              </w:rPr>
              <w:t>etc</w:t>
            </w:r>
            <w:proofErr w:type="spellEnd"/>
            <w:r>
              <w:rPr>
                <w:sz w:val="20"/>
              </w:rPr>
              <w:t>)</w:t>
            </w:r>
          </w:p>
          <w:p w14:paraId="5E592C8D"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Performance environnementale, économique, sociale</w:t>
            </w:r>
          </w:p>
          <w:p w14:paraId="1E0F1376" w14:textId="77777777" w:rsidR="00EB0D03" w:rsidRPr="00DA20D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sidRPr="00DA20D3">
              <w:rPr>
                <w:sz w:val="20"/>
              </w:rPr>
              <w:t>Valorisation d’une ressource locale durable ou sous-utilisée</w:t>
            </w:r>
          </w:p>
          <w:p w14:paraId="436A6178" w14:textId="77777777" w:rsidR="00EB0D03" w:rsidRDefault="00EB0D03">
            <w:pPr>
              <w:pBdr>
                <w:top w:val="none" w:sz="4" w:space="0" w:color="000000"/>
                <w:left w:val="none" w:sz="4" w:space="0" w:color="000000"/>
                <w:bottom w:val="none" w:sz="4" w:space="0" w:color="000000"/>
                <w:right w:val="none" w:sz="4" w:space="0" w:color="000000"/>
                <w:between w:val="none" w:sz="4" w:space="0" w:color="000000"/>
              </w:pBdr>
              <w:spacing w:after="0"/>
              <w:jc w:val="left"/>
              <w:rPr>
                <w:sz w:val="20"/>
              </w:rPr>
            </w:pPr>
          </w:p>
        </w:tc>
        <w:tc>
          <w:tcPr>
            <w:tcW w:w="1799" w:type="dxa"/>
            <w:shd w:val="clear" w:color="auto" w:fill="auto"/>
            <w:vAlign w:val="center"/>
          </w:tcPr>
          <w:p w14:paraId="632A1CFF" w14:textId="77777777" w:rsidR="00EB0D03" w:rsidRDefault="00EB0D03">
            <w:pPr>
              <w:pBdr>
                <w:top w:val="none" w:sz="4" w:space="0" w:color="000000"/>
                <w:left w:val="none" w:sz="4" w:space="0" w:color="000000"/>
                <w:bottom w:val="none" w:sz="4" w:space="0" w:color="000000"/>
                <w:right w:val="none" w:sz="4" w:space="0" w:color="000000"/>
                <w:between w:val="none" w:sz="4" w:space="0" w:color="000000"/>
              </w:pBdr>
              <w:spacing w:after="0"/>
              <w:ind w:left="376"/>
              <w:jc w:val="left"/>
              <w:rPr>
                <w:sz w:val="20"/>
              </w:rPr>
            </w:pPr>
          </w:p>
          <w:p w14:paraId="61A74BC2" w14:textId="03008375"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Annexes 3.a, 5</w:t>
            </w:r>
            <w:r w:rsidR="0039513F">
              <w:rPr>
                <w:sz w:val="20"/>
              </w:rPr>
              <w:t>, 6</w:t>
            </w:r>
          </w:p>
          <w:p w14:paraId="6A124B9C" w14:textId="77777777" w:rsidR="00EB0D03" w:rsidRDefault="00EB0D03">
            <w:pPr>
              <w:pBdr>
                <w:top w:val="none" w:sz="4" w:space="0" w:color="000000"/>
                <w:left w:val="none" w:sz="4" w:space="0" w:color="000000"/>
                <w:bottom w:val="none" w:sz="4" w:space="0" w:color="000000"/>
                <w:right w:val="none" w:sz="4" w:space="0" w:color="000000"/>
                <w:between w:val="none" w:sz="4" w:space="0" w:color="000000"/>
              </w:pBdr>
              <w:spacing w:after="0"/>
              <w:jc w:val="left"/>
              <w:rPr>
                <w:sz w:val="20"/>
              </w:rPr>
            </w:pPr>
          </w:p>
        </w:tc>
      </w:tr>
      <w:tr w:rsidR="00EB0D03" w14:paraId="29AFDBE9" w14:textId="77777777" w:rsidTr="00B07E04">
        <w:trPr>
          <w:trHeight w:val="827"/>
        </w:trPr>
        <w:tc>
          <w:tcPr>
            <w:tcW w:w="1422" w:type="dxa"/>
            <w:vMerge w:val="restart"/>
            <w:shd w:val="clear" w:color="F2F2F2" w:fill="F2F2F2"/>
            <w:vAlign w:val="center"/>
          </w:tcPr>
          <w:p w14:paraId="170EA35A" w14:textId="77777777" w:rsidR="00EB0D03" w:rsidRDefault="004D2E04">
            <w:pPr>
              <w:spacing w:after="0"/>
              <w:jc w:val="left"/>
              <w:rPr>
                <w:sz w:val="20"/>
              </w:rPr>
            </w:pPr>
            <w:r>
              <w:rPr>
                <w:sz w:val="20"/>
              </w:rPr>
              <w:t>Marché</w:t>
            </w:r>
          </w:p>
        </w:tc>
        <w:tc>
          <w:tcPr>
            <w:tcW w:w="1417" w:type="dxa"/>
            <w:shd w:val="clear" w:color="F2F2F2" w:fill="F2F2F2"/>
            <w:vAlign w:val="center"/>
          </w:tcPr>
          <w:p w14:paraId="279D6394" w14:textId="77777777" w:rsidR="00EB0D03" w:rsidRDefault="004D2E04">
            <w:pPr>
              <w:spacing w:after="0"/>
              <w:jc w:val="left"/>
              <w:rPr>
                <w:sz w:val="20"/>
              </w:rPr>
            </w:pPr>
            <w:r>
              <w:rPr>
                <w:sz w:val="20"/>
              </w:rPr>
              <w:t>Réplicabilité de la Solution</w:t>
            </w:r>
          </w:p>
        </w:tc>
        <w:tc>
          <w:tcPr>
            <w:tcW w:w="4819" w:type="dxa"/>
            <w:shd w:val="clear" w:color="auto" w:fill="auto"/>
            <w:vAlign w:val="center"/>
          </w:tcPr>
          <w:p w14:paraId="5C01DADD"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 xml:space="preserve">Caractère généralisable de la Solution </w:t>
            </w:r>
          </w:p>
          <w:p w14:paraId="4E362FAB"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Protection de la propriété intellectuelle développée</w:t>
            </w:r>
          </w:p>
        </w:tc>
        <w:tc>
          <w:tcPr>
            <w:tcW w:w="1799" w:type="dxa"/>
            <w:shd w:val="clear" w:color="auto" w:fill="auto"/>
            <w:vAlign w:val="center"/>
          </w:tcPr>
          <w:p w14:paraId="0FCF95BB"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Annexes 3.a, 3.b</w:t>
            </w:r>
          </w:p>
        </w:tc>
      </w:tr>
      <w:tr w:rsidR="00EB0D03" w14:paraId="6C7D017B" w14:textId="77777777" w:rsidTr="00B07E04">
        <w:trPr>
          <w:trHeight w:val="1231"/>
        </w:trPr>
        <w:tc>
          <w:tcPr>
            <w:tcW w:w="1422" w:type="dxa"/>
            <w:vMerge/>
            <w:shd w:val="clear" w:color="F2F2F2" w:fill="F2F2F2"/>
            <w:vAlign w:val="center"/>
          </w:tcPr>
          <w:p w14:paraId="5A943D3B" w14:textId="77777777" w:rsidR="00EB0D03" w:rsidRDefault="00EB0D03">
            <w:pPr>
              <w:widowControl w:val="0"/>
              <w:pBdr>
                <w:top w:val="none" w:sz="4" w:space="0" w:color="000000"/>
                <w:left w:val="none" w:sz="4" w:space="0" w:color="000000"/>
                <w:bottom w:val="none" w:sz="4" w:space="0" w:color="000000"/>
                <w:right w:val="none" w:sz="4" w:space="0" w:color="000000"/>
                <w:between w:val="none" w:sz="4" w:space="0" w:color="000000"/>
              </w:pBdr>
              <w:spacing w:after="0"/>
              <w:jc w:val="left"/>
            </w:pPr>
          </w:p>
        </w:tc>
        <w:tc>
          <w:tcPr>
            <w:tcW w:w="1417" w:type="dxa"/>
            <w:shd w:val="clear" w:color="F2F2F2" w:fill="F2F2F2"/>
            <w:vAlign w:val="center"/>
          </w:tcPr>
          <w:p w14:paraId="03FDD422" w14:textId="77777777" w:rsidR="00EB0D03" w:rsidRDefault="004D2E04">
            <w:pPr>
              <w:spacing w:after="0"/>
              <w:jc w:val="left"/>
              <w:rPr>
                <w:sz w:val="20"/>
              </w:rPr>
            </w:pPr>
            <w:r>
              <w:rPr>
                <w:sz w:val="20"/>
              </w:rPr>
              <w:t>Pertinence du modèle d’affaires</w:t>
            </w:r>
          </w:p>
        </w:tc>
        <w:tc>
          <w:tcPr>
            <w:tcW w:w="4819" w:type="dxa"/>
            <w:shd w:val="clear" w:color="auto" w:fill="auto"/>
            <w:vAlign w:val="center"/>
          </w:tcPr>
          <w:p w14:paraId="3BBFCBB5"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Accès aux marchés et modèle d’affaires (Produits et services envisagés / segments de marchés)</w:t>
            </w:r>
          </w:p>
          <w:p w14:paraId="47F6B0CD"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Qualité du modèle économique</w:t>
            </w:r>
          </w:p>
          <w:p w14:paraId="5DE97E57"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Plan d’affaires et hypothèses étayés : analyse concurrentielle, manifestations d’intérêt, …</w:t>
            </w:r>
          </w:p>
        </w:tc>
        <w:tc>
          <w:tcPr>
            <w:tcW w:w="1799" w:type="dxa"/>
            <w:shd w:val="clear" w:color="auto" w:fill="auto"/>
            <w:vAlign w:val="center"/>
          </w:tcPr>
          <w:p w14:paraId="61A0AF96" w14:textId="77777777" w:rsidR="00EB0D03" w:rsidRDefault="004D2E04"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Annexes 3.a, 3.b</w:t>
            </w:r>
          </w:p>
        </w:tc>
      </w:tr>
      <w:tr w:rsidR="004E4A62" w14:paraId="750F00A0" w14:textId="77777777" w:rsidTr="00B07E04">
        <w:trPr>
          <w:trHeight w:val="2160"/>
        </w:trPr>
        <w:tc>
          <w:tcPr>
            <w:tcW w:w="1422" w:type="dxa"/>
            <w:vMerge w:val="restart"/>
            <w:shd w:val="clear" w:color="F2F2F2" w:fill="F2F2F2"/>
            <w:vAlign w:val="center"/>
          </w:tcPr>
          <w:p w14:paraId="12AEAC6B" w14:textId="77777777" w:rsidR="004E4A62" w:rsidRDefault="004E4A62">
            <w:pPr>
              <w:spacing w:after="0"/>
              <w:jc w:val="left"/>
              <w:rPr>
                <w:sz w:val="20"/>
              </w:rPr>
            </w:pPr>
            <w:r>
              <w:rPr>
                <w:sz w:val="20"/>
              </w:rPr>
              <w:t>Post-projet</w:t>
            </w:r>
          </w:p>
        </w:tc>
        <w:tc>
          <w:tcPr>
            <w:tcW w:w="1417" w:type="dxa"/>
            <w:shd w:val="clear" w:color="F2F2F2" w:fill="F2F2F2"/>
            <w:vAlign w:val="center"/>
          </w:tcPr>
          <w:p w14:paraId="52194B87" w14:textId="77777777" w:rsidR="004E4A62" w:rsidRDefault="004E4A62">
            <w:pPr>
              <w:spacing w:after="0"/>
              <w:jc w:val="left"/>
              <w:rPr>
                <w:sz w:val="20"/>
              </w:rPr>
            </w:pPr>
            <w:r>
              <w:rPr>
                <w:sz w:val="20"/>
              </w:rPr>
              <w:t>Impacts socio-économiques</w:t>
            </w:r>
          </w:p>
        </w:tc>
        <w:tc>
          <w:tcPr>
            <w:tcW w:w="4819" w:type="dxa"/>
            <w:shd w:val="clear" w:color="auto" w:fill="auto"/>
            <w:vAlign w:val="center"/>
          </w:tcPr>
          <w:p w14:paraId="2F735EE6" w14:textId="77777777" w:rsidR="004E4A62" w:rsidRDefault="004E4A62"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 xml:space="preserve">Perspectives de création ou de maintien de l’emploi </w:t>
            </w:r>
          </w:p>
          <w:p w14:paraId="780C63C2" w14:textId="77777777" w:rsidR="004E4A62" w:rsidRDefault="004E4A62"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Perspectives d’amélioration de la compétitivité</w:t>
            </w:r>
          </w:p>
          <w:p w14:paraId="0E5C1140" w14:textId="77777777" w:rsidR="004E4A62" w:rsidRDefault="004E4A62"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Bénéfices attendus du projet, directs et induits, pour l’écosystème</w:t>
            </w:r>
          </w:p>
          <w:p w14:paraId="7D0E7CD1" w14:textId="77777777" w:rsidR="004E4A62" w:rsidRDefault="004E4A62"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Enjeux sociaux et sociétaux, le cas échéant, territoriaux</w:t>
            </w:r>
          </w:p>
        </w:tc>
        <w:tc>
          <w:tcPr>
            <w:tcW w:w="1799" w:type="dxa"/>
            <w:shd w:val="clear" w:color="auto" w:fill="auto"/>
            <w:vAlign w:val="center"/>
          </w:tcPr>
          <w:p w14:paraId="2FD76373" w14:textId="77777777" w:rsidR="004E4A62" w:rsidRDefault="004E4A62"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Annexe 3.a</w:t>
            </w:r>
          </w:p>
        </w:tc>
      </w:tr>
      <w:tr w:rsidR="004E4A62" w14:paraId="41A73A65" w14:textId="77777777" w:rsidTr="00B07E04">
        <w:trPr>
          <w:trHeight w:val="773"/>
        </w:trPr>
        <w:tc>
          <w:tcPr>
            <w:tcW w:w="1422" w:type="dxa"/>
            <w:vMerge/>
            <w:shd w:val="clear" w:color="F2F2F2" w:fill="F2F2F2"/>
            <w:vAlign w:val="center"/>
          </w:tcPr>
          <w:p w14:paraId="5B97EFC3" w14:textId="77777777" w:rsidR="004E4A62" w:rsidRDefault="004E4A62">
            <w:pPr>
              <w:widowControl w:val="0"/>
              <w:pBdr>
                <w:top w:val="none" w:sz="4" w:space="0" w:color="000000"/>
                <w:left w:val="none" w:sz="4" w:space="0" w:color="000000"/>
                <w:bottom w:val="none" w:sz="4" w:space="0" w:color="000000"/>
                <w:right w:val="none" w:sz="4" w:space="0" w:color="000000"/>
                <w:between w:val="none" w:sz="4" w:space="0" w:color="000000"/>
              </w:pBdr>
              <w:spacing w:after="0"/>
              <w:jc w:val="left"/>
            </w:pPr>
          </w:p>
        </w:tc>
        <w:tc>
          <w:tcPr>
            <w:tcW w:w="1417" w:type="dxa"/>
            <w:shd w:val="clear" w:color="F2F2F2" w:fill="F2F2F2"/>
            <w:vAlign w:val="center"/>
          </w:tcPr>
          <w:p w14:paraId="6ED5EC92" w14:textId="77777777" w:rsidR="004E4A62" w:rsidRDefault="004E4A62">
            <w:pPr>
              <w:spacing w:after="0"/>
              <w:jc w:val="left"/>
              <w:rPr>
                <w:sz w:val="20"/>
              </w:rPr>
            </w:pPr>
            <w:r>
              <w:rPr>
                <w:sz w:val="20"/>
              </w:rPr>
              <w:t>Plan de financement (post-projet)</w:t>
            </w:r>
          </w:p>
        </w:tc>
        <w:tc>
          <w:tcPr>
            <w:tcW w:w="4819" w:type="dxa"/>
            <w:shd w:val="clear" w:color="auto" w:fill="auto"/>
            <w:vAlign w:val="center"/>
          </w:tcPr>
          <w:p w14:paraId="1FE189FD" w14:textId="77777777" w:rsidR="004E4A62" w:rsidRDefault="004E4A62"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Le cas échéant, description des modalités de financement post-projet.</w:t>
            </w:r>
          </w:p>
        </w:tc>
        <w:tc>
          <w:tcPr>
            <w:tcW w:w="1799" w:type="dxa"/>
            <w:shd w:val="clear" w:color="auto" w:fill="auto"/>
            <w:vAlign w:val="center"/>
          </w:tcPr>
          <w:p w14:paraId="2A776695" w14:textId="77777777" w:rsidR="004E4A62" w:rsidRDefault="004E4A62"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Annexe 6</w:t>
            </w:r>
          </w:p>
        </w:tc>
      </w:tr>
      <w:tr w:rsidR="004E4A62" w14:paraId="704B41D4" w14:textId="77777777" w:rsidTr="00FB1273">
        <w:trPr>
          <w:trHeight w:val="178"/>
        </w:trPr>
        <w:tc>
          <w:tcPr>
            <w:tcW w:w="1422" w:type="dxa"/>
            <w:vMerge/>
            <w:shd w:val="clear" w:color="F2F2F2" w:fill="F2F2F2"/>
            <w:vAlign w:val="center"/>
          </w:tcPr>
          <w:p w14:paraId="3E3913B2" w14:textId="77777777" w:rsidR="004E4A62" w:rsidRDefault="004E4A62">
            <w:pPr>
              <w:widowControl w:val="0"/>
              <w:pBdr>
                <w:top w:val="none" w:sz="4" w:space="0" w:color="000000"/>
                <w:left w:val="none" w:sz="4" w:space="0" w:color="000000"/>
                <w:bottom w:val="none" w:sz="4" w:space="0" w:color="000000"/>
                <w:right w:val="none" w:sz="4" w:space="0" w:color="000000"/>
                <w:between w:val="none" w:sz="4" w:space="0" w:color="000000"/>
              </w:pBdr>
              <w:spacing w:after="0"/>
              <w:jc w:val="left"/>
            </w:pPr>
          </w:p>
        </w:tc>
        <w:tc>
          <w:tcPr>
            <w:tcW w:w="1417" w:type="dxa"/>
            <w:shd w:val="clear" w:color="F2F2F2" w:fill="F2F2F2"/>
            <w:vAlign w:val="center"/>
          </w:tcPr>
          <w:p w14:paraId="2EB565A3" w14:textId="1A385C1B" w:rsidR="004E4A62" w:rsidRDefault="004E4A62">
            <w:pPr>
              <w:spacing w:after="0"/>
              <w:jc w:val="left"/>
              <w:rPr>
                <w:sz w:val="20"/>
              </w:rPr>
            </w:pPr>
            <w:r>
              <w:rPr>
                <w:sz w:val="20"/>
              </w:rPr>
              <w:t>Industrialisation</w:t>
            </w:r>
          </w:p>
        </w:tc>
        <w:tc>
          <w:tcPr>
            <w:tcW w:w="4819" w:type="dxa"/>
            <w:shd w:val="clear" w:color="auto" w:fill="auto"/>
            <w:vAlign w:val="center"/>
          </w:tcPr>
          <w:p w14:paraId="0008ED1E" w14:textId="40BC2CE1" w:rsidR="004E4A62" w:rsidRPr="004E4A62" w:rsidRDefault="002955DD" w:rsidP="004E4A62">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szCs w:val="20"/>
              </w:rPr>
            </w:pPr>
            <w:r w:rsidRPr="00012201">
              <w:rPr>
                <w:sz w:val="20"/>
              </w:rPr>
              <w:t>Capacité</w:t>
            </w:r>
            <w:r w:rsidR="004E4A62" w:rsidRPr="00012201">
              <w:rPr>
                <w:sz w:val="20"/>
              </w:rPr>
              <w:t xml:space="preserve"> du porteur à démontrer et documenter la possibilité d’industrialiser la production des briques technologiques développées.</w:t>
            </w:r>
            <w:r w:rsidR="004E4A62" w:rsidRPr="00FB1273">
              <w:rPr>
                <w:color w:val="1F497D"/>
                <w:sz w:val="20"/>
                <w:szCs w:val="20"/>
                <w:lang w:eastAsia="en-US"/>
              </w:rPr>
              <w:t> </w:t>
            </w:r>
          </w:p>
        </w:tc>
        <w:tc>
          <w:tcPr>
            <w:tcW w:w="1799" w:type="dxa"/>
            <w:shd w:val="clear" w:color="auto" w:fill="auto"/>
            <w:vAlign w:val="center"/>
          </w:tcPr>
          <w:p w14:paraId="717D55A3" w14:textId="07BC9608" w:rsidR="004E4A62" w:rsidRDefault="004E4A62" w:rsidP="0036243F">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left="376" w:hanging="218"/>
              <w:jc w:val="left"/>
              <w:rPr>
                <w:sz w:val="20"/>
              </w:rPr>
            </w:pPr>
            <w:r>
              <w:rPr>
                <w:sz w:val="20"/>
              </w:rPr>
              <w:t>Annexes 3.a, 3.b</w:t>
            </w:r>
          </w:p>
        </w:tc>
      </w:tr>
    </w:tbl>
    <w:p w14:paraId="47780D7B" w14:textId="77777777" w:rsidR="00EB0D03" w:rsidRDefault="00EB0D03">
      <w:pPr>
        <w:pStyle w:val="Sansinterligne"/>
      </w:pPr>
    </w:p>
    <w:p w14:paraId="63AA0AE3" w14:textId="77777777" w:rsidR="008B01DB" w:rsidRDefault="008B01DB">
      <w:pPr>
        <w:pStyle w:val="Sansinterligne"/>
      </w:pPr>
    </w:p>
    <w:p w14:paraId="0D709330" w14:textId="77777777" w:rsidR="008B01DB" w:rsidRPr="001E4714" w:rsidRDefault="008B01DB" w:rsidP="008B01DB">
      <w:pPr>
        <w:pStyle w:val="Titre2"/>
        <w:ind w:left="0" w:hanging="9"/>
      </w:pPr>
      <w:bookmarkStart w:id="18" w:name="_Toc95317886"/>
      <w:r>
        <w:t>Régimes d’aides et date d’éligibilité des dépenses</w:t>
      </w:r>
      <w:bookmarkEnd w:id="18"/>
    </w:p>
    <w:p w14:paraId="32CB616B" w14:textId="77777777" w:rsidR="00EB0D03" w:rsidRDefault="004D2E04">
      <w:pPr>
        <w:spacing w:after="120"/>
      </w:pPr>
      <w:r>
        <w:t>La nature des dépenses éligibles à une aide est précisée dans le régime d’aides de l’ADEME exempté de notification n° SA.59357 relatif aux aides à la Recherche, au Développement et à l’Innovation (RDI) et à la protection de l’environnement (LDE) ainsi que dans la FAQ disponible sur le site ADEME de l’AAP.</w:t>
      </w:r>
    </w:p>
    <w:p w14:paraId="3F651C90" w14:textId="77777777" w:rsidR="00EB0D03" w:rsidRDefault="00EB0D03">
      <w:pPr>
        <w:spacing w:after="120"/>
      </w:pPr>
    </w:p>
    <w:p w14:paraId="2505A039" w14:textId="77777777" w:rsidR="00EB0D03" w:rsidRDefault="004D2E04">
      <w:pPr>
        <w:rPr>
          <w:b/>
        </w:rPr>
      </w:pPr>
      <w:r>
        <w:rPr>
          <w:b/>
        </w:rPr>
        <w:t>Les dépenses ne peuvent être prises en compte qu’à compter de la date de dépôt du dossier complet auprès de l’ADEME, étant entendu que les dépenses engagées entre ce dépôt et la signature des conventions de financement par l’ADEME le sont au risque des partenaires.</w:t>
      </w:r>
    </w:p>
    <w:p w14:paraId="63E0715D" w14:textId="77777777" w:rsidR="00EB0D03" w:rsidRDefault="004D2E04">
      <w:pPr>
        <w:rPr>
          <w:b/>
        </w:rPr>
      </w:pPr>
      <w:r>
        <w:br w:type="page"/>
      </w:r>
    </w:p>
    <w:p w14:paraId="3469E1A4" w14:textId="77777777" w:rsidR="00CA20C0" w:rsidRPr="00CA20C0" w:rsidRDefault="006302E0" w:rsidP="006302E0">
      <w:pPr>
        <w:pStyle w:val="Titre2"/>
        <w:ind w:left="0" w:hanging="9"/>
      </w:pPr>
      <w:bookmarkStart w:id="19" w:name="_Description_coûts_éligibles"/>
      <w:bookmarkStart w:id="20" w:name="_Toc95317887"/>
      <w:bookmarkEnd w:id="19"/>
      <w:r>
        <w:lastRenderedPageBreak/>
        <w:t>Description des coûts éligibles et retenus dans le cas général</w:t>
      </w:r>
      <w:bookmarkEnd w:id="20"/>
    </w:p>
    <w:p w14:paraId="5D0216C9" w14:textId="77777777" w:rsidR="00EB0D03" w:rsidRDefault="004D2E04">
      <w:r>
        <w:t>Les dépenses éligibles sont directement affectées au projet (hormis les frais connexes qui sont calculés par un forfait). La nature des dépenses éligibles est précisée dans le respect du régime d’aides de l’ADEME exempté de notification n° SA. 59357</w:t>
      </w:r>
      <w:r>
        <w:rPr>
          <w:rStyle w:val="Appelnotedebasdep"/>
        </w:rPr>
        <w:footnoteReference w:id="6"/>
      </w:r>
      <w:r>
        <w:t xml:space="preserve"> :</w:t>
      </w:r>
    </w:p>
    <w:p w14:paraId="3430FE6D" w14:textId="77777777" w:rsidR="006302E0" w:rsidRDefault="006302E0"/>
    <w:tbl>
      <w:tblPr>
        <w:tblW w:w="947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053"/>
        <w:gridCol w:w="2194"/>
        <w:gridCol w:w="6232"/>
      </w:tblGrid>
      <w:tr w:rsidR="00EB0D03" w14:paraId="769554A6" w14:textId="77777777">
        <w:trPr>
          <w:trHeight w:val="370"/>
        </w:trPr>
        <w:tc>
          <w:tcPr>
            <w:tcW w:w="1053" w:type="dxa"/>
            <w:tcBorders>
              <w:top w:val="none" w:sz="4" w:space="0" w:color="000000"/>
              <w:left w:val="none" w:sz="4" w:space="0" w:color="000000"/>
              <w:bottom w:val="single" w:sz="4" w:space="0" w:color="auto"/>
              <w:right w:val="single" w:sz="4" w:space="0" w:color="000000"/>
            </w:tcBorders>
            <w:shd w:val="clear" w:color="FFFFFF" w:fill="FFFFFF" w:themeFill="background1"/>
          </w:tcPr>
          <w:p w14:paraId="569D7A88" w14:textId="77777777" w:rsidR="00EB0D03" w:rsidRDefault="00EB0D03">
            <w:pPr>
              <w:spacing w:after="120"/>
              <w:jc w:val="center"/>
            </w:pPr>
          </w:p>
        </w:tc>
        <w:tc>
          <w:tcPr>
            <w:tcW w:w="2194" w:type="dxa"/>
            <w:tcBorders>
              <w:top w:val="single" w:sz="4" w:space="0" w:color="auto"/>
              <w:left w:val="single" w:sz="4" w:space="0" w:color="auto"/>
              <w:bottom w:val="single" w:sz="4" w:space="0" w:color="auto"/>
              <w:right w:val="single" w:sz="4" w:space="0" w:color="000000"/>
            </w:tcBorders>
            <w:shd w:val="clear" w:color="D9D9D9" w:fill="D9D9D9"/>
          </w:tcPr>
          <w:p w14:paraId="72729290" w14:textId="77777777" w:rsidR="00EB0D03" w:rsidRDefault="004D2E04">
            <w:pPr>
              <w:spacing w:after="120"/>
              <w:jc w:val="center"/>
            </w:pPr>
            <w:r>
              <w:t xml:space="preserve">Type de dépenses </w:t>
            </w:r>
          </w:p>
        </w:tc>
        <w:tc>
          <w:tcPr>
            <w:tcW w:w="6232" w:type="dxa"/>
            <w:tcBorders>
              <w:top w:val="single" w:sz="4" w:space="0" w:color="auto"/>
              <w:left w:val="single" w:sz="4" w:space="0" w:color="000000"/>
              <w:bottom w:val="single" w:sz="4" w:space="0" w:color="auto"/>
              <w:right w:val="single" w:sz="4" w:space="0" w:color="auto"/>
            </w:tcBorders>
            <w:shd w:val="clear" w:color="D9D9D9" w:fill="D9D9D9"/>
          </w:tcPr>
          <w:p w14:paraId="306D9261" w14:textId="77777777" w:rsidR="00EB0D03" w:rsidRDefault="004D2E04">
            <w:pPr>
              <w:spacing w:after="120"/>
              <w:jc w:val="center"/>
            </w:pPr>
            <w:r>
              <w:t xml:space="preserve">Principes </w:t>
            </w:r>
          </w:p>
        </w:tc>
      </w:tr>
      <w:tr w:rsidR="00EB0D03" w14:paraId="2AE325BC" w14:textId="77777777">
        <w:trPr>
          <w:trHeight w:val="370"/>
        </w:trPr>
        <w:tc>
          <w:tcPr>
            <w:tcW w:w="1053" w:type="dxa"/>
            <w:vMerge w:val="restart"/>
            <w:tcBorders>
              <w:top w:val="single" w:sz="4" w:space="0" w:color="auto"/>
              <w:left w:val="single" w:sz="4" w:space="0" w:color="auto"/>
            </w:tcBorders>
            <w:shd w:val="clear" w:color="F2F2F2" w:fill="F2F2F2" w:themeFill="background1" w:themeFillShade="F2"/>
            <w:vAlign w:val="center"/>
          </w:tcPr>
          <w:p w14:paraId="59DD5419" w14:textId="77777777" w:rsidR="00EB0D03" w:rsidRDefault="004D2E04">
            <w:pPr>
              <w:spacing w:after="120"/>
              <w:jc w:val="left"/>
              <w:rPr>
                <w:b/>
              </w:rPr>
            </w:pPr>
            <w:r>
              <w:rPr>
                <w:b/>
              </w:rPr>
              <w:t>Régime d’aide RDI</w:t>
            </w:r>
            <w:r>
              <w:rPr>
                <w:rStyle w:val="Appelnotedebasdep"/>
                <w:b/>
              </w:rPr>
              <w:footnoteReference w:id="7"/>
            </w:r>
          </w:p>
        </w:tc>
        <w:tc>
          <w:tcPr>
            <w:tcW w:w="2194" w:type="dxa"/>
            <w:tcBorders>
              <w:top w:val="single" w:sz="4" w:space="0" w:color="auto"/>
              <w:left w:val="single" w:sz="4" w:space="0" w:color="auto"/>
              <w:bottom w:val="single" w:sz="4" w:space="0" w:color="000000"/>
            </w:tcBorders>
            <w:shd w:val="clear" w:color="F2F2F2" w:fill="F2F2F2" w:themeFill="background1" w:themeFillShade="F2"/>
            <w:vAlign w:val="center"/>
          </w:tcPr>
          <w:p w14:paraId="1AF01D39" w14:textId="77777777" w:rsidR="00EB0D03" w:rsidRDefault="004D2E04">
            <w:pPr>
              <w:spacing w:after="120"/>
              <w:jc w:val="left"/>
            </w:pPr>
            <w:r>
              <w:t>Salaires et charges</w:t>
            </w:r>
          </w:p>
        </w:tc>
        <w:tc>
          <w:tcPr>
            <w:tcW w:w="6232" w:type="dxa"/>
            <w:tcBorders>
              <w:top w:val="single" w:sz="4" w:space="0" w:color="auto"/>
              <w:bottom w:val="single" w:sz="4" w:space="0" w:color="000000"/>
              <w:right w:val="single" w:sz="4" w:space="0" w:color="auto"/>
            </w:tcBorders>
            <w:shd w:val="clear" w:color="auto" w:fill="auto"/>
            <w:vAlign w:val="center"/>
          </w:tcPr>
          <w:p w14:paraId="089DDAE5" w14:textId="77777777" w:rsidR="00EB0D03" w:rsidRDefault="004D2E04">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ind w:left="374" w:hanging="215"/>
              <w:jc w:val="left"/>
            </w:pPr>
            <w:r>
              <w:t>Salaires chargés du personnel du projet (non environnés)</w:t>
            </w:r>
          </w:p>
        </w:tc>
      </w:tr>
      <w:tr w:rsidR="00EB0D03" w14:paraId="7AF3AC09" w14:textId="77777777">
        <w:trPr>
          <w:trHeight w:val="1254"/>
        </w:trPr>
        <w:tc>
          <w:tcPr>
            <w:tcW w:w="1053" w:type="dxa"/>
            <w:vMerge/>
            <w:tcBorders>
              <w:left w:val="single" w:sz="4" w:space="0" w:color="auto"/>
            </w:tcBorders>
            <w:shd w:val="clear" w:color="F2F2F2" w:fill="F2F2F2" w:themeFill="background1" w:themeFillShade="F2"/>
          </w:tcPr>
          <w:p w14:paraId="672B6D05" w14:textId="77777777" w:rsidR="00EB0D03" w:rsidRDefault="00EB0D03">
            <w:pPr>
              <w:spacing w:after="120"/>
              <w:jc w:val="left"/>
            </w:pPr>
          </w:p>
        </w:tc>
        <w:tc>
          <w:tcPr>
            <w:tcW w:w="2194" w:type="dxa"/>
            <w:tcBorders>
              <w:top w:val="single" w:sz="4" w:space="0" w:color="000000"/>
              <w:left w:val="single" w:sz="4" w:space="0" w:color="auto"/>
              <w:bottom w:val="single" w:sz="4" w:space="0" w:color="000000"/>
            </w:tcBorders>
            <w:shd w:val="clear" w:color="F2F2F2" w:fill="F2F2F2" w:themeFill="background1" w:themeFillShade="F2"/>
            <w:vAlign w:val="center"/>
          </w:tcPr>
          <w:p w14:paraId="08023CD9" w14:textId="77777777" w:rsidR="00EB0D03" w:rsidRDefault="004D2E04">
            <w:pPr>
              <w:spacing w:after="120"/>
              <w:jc w:val="left"/>
            </w:pPr>
            <w:r>
              <w:t>Frais connexes</w:t>
            </w:r>
          </w:p>
        </w:tc>
        <w:tc>
          <w:tcPr>
            <w:tcW w:w="6232" w:type="dxa"/>
            <w:tcBorders>
              <w:top w:val="single" w:sz="4" w:space="0" w:color="000000"/>
              <w:bottom w:val="single" w:sz="4" w:space="0" w:color="000000"/>
              <w:right w:val="single" w:sz="4" w:space="0" w:color="auto"/>
            </w:tcBorders>
            <w:shd w:val="clear" w:color="auto" w:fill="auto"/>
            <w:vAlign w:val="center"/>
          </w:tcPr>
          <w:p w14:paraId="58E5171D" w14:textId="77777777" w:rsidR="00EB0D03" w:rsidRDefault="004D2E04">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ind w:left="374" w:hanging="215"/>
              <w:jc w:val="left"/>
            </w:pPr>
            <w:r>
              <w:t>Montant forfaitaire de dépenses:</w:t>
            </w:r>
          </w:p>
          <w:p w14:paraId="67B49BE8" w14:textId="77777777" w:rsidR="00EB0D03" w:rsidRDefault="004D2E04">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ind w:left="859" w:hanging="204"/>
              <w:jc w:val="left"/>
            </w:pPr>
            <w:r>
              <w:t xml:space="preserve">Pour les activités économiques (sociétés commerciales, </w:t>
            </w:r>
            <w:proofErr w:type="spellStart"/>
            <w:r>
              <w:t>EPICs</w:t>
            </w:r>
            <w:proofErr w:type="spellEnd"/>
            <w:r>
              <w:t xml:space="preserve">, GIE, centres techniques, </w:t>
            </w:r>
            <w:proofErr w:type="spellStart"/>
            <w:r>
              <w:t>etc</w:t>
            </w:r>
            <w:proofErr w:type="spellEnd"/>
            <w:r>
              <w:t>) : 20% des salaires chargés non environnés</w:t>
            </w:r>
          </w:p>
          <w:p w14:paraId="16CE1476" w14:textId="77777777" w:rsidR="00EB0D03" w:rsidRDefault="004D2E04">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ind w:left="859" w:hanging="204"/>
              <w:jc w:val="left"/>
            </w:pPr>
            <w:r>
              <w:t xml:space="preserve">Pour les activités non économiques (EPA et EPST, </w:t>
            </w:r>
            <w:proofErr w:type="spellStart"/>
            <w:r>
              <w:t>etc</w:t>
            </w:r>
            <w:proofErr w:type="spellEnd"/>
            <w:r>
              <w:t>) : 4% des dépenses d'équipement (amortissements) + 8% des autres dépenses éligibles et retenues (soit hors équipement)</w:t>
            </w:r>
          </w:p>
        </w:tc>
      </w:tr>
      <w:tr w:rsidR="00EB0D03" w14:paraId="147C283D" w14:textId="77777777">
        <w:trPr>
          <w:trHeight w:val="502"/>
        </w:trPr>
        <w:tc>
          <w:tcPr>
            <w:tcW w:w="1053" w:type="dxa"/>
            <w:vMerge/>
            <w:tcBorders>
              <w:left w:val="single" w:sz="4" w:space="0" w:color="auto"/>
            </w:tcBorders>
            <w:shd w:val="clear" w:color="F2F2F2" w:fill="F2F2F2" w:themeFill="background1" w:themeFillShade="F2"/>
          </w:tcPr>
          <w:p w14:paraId="711BC5CF" w14:textId="77777777" w:rsidR="00EB0D03" w:rsidRDefault="00EB0D03">
            <w:pPr>
              <w:spacing w:after="120"/>
              <w:jc w:val="left"/>
            </w:pPr>
          </w:p>
        </w:tc>
        <w:tc>
          <w:tcPr>
            <w:tcW w:w="2194" w:type="dxa"/>
            <w:tcBorders>
              <w:top w:val="single" w:sz="4" w:space="0" w:color="000000"/>
              <w:left w:val="single" w:sz="4" w:space="0" w:color="auto"/>
              <w:bottom w:val="single" w:sz="4" w:space="0" w:color="000000"/>
            </w:tcBorders>
            <w:shd w:val="clear" w:color="F2F2F2" w:fill="F2F2F2" w:themeFill="background1" w:themeFillShade="F2"/>
            <w:vAlign w:val="center"/>
          </w:tcPr>
          <w:p w14:paraId="51808FCF" w14:textId="77777777" w:rsidR="00EB0D03" w:rsidRDefault="004D2E04">
            <w:pPr>
              <w:spacing w:after="120"/>
              <w:jc w:val="left"/>
            </w:pPr>
            <w:r>
              <w:t>Coûts de sous-traitance</w:t>
            </w:r>
          </w:p>
        </w:tc>
        <w:tc>
          <w:tcPr>
            <w:tcW w:w="6232" w:type="dxa"/>
            <w:tcBorders>
              <w:top w:val="single" w:sz="4" w:space="0" w:color="000000"/>
              <w:bottom w:val="single" w:sz="4" w:space="0" w:color="000000"/>
              <w:right w:val="single" w:sz="4" w:space="0" w:color="auto"/>
            </w:tcBorders>
            <w:shd w:val="clear" w:color="auto" w:fill="auto"/>
            <w:vAlign w:val="center"/>
          </w:tcPr>
          <w:p w14:paraId="4C19CA8C" w14:textId="77777777" w:rsidR="00EB0D03" w:rsidRDefault="004D2E04">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ind w:left="374" w:hanging="215"/>
              <w:jc w:val="left"/>
            </w:pPr>
            <w:r>
              <w:t>Coûts de prestation utilisés exclusivement pour l'activité du projet. (cible : 30% maximum des coûts projet)</w:t>
            </w:r>
          </w:p>
        </w:tc>
      </w:tr>
      <w:tr w:rsidR="00EB0D03" w14:paraId="18179BC7" w14:textId="77777777">
        <w:trPr>
          <w:trHeight w:val="1314"/>
        </w:trPr>
        <w:tc>
          <w:tcPr>
            <w:tcW w:w="1053" w:type="dxa"/>
            <w:vMerge/>
            <w:tcBorders>
              <w:left w:val="single" w:sz="4" w:space="0" w:color="auto"/>
            </w:tcBorders>
            <w:shd w:val="clear" w:color="F2F2F2" w:fill="F2F2F2" w:themeFill="background1" w:themeFillShade="F2"/>
          </w:tcPr>
          <w:p w14:paraId="7A207BA8" w14:textId="77777777" w:rsidR="00EB0D03" w:rsidRDefault="00EB0D03">
            <w:pPr>
              <w:spacing w:after="120"/>
              <w:jc w:val="left"/>
            </w:pPr>
          </w:p>
        </w:tc>
        <w:tc>
          <w:tcPr>
            <w:tcW w:w="2194" w:type="dxa"/>
            <w:tcBorders>
              <w:top w:val="single" w:sz="4" w:space="0" w:color="000000"/>
              <w:left w:val="single" w:sz="4" w:space="0" w:color="auto"/>
              <w:bottom w:val="single" w:sz="4" w:space="0" w:color="000000"/>
            </w:tcBorders>
            <w:shd w:val="clear" w:color="F2F2F2" w:fill="F2F2F2" w:themeFill="background1" w:themeFillShade="F2"/>
            <w:vAlign w:val="center"/>
          </w:tcPr>
          <w:p w14:paraId="4B34D185" w14:textId="77777777" w:rsidR="00EB0D03" w:rsidRDefault="004D2E04">
            <w:pPr>
              <w:spacing w:after="120"/>
              <w:jc w:val="left"/>
            </w:pPr>
            <w:r>
              <w:t>Contribution aux amortissements</w:t>
            </w:r>
          </w:p>
        </w:tc>
        <w:tc>
          <w:tcPr>
            <w:tcW w:w="6232" w:type="dxa"/>
            <w:tcBorders>
              <w:top w:val="single" w:sz="4" w:space="0" w:color="000000"/>
              <w:bottom w:val="single" w:sz="4" w:space="0" w:color="000000"/>
              <w:right w:val="single" w:sz="4" w:space="0" w:color="auto"/>
            </w:tcBorders>
            <w:shd w:val="clear" w:color="auto" w:fill="auto"/>
            <w:vAlign w:val="center"/>
          </w:tcPr>
          <w:p w14:paraId="4456ADF6" w14:textId="77777777" w:rsidR="00EB0D03" w:rsidRDefault="004D2E04">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ind w:left="374" w:hanging="215"/>
              <w:jc w:val="left"/>
            </w:pPr>
            <w:r>
              <w:t>Coûts d'amortissements comptables des instruments et du matériel au prorata de leur utilisation dans le projet.</w:t>
            </w:r>
          </w:p>
          <w:p w14:paraId="4C5C9D9E" w14:textId="77777777" w:rsidR="00EB0D03" w:rsidRDefault="004D2E04">
            <w:pPr>
              <w:ind w:left="159"/>
            </w:pPr>
            <w:r>
              <w:rPr>
                <w:i/>
              </w:rPr>
              <w:t>Exemple : pour un équipement amorti de façon linéaire sur une durée de 10 ans, et utilisé durant 2 ans pour le projet, le montant éligible à une aide sera égal à 2/10 du montant total de l’investissement dans cet équipement.</w:t>
            </w:r>
          </w:p>
        </w:tc>
      </w:tr>
      <w:tr w:rsidR="00EB0D03" w14:paraId="217B2A53" w14:textId="77777777">
        <w:trPr>
          <w:trHeight w:val="502"/>
        </w:trPr>
        <w:tc>
          <w:tcPr>
            <w:tcW w:w="1053" w:type="dxa"/>
            <w:vMerge/>
            <w:tcBorders>
              <w:left w:val="single" w:sz="4" w:space="0" w:color="auto"/>
            </w:tcBorders>
            <w:shd w:val="clear" w:color="F2F2F2" w:fill="F2F2F2" w:themeFill="background1" w:themeFillShade="F2"/>
          </w:tcPr>
          <w:p w14:paraId="5CBFF1EA" w14:textId="77777777" w:rsidR="00EB0D03" w:rsidRDefault="00EB0D03">
            <w:pPr>
              <w:spacing w:after="120"/>
              <w:jc w:val="left"/>
            </w:pPr>
          </w:p>
        </w:tc>
        <w:tc>
          <w:tcPr>
            <w:tcW w:w="2194" w:type="dxa"/>
            <w:tcBorders>
              <w:top w:val="single" w:sz="4" w:space="0" w:color="000000"/>
              <w:left w:val="single" w:sz="4" w:space="0" w:color="auto"/>
              <w:bottom w:val="single" w:sz="4" w:space="0" w:color="000000"/>
            </w:tcBorders>
            <w:shd w:val="clear" w:color="F2F2F2" w:fill="F2F2F2" w:themeFill="background1" w:themeFillShade="F2"/>
            <w:vAlign w:val="center"/>
          </w:tcPr>
          <w:p w14:paraId="4AB088EE" w14:textId="77777777" w:rsidR="00EB0D03" w:rsidRDefault="004D2E04">
            <w:pPr>
              <w:spacing w:after="120"/>
              <w:jc w:val="left"/>
            </w:pPr>
            <w:r>
              <w:t>Coûts de refacturation interne</w:t>
            </w:r>
          </w:p>
        </w:tc>
        <w:tc>
          <w:tcPr>
            <w:tcW w:w="6232" w:type="dxa"/>
            <w:tcBorders>
              <w:top w:val="single" w:sz="4" w:space="0" w:color="000000"/>
              <w:bottom w:val="single" w:sz="4" w:space="0" w:color="000000"/>
              <w:right w:val="single" w:sz="4" w:space="0" w:color="auto"/>
            </w:tcBorders>
            <w:shd w:val="clear" w:color="auto" w:fill="auto"/>
            <w:vAlign w:val="center"/>
          </w:tcPr>
          <w:p w14:paraId="7181F404" w14:textId="77777777" w:rsidR="00EB0D03" w:rsidRDefault="004D2E04">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ind w:left="374" w:hanging="215"/>
              <w:jc w:val="left"/>
            </w:pPr>
            <w:r>
              <w:t>Sur la base de modalités de calcul détaillées et de la certification par un commissaire aux comptes ou expert-comptable. Pour des entreprises avec le même SIREN</w:t>
            </w:r>
          </w:p>
        </w:tc>
      </w:tr>
      <w:tr w:rsidR="00EB0D03" w14:paraId="29F37FDC" w14:textId="77777777">
        <w:trPr>
          <w:trHeight w:val="370"/>
        </w:trPr>
        <w:tc>
          <w:tcPr>
            <w:tcW w:w="1053" w:type="dxa"/>
            <w:vMerge/>
            <w:tcBorders>
              <w:left w:val="single" w:sz="4" w:space="0" w:color="auto"/>
            </w:tcBorders>
            <w:shd w:val="clear" w:color="F2F2F2" w:fill="F2F2F2" w:themeFill="background1" w:themeFillShade="F2"/>
          </w:tcPr>
          <w:p w14:paraId="0D138926" w14:textId="77777777" w:rsidR="00EB0D03" w:rsidRDefault="00EB0D03">
            <w:pPr>
              <w:spacing w:after="120"/>
              <w:jc w:val="left"/>
            </w:pPr>
          </w:p>
        </w:tc>
        <w:tc>
          <w:tcPr>
            <w:tcW w:w="2194" w:type="dxa"/>
            <w:tcBorders>
              <w:top w:val="single" w:sz="4" w:space="0" w:color="000000"/>
              <w:left w:val="single" w:sz="4" w:space="0" w:color="auto"/>
              <w:bottom w:val="single" w:sz="4" w:space="0" w:color="000000"/>
            </w:tcBorders>
            <w:shd w:val="clear" w:color="F2F2F2" w:fill="F2F2F2" w:themeFill="background1" w:themeFillShade="F2"/>
            <w:vAlign w:val="center"/>
          </w:tcPr>
          <w:p w14:paraId="418125DC" w14:textId="77777777" w:rsidR="00EB0D03" w:rsidRDefault="004D2E04">
            <w:pPr>
              <w:spacing w:after="120"/>
              <w:jc w:val="left"/>
            </w:pPr>
            <w:r>
              <w:t>Frais de mission</w:t>
            </w:r>
          </w:p>
        </w:tc>
        <w:tc>
          <w:tcPr>
            <w:tcW w:w="6232" w:type="dxa"/>
            <w:tcBorders>
              <w:top w:val="single" w:sz="4" w:space="0" w:color="000000"/>
              <w:bottom w:val="single" w:sz="4" w:space="0" w:color="000000"/>
              <w:right w:val="single" w:sz="4" w:space="0" w:color="auto"/>
            </w:tcBorders>
            <w:shd w:val="clear" w:color="auto" w:fill="auto"/>
            <w:vAlign w:val="center"/>
          </w:tcPr>
          <w:p w14:paraId="12964576" w14:textId="77777777" w:rsidR="00EB0D03" w:rsidRDefault="004D2E04">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ind w:left="374" w:hanging="215"/>
              <w:jc w:val="left"/>
            </w:pPr>
            <w:r>
              <w:t>Frais réels des déplacements liés à la réalisation du projet</w:t>
            </w:r>
          </w:p>
        </w:tc>
      </w:tr>
      <w:tr w:rsidR="00EB0D03" w14:paraId="7D6A6029" w14:textId="77777777">
        <w:trPr>
          <w:trHeight w:val="458"/>
        </w:trPr>
        <w:tc>
          <w:tcPr>
            <w:tcW w:w="1053" w:type="dxa"/>
            <w:vMerge/>
            <w:tcBorders>
              <w:left w:val="single" w:sz="4" w:space="0" w:color="auto"/>
            </w:tcBorders>
            <w:shd w:val="clear" w:color="F2F2F2" w:fill="F2F2F2" w:themeFill="background1" w:themeFillShade="F2"/>
          </w:tcPr>
          <w:p w14:paraId="7D7CD30A" w14:textId="77777777" w:rsidR="00EB0D03" w:rsidRDefault="00EB0D03">
            <w:pPr>
              <w:spacing w:after="120"/>
              <w:jc w:val="left"/>
            </w:pPr>
          </w:p>
        </w:tc>
        <w:tc>
          <w:tcPr>
            <w:tcW w:w="2194" w:type="dxa"/>
            <w:tcBorders>
              <w:top w:val="single" w:sz="4" w:space="0" w:color="000000"/>
              <w:left w:val="single" w:sz="4" w:space="0" w:color="auto"/>
              <w:bottom w:val="single" w:sz="4" w:space="0" w:color="auto"/>
            </w:tcBorders>
            <w:shd w:val="clear" w:color="F2F2F2" w:fill="F2F2F2" w:themeFill="background1" w:themeFillShade="F2"/>
            <w:vAlign w:val="center"/>
          </w:tcPr>
          <w:p w14:paraId="38B928B6" w14:textId="77777777" w:rsidR="00EB0D03" w:rsidRDefault="004D2E04">
            <w:pPr>
              <w:spacing w:after="120"/>
              <w:jc w:val="left"/>
            </w:pPr>
            <w:r>
              <w:t>Autres coûts</w:t>
            </w:r>
          </w:p>
        </w:tc>
        <w:tc>
          <w:tcPr>
            <w:tcW w:w="6232" w:type="dxa"/>
            <w:tcBorders>
              <w:top w:val="single" w:sz="4" w:space="0" w:color="000000"/>
              <w:bottom w:val="single" w:sz="4" w:space="0" w:color="auto"/>
              <w:right w:val="single" w:sz="4" w:space="0" w:color="auto"/>
            </w:tcBorders>
            <w:shd w:val="clear" w:color="auto" w:fill="auto"/>
            <w:vAlign w:val="center"/>
          </w:tcPr>
          <w:p w14:paraId="325B8E2F" w14:textId="77777777" w:rsidR="00EB0D03" w:rsidRDefault="004D2E04">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ind w:left="374" w:hanging="215"/>
              <w:jc w:val="left"/>
            </w:pPr>
            <w:r>
              <w:t>Autres frais d'exploitation directement liés à l'activité du projet. (consommables non amortis dans les comptes)</w:t>
            </w:r>
          </w:p>
        </w:tc>
      </w:tr>
      <w:tr w:rsidR="00EB0D03" w14:paraId="4DF3C0C4" w14:textId="77777777">
        <w:trPr>
          <w:trHeight w:val="1113"/>
        </w:trPr>
        <w:tc>
          <w:tcPr>
            <w:tcW w:w="1053" w:type="dxa"/>
            <w:tcBorders>
              <w:left w:val="single" w:sz="4" w:space="0" w:color="auto"/>
              <w:bottom w:val="single" w:sz="4" w:space="0" w:color="auto"/>
            </w:tcBorders>
            <w:shd w:val="clear" w:color="F2F2F2" w:fill="F2F2F2" w:themeFill="background1" w:themeFillShade="F2"/>
          </w:tcPr>
          <w:p w14:paraId="74F802D9" w14:textId="77777777" w:rsidR="00EB0D03" w:rsidRDefault="004D2E04">
            <w:pPr>
              <w:spacing w:after="120"/>
              <w:jc w:val="left"/>
              <w:rPr>
                <w:b/>
              </w:rPr>
            </w:pPr>
            <w:r>
              <w:rPr>
                <w:b/>
              </w:rPr>
              <w:t>Régime d’aide PE</w:t>
            </w:r>
            <w:r>
              <w:rPr>
                <w:rStyle w:val="Appelnotedebasdep"/>
                <w:b/>
              </w:rPr>
              <w:footnoteReference w:id="8"/>
            </w:r>
          </w:p>
        </w:tc>
        <w:tc>
          <w:tcPr>
            <w:tcW w:w="2194" w:type="dxa"/>
            <w:tcBorders>
              <w:top w:val="single" w:sz="4" w:space="0" w:color="auto"/>
              <w:left w:val="single" w:sz="4" w:space="0" w:color="auto"/>
              <w:bottom w:val="single" w:sz="4" w:space="0" w:color="auto"/>
            </w:tcBorders>
            <w:shd w:val="clear" w:color="F2F2F2" w:fill="F2F2F2" w:themeFill="background1" w:themeFillShade="F2"/>
            <w:vAlign w:val="center"/>
          </w:tcPr>
          <w:p w14:paraId="699225B5" w14:textId="77777777" w:rsidR="00EB0D03" w:rsidRDefault="004D2E04">
            <w:pPr>
              <w:spacing w:after="120"/>
              <w:jc w:val="left"/>
            </w:pPr>
            <w:r>
              <w:t>Coûts d’investissements</w:t>
            </w:r>
          </w:p>
        </w:tc>
        <w:tc>
          <w:tcPr>
            <w:tcW w:w="6232" w:type="dxa"/>
            <w:tcBorders>
              <w:top w:val="single" w:sz="4" w:space="0" w:color="auto"/>
              <w:bottom w:val="single" w:sz="4" w:space="0" w:color="auto"/>
              <w:right w:val="single" w:sz="4" w:space="0" w:color="auto"/>
            </w:tcBorders>
            <w:shd w:val="clear" w:color="auto" w:fill="auto"/>
            <w:vAlign w:val="center"/>
          </w:tcPr>
          <w:p w14:paraId="26BD79BB" w14:textId="06B20077" w:rsidR="00EB0D03" w:rsidRDefault="004D2E04" w:rsidP="003068DB">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jc w:val="left"/>
            </w:pPr>
            <w:r>
              <w:t>Coûts d'investissement supplémentaires (surcoût) nécessaires pour atteindre un niveau de protection de l'environnement supérieur au niveau requis par les normes communautaires. Ce surcoût est calculé par rapport à une solution de référence</w:t>
            </w:r>
            <w:r>
              <w:rPr>
                <w:rStyle w:val="Appelnotedebasdep"/>
              </w:rPr>
              <w:footnoteReference w:id="9"/>
            </w:r>
            <w:r>
              <w:t xml:space="preserve">. Les coûts non </w:t>
            </w:r>
            <w:r>
              <w:lastRenderedPageBreak/>
              <w:t>directement liés à une augmentation du niveau de protection de l'environnement ne sont pas admissibles.</w:t>
            </w:r>
          </w:p>
        </w:tc>
      </w:tr>
    </w:tbl>
    <w:p w14:paraId="1B370422" w14:textId="77777777" w:rsidR="00EB0D03" w:rsidRDefault="00EB0D03">
      <w:pPr>
        <w:spacing w:after="120"/>
      </w:pPr>
    </w:p>
    <w:p w14:paraId="28A65988" w14:textId="52DB99BE" w:rsidR="00EB0D03" w:rsidRDefault="004D2E04">
      <w:pPr>
        <w:spacing w:after="120"/>
      </w:pPr>
      <w:r>
        <w:t>A noter que les porteurs de projet peuvent se rapprocher de la Banque des Territoires pour étudier les possibilités éventuelles de financement du foncier ou des bâtiments, non couverts dans cet appel à projets. Elle peut intervenir à la fois comme « investisseur avisé » et comme « tiers de confiance » dans vos projets industriels, en partenariat avec d’autres acteurs publics ou privés, locaux ou nationaux.</w:t>
      </w:r>
    </w:p>
    <w:p w14:paraId="10C56D55" w14:textId="77777777" w:rsidR="006302E0" w:rsidRDefault="006302E0" w:rsidP="00E51D1F">
      <w:pPr>
        <w:pStyle w:val="Titre2"/>
      </w:pPr>
      <w:bookmarkStart w:id="21" w:name="_Ref84931769"/>
      <w:bookmarkStart w:id="22" w:name="_Toc95317888"/>
      <w:r>
        <w:t>Aides proposées</w:t>
      </w:r>
      <w:bookmarkEnd w:id="21"/>
      <w:bookmarkEnd w:id="22"/>
    </w:p>
    <w:p w14:paraId="01000ED4" w14:textId="4D35F86D" w:rsidR="004C653C" w:rsidRPr="004C653C" w:rsidRDefault="00795F37" w:rsidP="004C653C">
      <w:pPr>
        <w:pStyle w:val="Titre4"/>
        <w:numPr>
          <w:ilvl w:val="0"/>
          <w:numId w:val="0"/>
        </w:numPr>
        <w:ind w:firstLine="709"/>
      </w:pPr>
      <w:r>
        <w:rPr>
          <w:b w:val="0"/>
          <w:sz w:val="22"/>
          <w:szCs w:val="22"/>
        </w:rPr>
        <w:t>4</w:t>
      </w:r>
      <w:r w:rsidR="004C653C">
        <w:rPr>
          <w:b w:val="0"/>
          <w:sz w:val="22"/>
          <w:szCs w:val="22"/>
        </w:rPr>
        <w:t xml:space="preserve">.4.1 </w:t>
      </w:r>
      <w:r w:rsidR="004D2E04" w:rsidRPr="001E4714">
        <w:rPr>
          <w:b w:val="0"/>
          <w:sz w:val="22"/>
          <w:szCs w:val="22"/>
        </w:rPr>
        <w:t>Aides proposées pour les activités économiques</w:t>
      </w:r>
    </w:p>
    <w:p w14:paraId="7A459049" w14:textId="4E674683" w:rsidR="00EB0D03" w:rsidRDefault="004D2E04" w:rsidP="00532312">
      <w:pPr>
        <w:spacing w:before="120" w:after="120"/>
      </w:pPr>
      <w:r>
        <w:t xml:space="preserve">Sont considérées comme « économiques » les activités des entités, généralement des entreprises, qui visent des retours financiers basés sur les résultats du projet (toute activité consistant à offrir des biens ou des services sur un marché, réel ou potentiel). </w:t>
      </w:r>
    </w:p>
    <w:p w14:paraId="6B08EC93" w14:textId="77777777" w:rsidR="004153EF" w:rsidRDefault="004153EF" w:rsidP="00532312">
      <w:pPr>
        <w:spacing w:before="120" w:after="120"/>
      </w:pPr>
    </w:p>
    <w:p w14:paraId="4D406CB8" w14:textId="251BD532" w:rsidR="00954F2B" w:rsidRDefault="004D2E04">
      <w:pPr>
        <w:spacing w:after="120"/>
      </w:pPr>
      <w:r>
        <w:t xml:space="preserve">Les taux d’aide maximum applicables sont les suivants : </w:t>
      </w:r>
    </w:p>
    <w:tbl>
      <w:tblPr>
        <w:tblpPr w:leftFromText="141" w:rightFromText="141" w:vertAnchor="text" w:horzAnchor="margin" w:tblpX="-10" w:tblpY="41"/>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370"/>
        <w:gridCol w:w="1301"/>
        <w:gridCol w:w="1329"/>
        <w:gridCol w:w="1280"/>
        <w:gridCol w:w="1329"/>
        <w:gridCol w:w="1280"/>
        <w:gridCol w:w="1171"/>
      </w:tblGrid>
      <w:tr w:rsidR="00954F2B" w14:paraId="2302D49A" w14:textId="77777777" w:rsidTr="00262D72">
        <w:trPr>
          <w:trHeight w:val="412"/>
        </w:trPr>
        <w:tc>
          <w:tcPr>
            <w:tcW w:w="78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B97A503" w14:textId="77777777" w:rsidR="00954F2B" w:rsidRDefault="00954F2B" w:rsidP="00262D72">
            <w:pPr>
              <w:spacing w:after="0"/>
              <w:jc w:val="center"/>
            </w:pPr>
            <w:r>
              <w:t>Taille de l’entreprise</w:t>
            </w:r>
            <w:r>
              <w:rPr>
                <w:rStyle w:val="Appelnotedebasdep"/>
              </w:rPr>
              <w:footnoteReference w:id="10"/>
            </w:r>
          </w:p>
        </w:tc>
        <w:tc>
          <w:tcPr>
            <w:tcW w:w="793"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3A23995" w14:textId="77777777" w:rsidR="00954F2B" w:rsidRDefault="00954F2B" w:rsidP="00262D72">
            <w:pPr>
              <w:spacing w:after="0"/>
              <w:jc w:val="center"/>
            </w:pPr>
            <w:r>
              <w:t>Nature de l’aide</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tcPr>
          <w:p w14:paraId="4187ECA2" w14:textId="77777777" w:rsidR="00954F2B" w:rsidRDefault="00954F2B" w:rsidP="00262D72">
            <w:pPr>
              <w:spacing w:after="0"/>
              <w:jc w:val="center"/>
            </w:pPr>
            <w:r w:rsidRPr="00A6542B">
              <w:t>Taux d’aide sur dépenses RI</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68DE516" w14:textId="77777777" w:rsidR="00954F2B" w:rsidRDefault="00954F2B" w:rsidP="00262D72">
            <w:pPr>
              <w:spacing w:after="0"/>
              <w:jc w:val="center"/>
            </w:pPr>
            <w:r>
              <w:t>Taux d’aide sur dépenses DE</w:t>
            </w:r>
          </w:p>
        </w:tc>
        <w:tc>
          <w:tcPr>
            <w:tcW w:w="627" w:type="pct"/>
            <w:vMerge w:val="restart"/>
            <w:tcBorders>
              <w:top w:val="single" w:sz="4" w:space="0" w:color="auto"/>
              <w:left w:val="single" w:sz="4" w:space="0" w:color="auto"/>
              <w:right w:val="single" w:sz="4" w:space="0" w:color="auto"/>
            </w:tcBorders>
            <w:shd w:val="clear" w:color="auto" w:fill="D9D9D9"/>
            <w:vAlign w:val="center"/>
          </w:tcPr>
          <w:p w14:paraId="5C9A357D" w14:textId="77777777" w:rsidR="00954F2B" w:rsidRDefault="00954F2B" w:rsidP="00262D72">
            <w:pPr>
              <w:spacing w:after="0"/>
              <w:jc w:val="center"/>
            </w:pPr>
            <w:r>
              <w:t>Taux d’aide sur dépenses PE</w:t>
            </w:r>
          </w:p>
        </w:tc>
      </w:tr>
      <w:tr w:rsidR="00954F2B" w14:paraId="7BDDDA1F" w14:textId="77777777" w:rsidTr="00262D72">
        <w:trPr>
          <w:trHeight w:val="544"/>
        </w:trPr>
        <w:tc>
          <w:tcPr>
            <w:tcW w:w="788" w:type="pct"/>
            <w:vMerge/>
            <w:tcBorders>
              <w:top w:val="dotted" w:sz="4" w:space="0" w:color="000000"/>
              <w:left w:val="single" w:sz="4" w:space="0" w:color="auto"/>
              <w:bottom w:val="single" w:sz="4" w:space="0" w:color="auto"/>
              <w:right w:val="single" w:sz="4" w:space="0" w:color="auto"/>
            </w:tcBorders>
            <w:shd w:val="clear" w:color="auto" w:fill="D9D9D9"/>
          </w:tcPr>
          <w:p w14:paraId="3EA2E9C4" w14:textId="77777777" w:rsidR="00954F2B" w:rsidRDefault="00954F2B" w:rsidP="00262D72">
            <w:pPr>
              <w:widowControl w:val="0"/>
              <w:pBdr>
                <w:top w:val="nil"/>
                <w:left w:val="nil"/>
                <w:bottom w:val="nil"/>
                <w:right w:val="nil"/>
                <w:between w:val="nil"/>
              </w:pBdr>
              <w:spacing w:after="0"/>
              <w:jc w:val="left"/>
            </w:pPr>
          </w:p>
        </w:tc>
        <w:tc>
          <w:tcPr>
            <w:tcW w:w="793" w:type="pct"/>
            <w:vMerge/>
            <w:tcBorders>
              <w:top w:val="dotted" w:sz="4" w:space="0" w:color="000000"/>
              <w:left w:val="single" w:sz="4" w:space="0" w:color="auto"/>
              <w:bottom w:val="single" w:sz="4" w:space="0" w:color="auto"/>
              <w:right w:val="single" w:sz="4" w:space="0" w:color="auto"/>
            </w:tcBorders>
            <w:shd w:val="clear" w:color="auto" w:fill="D9D9D9"/>
          </w:tcPr>
          <w:p w14:paraId="0AEEEB88" w14:textId="77777777" w:rsidR="00954F2B" w:rsidRDefault="00954F2B" w:rsidP="00262D72">
            <w:pPr>
              <w:widowControl w:val="0"/>
              <w:pBdr>
                <w:top w:val="nil"/>
                <w:left w:val="nil"/>
                <w:bottom w:val="nil"/>
                <w:right w:val="nil"/>
                <w:between w:val="nil"/>
              </w:pBdr>
              <w:spacing w:after="0"/>
              <w:jc w:val="left"/>
            </w:pP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tcPr>
          <w:p w14:paraId="0ACE8665" w14:textId="77777777" w:rsidR="00954F2B" w:rsidRDefault="00954F2B" w:rsidP="00262D72">
            <w:pPr>
              <w:spacing w:after="0"/>
              <w:jc w:val="center"/>
            </w:pPr>
            <w:r>
              <w:t>Collaboratif</w:t>
            </w:r>
          </w:p>
        </w:tc>
        <w:tc>
          <w:tcPr>
            <w:tcW w:w="685" w:type="pct"/>
            <w:tcBorders>
              <w:top w:val="single" w:sz="4" w:space="0" w:color="auto"/>
              <w:left w:val="single" w:sz="4" w:space="0" w:color="auto"/>
              <w:bottom w:val="single" w:sz="4" w:space="0" w:color="auto"/>
              <w:right w:val="single" w:sz="4" w:space="0" w:color="auto"/>
            </w:tcBorders>
            <w:shd w:val="clear" w:color="auto" w:fill="D9D9D9"/>
            <w:vAlign w:val="center"/>
          </w:tcPr>
          <w:p w14:paraId="300676D5" w14:textId="77777777" w:rsidR="00954F2B" w:rsidRDefault="00954F2B" w:rsidP="00262D72">
            <w:pPr>
              <w:spacing w:after="0"/>
              <w:jc w:val="center"/>
            </w:pPr>
            <w:r>
              <w:t>Non collaboratif</w:t>
            </w: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tcPr>
          <w:p w14:paraId="03098E51" w14:textId="77777777" w:rsidR="00954F2B" w:rsidRDefault="00954F2B" w:rsidP="00262D72">
            <w:pPr>
              <w:spacing w:after="0"/>
              <w:jc w:val="center"/>
            </w:pPr>
            <w:r>
              <w:t xml:space="preserve">Collaboratif </w:t>
            </w:r>
          </w:p>
        </w:tc>
        <w:tc>
          <w:tcPr>
            <w:tcW w:w="685" w:type="pct"/>
            <w:tcBorders>
              <w:top w:val="single" w:sz="4" w:space="0" w:color="auto"/>
              <w:left w:val="single" w:sz="4" w:space="0" w:color="auto"/>
              <w:bottom w:val="single" w:sz="4" w:space="0" w:color="auto"/>
              <w:right w:val="single" w:sz="4" w:space="0" w:color="auto"/>
            </w:tcBorders>
            <w:shd w:val="clear" w:color="auto" w:fill="D9D9D9"/>
            <w:vAlign w:val="center"/>
          </w:tcPr>
          <w:p w14:paraId="20A5711A" w14:textId="77777777" w:rsidR="00954F2B" w:rsidRDefault="00954F2B" w:rsidP="00262D72">
            <w:pPr>
              <w:spacing w:after="0"/>
              <w:jc w:val="center"/>
            </w:pPr>
            <w:r>
              <w:t>Non collaboratif</w:t>
            </w:r>
          </w:p>
        </w:tc>
        <w:tc>
          <w:tcPr>
            <w:tcW w:w="627" w:type="pct"/>
            <w:vMerge/>
            <w:tcBorders>
              <w:left w:val="single" w:sz="4" w:space="0" w:color="auto"/>
              <w:bottom w:val="single" w:sz="4" w:space="0" w:color="auto"/>
              <w:right w:val="single" w:sz="4" w:space="0" w:color="auto"/>
            </w:tcBorders>
            <w:shd w:val="clear" w:color="auto" w:fill="D9D9D9"/>
          </w:tcPr>
          <w:p w14:paraId="05F0A45B" w14:textId="77777777" w:rsidR="00954F2B" w:rsidRDefault="00954F2B" w:rsidP="00262D72">
            <w:pPr>
              <w:spacing w:after="0"/>
              <w:jc w:val="center"/>
            </w:pPr>
          </w:p>
        </w:tc>
      </w:tr>
      <w:tr w:rsidR="00954F2B" w14:paraId="0665F262" w14:textId="77777777" w:rsidTr="00262D72">
        <w:trPr>
          <w:trHeight w:val="850"/>
        </w:trPr>
        <w:tc>
          <w:tcPr>
            <w:tcW w:w="7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05D7C4" w14:textId="77777777" w:rsidR="00954F2B" w:rsidRDefault="00954F2B" w:rsidP="00262D72">
            <w:pPr>
              <w:spacing w:after="0"/>
              <w:jc w:val="center"/>
            </w:pPr>
            <w:r>
              <w:t>GE et ETI</w:t>
            </w:r>
          </w:p>
          <w:p w14:paraId="40334176" w14:textId="77777777" w:rsidR="00954F2B" w:rsidRDefault="00954F2B" w:rsidP="00262D72">
            <w:pPr>
              <w:spacing w:after="0"/>
              <w:jc w:val="center"/>
            </w:pPr>
            <w:r>
              <w:rPr>
                <w:sz w:val="16"/>
                <w:szCs w:val="16"/>
              </w:rPr>
              <w:t>Grande Entreprise et Entreprise de Taille Intermédiaire</w:t>
            </w:r>
          </w:p>
        </w:tc>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631BBF" w14:textId="77777777" w:rsidR="00954F2B" w:rsidRDefault="00954F2B" w:rsidP="00262D72">
            <w:pPr>
              <w:spacing w:after="0"/>
              <w:jc w:val="center"/>
            </w:pPr>
            <w:r>
              <w:t>Mix AR/SUB</w:t>
            </w:r>
          </w:p>
        </w:tc>
        <w:tc>
          <w:tcPr>
            <w:tcW w:w="711" w:type="pct"/>
            <w:tcBorders>
              <w:top w:val="single" w:sz="4" w:space="0" w:color="auto"/>
              <w:left w:val="single" w:sz="4" w:space="0" w:color="auto"/>
              <w:bottom w:val="single" w:sz="4" w:space="0" w:color="auto"/>
              <w:right w:val="single" w:sz="4" w:space="0" w:color="auto"/>
            </w:tcBorders>
            <w:vAlign w:val="center"/>
          </w:tcPr>
          <w:p w14:paraId="3A2C13A0" w14:textId="77777777" w:rsidR="00954F2B" w:rsidRDefault="00954F2B" w:rsidP="00262D72">
            <w:pPr>
              <w:spacing w:after="0"/>
              <w:jc w:val="center"/>
            </w:pPr>
            <w:r>
              <w:t>65%</w:t>
            </w:r>
          </w:p>
        </w:tc>
        <w:tc>
          <w:tcPr>
            <w:tcW w:w="685" w:type="pct"/>
            <w:tcBorders>
              <w:top w:val="single" w:sz="4" w:space="0" w:color="auto"/>
              <w:left w:val="single" w:sz="4" w:space="0" w:color="auto"/>
              <w:bottom w:val="single" w:sz="4" w:space="0" w:color="auto"/>
              <w:right w:val="single" w:sz="4" w:space="0" w:color="auto"/>
            </w:tcBorders>
            <w:vAlign w:val="center"/>
          </w:tcPr>
          <w:p w14:paraId="47F9C587" w14:textId="77777777" w:rsidR="00954F2B" w:rsidRDefault="00954F2B" w:rsidP="00262D72">
            <w:pPr>
              <w:spacing w:after="0"/>
              <w:jc w:val="center"/>
            </w:pPr>
            <w:r>
              <w:t>50%</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541BB52B" w14:textId="77777777" w:rsidR="00954F2B" w:rsidRDefault="00954F2B" w:rsidP="00262D72">
            <w:pPr>
              <w:spacing w:after="0"/>
              <w:jc w:val="center"/>
            </w:pPr>
            <w:r>
              <w:t>40 %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6020664" w14:textId="77777777" w:rsidR="00954F2B" w:rsidRDefault="00954F2B" w:rsidP="00262D72">
            <w:pPr>
              <w:spacing w:after="0"/>
              <w:jc w:val="center"/>
            </w:pPr>
            <w:r>
              <w:t>25 %</w:t>
            </w:r>
          </w:p>
        </w:tc>
        <w:tc>
          <w:tcPr>
            <w:tcW w:w="627" w:type="pct"/>
            <w:tcBorders>
              <w:top w:val="single" w:sz="4" w:space="0" w:color="auto"/>
              <w:bottom w:val="single" w:sz="4" w:space="0" w:color="auto"/>
              <w:right w:val="single" w:sz="4" w:space="0" w:color="auto"/>
            </w:tcBorders>
            <w:vAlign w:val="center"/>
          </w:tcPr>
          <w:p w14:paraId="56BC0703" w14:textId="77777777" w:rsidR="00954F2B" w:rsidRDefault="00954F2B" w:rsidP="00262D72">
            <w:pPr>
              <w:spacing w:after="0"/>
              <w:jc w:val="center"/>
            </w:pPr>
            <w:r>
              <w:t>40 %</w:t>
            </w:r>
          </w:p>
        </w:tc>
      </w:tr>
      <w:tr w:rsidR="00954F2B" w14:paraId="6FDD07B4" w14:textId="77777777" w:rsidTr="00262D72">
        <w:trPr>
          <w:trHeight w:val="850"/>
        </w:trPr>
        <w:tc>
          <w:tcPr>
            <w:tcW w:w="7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10497C" w14:textId="77777777" w:rsidR="00954F2B" w:rsidRPr="00773A18" w:rsidRDefault="00954F2B" w:rsidP="00262D72">
            <w:pPr>
              <w:spacing w:after="0"/>
              <w:jc w:val="center"/>
            </w:pPr>
            <w:r w:rsidRPr="00773A18">
              <w:t>ME</w:t>
            </w:r>
          </w:p>
          <w:p w14:paraId="5BDFD025" w14:textId="77777777" w:rsidR="00954F2B" w:rsidRDefault="00954F2B" w:rsidP="00262D72">
            <w:pPr>
              <w:spacing w:after="0"/>
              <w:jc w:val="center"/>
            </w:pPr>
            <w:r w:rsidRPr="00ED6BA3">
              <w:rPr>
                <w:sz w:val="16"/>
                <w:szCs w:val="16"/>
              </w:rPr>
              <w:t>Entreprise moyenne</w:t>
            </w:r>
          </w:p>
        </w:tc>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0FAD3" w14:textId="77777777" w:rsidR="00954F2B" w:rsidRDefault="00954F2B" w:rsidP="00262D72">
            <w:pPr>
              <w:spacing w:after="0"/>
              <w:jc w:val="center"/>
            </w:pPr>
            <w:r>
              <w:t>Mix AR/SUB</w:t>
            </w:r>
          </w:p>
        </w:tc>
        <w:tc>
          <w:tcPr>
            <w:tcW w:w="711" w:type="pct"/>
            <w:tcBorders>
              <w:top w:val="single" w:sz="4" w:space="0" w:color="auto"/>
              <w:left w:val="single" w:sz="4" w:space="0" w:color="auto"/>
              <w:bottom w:val="single" w:sz="4" w:space="0" w:color="auto"/>
              <w:right w:val="single" w:sz="4" w:space="0" w:color="auto"/>
            </w:tcBorders>
            <w:vAlign w:val="center"/>
          </w:tcPr>
          <w:p w14:paraId="3BE35342" w14:textId="77777777" w:rsidR="00954F2B" w:rsidRDefault="00954F2B" w:rsidP="00262D72">
            <w:pPr>
              <w:spacing w:after="0"/>
              <w:jc w:val="center"/>
            </w:pPr>
            <w:r>
              <w:t>75%</w:t>
            </w:r>
          </w:p>
        </w:tc>
        <w:tc>
          <w:tcPr>
            <w:tcW w:w="685" w:type="pct"/>
            <w:tcBorders>
              <w:top w:val="single" w:sz="4" w:space="0" w:color="auto"/>
              <w:left w:val="single" w:sz="4" w:space="0" w:color="auto"/>
              <w:bottom w:val="single" w:sz="4" w:space="0" w:color="auto"/>
              <w:right w:val="single" w:sz="4" w:space="0" w:color="auto"/>
            </w:tcBorders>
            <w:vAlign w:val="center"/>
          </w:tcPr>
          <w:p w14:paraId="1AFDE651" w14:textId="77777777" w:rsidR="00954F2B" w:rsidRDefault="00954F2B" w:rsidP="00262D72">
            <w:pPr>
              <w:spacing w:after="0"/>
              <w:jc w:val="center"/>
            </w:pPr>
            <w:r>
              <w:t>60%</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19797504" w14:textId="77777777" w:rsidR="00954F2B" w:rsidRDefault="00954F2B" w:rsidP="00262D72">
            <w:pPr>
              <w:spacing w:after="0"/>
              <w:jc w:val="center"/>
            </w:pPr>
            <w:r>
              <w:t>50 %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38AC7C8" w14:textId="77777777" w:rsidR="00954F2B" w:rsidRDefault="00954F2B" w:rsidP="00262D72">
            <w:pPr>
              <w:spacing w:after="0"/>
              <w:jc w:val="center"/>
            </w:pPr>
            <w:r>
              <w:t>35 %</w:t>
            </w:r>
          </w:p>
        </w:tc>
        <w:tc>
          <w:tcPr>
            <w:tcW w:w="627" w:type="pct"/>
            <w:tcBorders>
              <w:top w:val="single" w:sz="4" w:space="0" w:color="auto"/>
              <w:bottom w:val="single" w:sz="4" w:space="0" w:color="auto"/>
              <w:right w:val="single" w:sz="4" w:space="0" w:color="auto"/>
            </w:tcBorders>
            <w:vAlign w:val="center"/>
          </w:tcPr>
          <w:p w14:paraId="5E1F3FBC" w14:textId="77777777" w:rsidR="00954F2B" w:rsidRDefault="00954F2B" w:rsidP="00262D72">
            <w:pPr>
              <w:spacing w:after="0"/>
              <w:jc w:val="center"/>
            </w:pPr>
            <w:r>
              <w:t>50 %</w:t>
            </w:r>
          </w:p>
        </w:tc>
      </w:tr>
      <w:tr w:rsidR="00954F2B" w14:paraId="5D972E94" w14:textId="77777777" w:rsidTr="00262D72">
        <w:trPr>
          <w:trHeight w:val="850"/>
        </w:trPr>
        <w:tc>
          <w:tcPr>
            <w:tcW w:w="7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7D80A0" w14:textId="77777777" w:rsidR="00954F2B" w:rsidRPr="00773A18" w:rsidRDefault="00954F2B" w:rsidP="00262D72">
            <w:pPr>
              <w:pBdr>
                <w:top w:val="nil"/>
                <w:left w:val="nil"/>
                <w:bottom w:val="nil"/>
                <w:right w:val="nil"/>
                <w:between w:val="nil"/>
              </w:pBdr>
              <w:spacing w:after="0"/>
              <w:jc w:val="center"/>
            </w:pPr>
            <w:r w:rsidRPr="00773A18">
              <w:t>PE</w:t>
            </w:r>
          </w:p>
          <w:p w14:paraId="22BC33E6" w14:textId="77777777" w:rsidR="00954F2B" w:rsidRDefault="00954F2B" w:rsidP="00262D72">
            <w:pPr>
              <w:widowControl w:val="0"/>
              <w:pBdr>
                <w:top w:val="nil"/>
                <w:left w:val="nil"/>
                <w:bottom w:val="nil"/>
                <w:right w:val="nil"/>
                <w:between w:val="nil"/>
              </w:pBdr>
              <w:spacing w:after="0"/>
              <w:jc w:val="center"/>
            </w:pPr>
            <w:r w:rsidRPr="00ED6BA3">
              <w:rPr>
                <w:sz w:val="16"/>
                <w:szCs w:val="16"/>
              </w:rPr>
              <w:t>Petite entreprise</w:t>
            </w:r>
          </w:p>
        </w:tc>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FB3C1" w14:textId="77777777" w:rsidR="00954F2B" w:rsidRDefault="00954F2B" w:rsidP="00262D72">
            <w:pPr>
              <w:spacing w:after="0"/>
              <w:jc w:val="center"/>
            </w:pPr>
            <w:r>
              <w:t>Mix AR/SUB</w:t>
            </w:r>
          </w:p>
        </w:tc>
        <w:tc>
          <w:tcPr>
            <w:tcW w:w="711" w:type="pct"/>
            <w:tcBorders>
              <w:top w:val="single" w:sz="4" w:space="0" w:color="auto"/>
              <w:left w:val="single" w:sz="4" w:space="0" w:color="auto"/>
              <w:bottom w:val="single" w:sz="4" w:space="0" w:color="auto"/>
              <w:right w:val="single" w:sz="4" w:space="0" w:color="auto"/>
            </w:tcBorders>
            <w:vAlign w:val="center"/>
          </w:tcPr>
          <w:p w14:paraId="403FCB9B" w14:textId="77777777" w:rsidR="00954F2B" w:rsidRDefault="00954F2B" w:rsidP="00262D72">
            <w:pPr>
              <w:spacing w:after="0"/>
              <w:jc w:val="center"/>
            </w:pPr>
            <w:r>
              <w:t>80%</w:t>
            </w:r>
          </w:p>
        </w:tc>
        <w:tc>
          <w:tcPr>
            <w:tcW w:w="685" w:type="pct"/>
            <w:tcBorders>
              <w:top w:val="single" w:sz="4" w:space="0" w:color="auto"/>
              <w:left w:val="single" w:sz="4" w:space="0" w:color="auto"/>
              <w:bottom w:val="single" w:sz="4" w:space="0" w:color="auto"/>
              <w:right w:val="single" w:sz="4" w:space="0" w:color="auto"/>
            </w:tcBorders>
            <w:vAlign w:val="center"/>
          </w:tcPr>
          <w:p w14:paraId="6A72C0A3" w14:textId="77777777" w:rsidR="00954F2B" w:rsidRDefault="00954F2B" w:rsidP="00262D72">
            <w:pPr>
              <w:spacing w:after="0"/>
              <w:jc w:val="center"/>
            </w:pPr>
            <w:r>
              <w:t>70%</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4F552A6B" w14:textId="77777777" w:rsidR="00954F2B" w:rsidRDefault="00954F2B" w:rsidP="00262D72">
            <w:pPr>
              <w:spacing w:after="0"/>
              <w:jc w:val="center"/>
            </w:pPr>
            <w:r>
              <w:t>60%</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114938B8" w14:textId="77777777" w:rsidR="00954F2B" w:rsidRDefault="00954F2B" w:rsidP="00262D72">
            <w:pPr>
              <w:spacing w:after="0"/>
              <w:jc w:val="center"/>
            </w:pPr>
            <w:r>
              <w:t>45%</w:t>
            </w:r>
          </w:p>
        </w:tc>
        <w:tc>
          <w:tcPr>
            <w:tcW w:w="627" w:type="pct"/>
            <w:tcBorders>
              <w:top w:val="single" w:sz="4" w:space="0" w:color="auto"/>
              <w:bottom w:val="single" w:sz="4" w:space="0" w:color="auto"/>
              <w:right w:val="single" w:sz="4" w:space="0" w:color="auto"/>
            </w:tcBorders>
            <w:vAlign w:val="center"/>
          </w:tcPr>
          <w:p w14:paraId="4111A942" w14:textId="77777777" w:rsidR="00954F2B" w:rsidRDefault="00954F2B" w:rsidP="00262D72">
            <w:pPr>
              <w:spacing w:after="0"/>
              <w:jc w:val="center"/>
            </w:pPr>
            <w:r>
              <w:t>60%</w:t>
            </w:r>
          </w:p>
        </w:tc>
      </w:tr>
    </w:tbl>
    <w:p w14:paraId="4B4C6AB6" w14:textId="77777777" w:rsidR="004153EF" w:rsidRDefault="004153EF">
      <w:pPr>
        <w:spacing w:after="120"/>
      </w:pPr>
    </w:p>
    <w:p w14:paraId="165120CF" w14:textId="77777777" w:rsidR="004E3741" w:rsidRDefault="004E3741">
      <w:pPr>
        <w:spacing w:after="120"/>
      </w:pPr>
      <w:r>
        <w:t>Légende :</w:t>
      </w:r>
    </w:p>
    <w:p w14:paraId="41646184" w14:textId="77777777" w:rsidR="004E3741" w:rsidRPr="00AF29DE" w:rsidRDefault="004E3741" w:rsidP="004E3741">
      <w:pPr>
        <w:pStyle w:val="Paragraphedeliste"/>
        <w:numPr>
          <w:ilvl w:val="0"/>
          <w:numId w:val="36"/>
        </w:numPr>
        <w:spacing w:before="120" w:after="120"/>
        <w:rPr>
          <w:sz w:val="18"/>
          <w:szCs w:val="18"/>
        </w:rPr>
      </w:pPr>
      <w:r w:rsidRPr="00AF29DE">
        <w:rPr>
          <w:sz w:val="18"/>
          <w:szCs w:val="18"/>
        </w:rPr>
        <w:lastRenderedPageBreak/>
        <w:t xml:space="preserve">Collaboratif </w:t>
      </w:r>
      <w:r w:rsidRPr="00AF29DE">
        <w:rPr>
          <w:sz w:val="18"/>
          <w:szCs w:val="18"/>
          <w:vertAlign w:val="superscript"/>
        </w:rPr>
        <w:footnoteReference w:id="11"/>
      </w:r>
    </w:p>
    <w:p w14:paraId="42FDE742" w14:textId="77777777" w:rsidR="004E3741" w:rsidRPr="00AF29DE" w:rsidRDefault="004E3741" w:rsidP="004E3741">
      <w:pPr>
        <w:pStyle w:val="Paragraphedeliste"/>
        <w:numPr>
          <w:ilvl w:val="0"/>
          <w:numId w:val="36"/>
        </w:numPr>
        <w:spacing w:before="120" w:after="120"/>
        <w:rPr>
          <w:sz w:val="18"/>
          <w:szCs w:val="18"/>
        </w:rPr>
      </w:pPr>
      <w:r w:rsidRPr="00AF29DE">
        <w:rPr>
          <w:sz w:val="18"/>
          <w:szCs w:val="18"/>
        </w:rPr>
        <w:t>AR : Avance Remboursable </w:t>
      </w:r>
    </w:p>
    <w:p w14:paraId="219DB4CE" w14:textId="77777777" w:rsidR="004E3741" w:rsidRPr="00AF29DE" w:rsidRDefault="004E3741" w:rsidP="004E3741">
      <w:pPr>
        <w:pStyle w:val="Paragraphedeliste"/>
        <w:numPr>
          <w:ilvl w:val="0"/>
          <w:numId w:val="36"/>
        </w:numPr>
        <w:spacing w:before="120" w:after="120"/>
        <w:rPr>
          <w:sz w:val="18"/>
          <w:szCs w:val="18"/>
        </w:rPr>
      </w:pPr>
      <w:r w:rsidRPr="00AF29DE">
        <w:rPr>
          <w:sz w:val="18"/>
          <w:szCs w:val="18"/>
        </w:rPr>
        <w:t>SUB : Subvention </w:t>
      </w:r>
    </w:p>
    <w:p w14:paraId="3A2E16E8" w14:textId="77777777" w:rsidR="004E3741" w:rsidRPr="00AF29DE" w:rsidRDefault="004E3741" w:rsidP="004E3741">
      <w:pPr>
        <w:pStyle w:val="Paragraphedeliste"/>
        <w:numPr>
          <w:ilvl w:val="0"/>
          <w:numId w:val="36"/>
        </w:numPr>
        <w:spacing w:before="120" w:after="120"/>
        <w:rPr>
          <w:sz w:val="18"/>
          <w:szCs w:val="18"/>
        </w:rPr>
      </w:pPr>
      <w:r w:rsidRPr="00AF29DE">
        <w:rPr>
          <w:sz w:val="18"/>
          <w:szCs w:val="18"/>
        </w:rPr>
        <w:t>RI : Recherche Industrielle </w:t>
      </w:r>
    </w:p>
    <w:p w14:paraId="1531947B" w14:textId="77777777" w:rsidR="004E3741" w:rsidRPr="00AF29DE" w:rsidRDefault="004E3741" w:rsidP="004E3741">
      <w:pPr>
        <w:pStyle w:val="Paragraphedeliste"/>
        <w:numPr>
          <w:ilvl w:val="0"/>
          <w:numId w:val="36"/>
        </w:numPr>
        <w:spacing w:before="120" w:after="120"/>
        <w:rPr>
          <w:sz w:val="18"/>
          <w:szCs w:val="18"/>
        </w:rPr>
      </w:pPr>
      <w:r w:rsidRPr="00AF29DE">
        <w:rPr>
          <w:sz w:val="18"/>
          <w:szCs w:val="18"/>
        </w:rPr>
        <w:t>DE : Développement expérimental</w:t>
      </w:r>
    </w:p>
    <w:p w14:paraId="2A19F020" w14:textId="77777777" w:rsidR="004E3741" w:rsidRPr="00AF29DE" w:rsidRDefault="004E3741" w:rsidP="004E3741">
      <w:pPr>
        <w:pStyle w:val="Paragraphedeliste"/>
        <w:numPr>
          <w:ilvl w:val="0"/>
          <w:numId w:val="36"/>
        </w:numPr>
        <w:spacing w:before="120" w:after="120"/>
        <w:rPr>
          <w:sz w:val="18"/>
          <w:szCs w:val="18"/>
        </w:rPr>
      </w:pPr>
      <w:r w:rsidRPr="00AF29DE">
        <w:rPr>
          <w:sz w:val="18"/>
          <w:szCs w:val="18"/>
        </w:rPr>
        <w:t>PE : Protection de l’Environnement, tels que précisés dans le régime d’aides de l’ADEME exempté de notification n° SA.</w:t>
      </w:r>
      <w:r w:rsidRPr="00AF29DE">
        <w:rPr>
          <w:sz w:val="18"/>
        </w:rPr>
        <w:t xml:space="preserve"> 59357</w:t>
      </w:r>
      <w:r w:rsidRPr="00AF29DE">
        <w:rPr>
          <w:sz w:val="18"/>
          <w:szCs w:val="18"/>
        </w:rPr>
        <w:t>.</w:t>
      </w:r>
    </w:p>
    <w:p w14:paraId="3AEF6D5F" w14:textId="6483127D" w:rsidR="00EB0D03" w:rsidRDefault="00EB0D03">
      <w:pPr>
        <w:tabs>
          <w:tab w:val="left" w:pos="8289"/>
        </w:tabs>
        <w:spacing w:before="120" w:after="120"/>
        <w:rPr>
          <w:sz w:val="18"/>
          <w:szCs w:val="18"/>
        </w:rPr>
      </w:pPr>
    </w:p>
    <w:p w14:paraId="70DD87DB" w14:textId="77777777" w:rsidR="003E247F" w:rsidRPr="00585F7A" w:rsidRDefault="003E247F" w:rsidP="003E247F">
      <w:pPr>
        <w:spacing w:after="120"/>
      </w:pPr>
      <w:r w:rsidRPr="00585F7A">
        <w:t>L’aide apportée aux activités économiques sera constituée d’une part de subvention et d’une part remboursable. Dans le cas général, la part de subvention sera de</w:t>
      </w:r>
      <w:r>
        <w:t xml:space="preserve"> </w:t>
      </w:r>
      <w:r w:rsidRPr="00585F7A">
        <w:t>:</w:t>
      </w:r>
    </w:p>
    <w:p w14:paraId="7DB1D989" w14:textId="77777777" w:rsidR="003E247F" w:rsidRPr="00556C06" w:rsidRDefault="003E247F" w:rsidP="003E247F">
      <w:pPr>
        <w:pStyle w:val="Paragraphedeliste"/>
        <w:numPr>
          <w:ilvl w:val="0"/>
          <w:numId w:val="42"/>
        </w:numPr>
        <w:spacing w:before="120" w:after="120"/>
        <w:rPr>
          <w:b/>
        </w:rPr>
      </w:pPr>
      <w:r w:rsidRPr="00556C06">
        <w:rPr>
          <w:b/>
        </w:rPr>
        <w:t xml:space="preserve">75% pour les projets majoritairement « </w:t>
      </w:r>
      <w:r>
        <w:rPr>
          <w:b/>
        </w:rPr>
        <w:t xml:space="preserve">RI </w:t>
      </w:r>
      <w:r w:rsidRPr="00556C06">
        <w:rPr>
          <w:b/>
        </w:rPr>
        <w:t>»</w:t>
      </w:r>
      <w:r>
        <w:rPr>
          <w:b/>
        </w:rPr>
        <w:t xml:space="preserve"> </w:t>
      </w:r>
      <w:r w:rsidRPr="00556C06">
        <w:rPr>
          <w:b/>
        </w:rPr>
        <w:t>;</w:t>
      </w:r>
    </w:p>
    <w:p w14:paraId="2AF35C13" w14:textId="77777777" w:rsidR="003E247F" w:rsidRPr="00556C06" w:rsidRDefault="003E247F" w:rsidP="003E247F">
      <w:pPr>
        <w:pStyle w:val="Paragraphedeliste"/>
        <w:spacing w:after="120"/>
      </w:pPr>
      <w:r w:rsidRPr="00556C06">
        <w:t>Les dépenses qualifiées de « recherche industrielle » doivent faire l’objet d’une justification étayée de la part du demandeur</w:t>
      </w:r>
      <w:r w:rsidRPr="00C90A0A">
        <w:rPr>
          <w:vertAlign w:val="superscript"/>
        </w:rPr>
        <w:t>10</w:t>
      </w:r>
      <w:r w:rsidRPr="00556C06">
        <w:t>. A défaut, ces dépenses pourront être requalifiées en « développement expérimental » et soutenues selon les modalités correspondantes.</w:t>
      </w:r>
    </w:p>
    <w:p w14:paraId="55200FC1" w14:textId="49223FE2" w:rsidR="003E247F" w:rsidRDefault="003E247F" w:rsidP="003E247F">
      <w:pPr>
        <w:pStyle w:val="Paragraphedeliste"/>
        <w:numPr>
          <w:ilvl w:val="0"/>
          <w:numId w:val="42"/>
        </w:numPr>
        <w:spacing w:before="120" w:after="120"/>
        <w:rPr>
          <w:b/>
        </w:rPr>
      </w:pPr>
      <w:r w:rsidRPr="00556C06">
        <w:rPr>
          <w:b/>
        </w:rPr>
        <w:t xml:space="preserve">60% pour les projets majoritairement « </w:t>
      </w:r>
      <w:r>
        <w:rPr>
          <w:b/>
        </w:rPr>
        <w:t xml:space="preserve">DE </w:t>
      </w:r>
      <w:r w:rsidR="00586237">
        <w:rPr>
          <w:b/>
        </w:rPr>
        <w:t>/ PE</w:t>
      </w:r>
      <w:r w:rsidRPr="00556C06">
        <w:rPr>
          <w:b/>
        </w:rPr>
        <w:t xml:space="preserve">». </w:t>
      </w:r>
    </w:p>
    <w:p w14:paraId="136942C5" w14:textId="77777777" w:rsidR="003E247F" w:rsidRDefault="003E247F">
      <w:pPr>
        <w:tabs>
          <w:tab w:val="left" w:pos="8289"/>
        </w:tabs>
        <w:spacing w:before="120" w:after="120"/>
        <w:rPr>
          <w:sz w:val="18"/>
          <w:szCs w:val="18"/>
        </w:rPr>
      </w:pPr>
    </w:p>
    <w:p w14:paraId="660B7F52" w14:textId="343E3FA8" w:rsidR="00EB0D03" w:rsidRDefault="004D2E04">
      <w:pPr>
        <w:spacing w:after="120"/>
        <w:rPr>
          <w:b/>
        </w:rPr>
      </w:pPr>
      <w:r>
        <w:rPr>
          <w:b/>
        </w:rPr>
        <w:t>Aucune aide de moins de 200 000 € ne sera attribuée à un partenaire de type Grande Entreprise (au sens européen).</w:t>
      </w:r>
    </w:p>
    <w:p w14:paraId="622049EC" w14:textId="59C27B9C" w:rsidR="00EB0D03" w:rsidRDefault="00EB0D03">
      <w:pPr>
        <w:spacing w:after="120"/>
        <w:rPr>
          <w:b/>
        </w:rPr>
      </w:pPr>
    </w:p>
    <w:p w14:paraId="0BC0DA79" w14:textId="2A8842B8" w:rsidR="00EB0D03" w:rsidRPr="001E4714" w:rsidRDefault="00795F37" w:rsidP="004C653C">
      <w:pPr>
        <w:pStyle w:val="Titre4"/>
        <w:numPr>
          <w:ilvl w:val="0"/>
          <w:numId w:val="0"/>
        </w:numPr>
        <w:ind w:firstLine="709"/>
        <w:rPr>
          <w:b w:val="0"/>
          <w:sz w:val="22"/>
          <w:szCs w:val="22"/>
        </w:rPr>
      </w:pPr>
      <w:r>
        <w:rPr>
          <w:b w:val="0"/>
          <w:sz w:val="22"/>
          <w:szCs w:val="22"/>
        </w:rPr>
        <w:t>4</w:t>
      </w:r>
      <w:r w:rsidR="004C653C">
        <w:rPr>
          <w:b w:val="0"/>
          <w:sz w:val="22"/>
          <w:szCs w:val="22"/>
        </w:rPr>
        <w:t xml:space="preserve">.4.2 </w:t>
      </w:r>
      <w:r w:rsidR="004D2E04" w:rsidRPr="001E4714">
        <w:rPr>
          <w:b w:val="0"/>
          <w:sz w:val="22"/>
          <w:szCs w:val="22"/>
        </w:rPr>
        <w:t>Aides proposées pour les activités non économiques</w:t>
      </w:r>
    </w:p>
    <w:p w14:paraId="008A117A" w14:textId="77777777" w:rsidR="00EB0D03" w:rsidRDefault="004D2E04" w:rsidP="00DA20D3">
      <w:pPr>
        <w:spacing w:before="120" w:after="120"/>
        <w:rPr>
          <w:rFonts w:eastAsia="Times New Roman"/>
          <w:sz w:val="24"/>
          <w:szCs w:val="24"/>
        </w:rPr>
      </w:pPr>
      <w:r>
        <w:t>Sont considérées comme « non économiques », les activités des entités, généralement des établissements de recherche, qui ne rentrent pas dans la catégorie des activités économiques</w:t>
      </w:r>
      <w:r>
        <w:rPr>
          <w:vertAlign w:val="superscript"/>
        </w:rPr>
        <w:footnoteReference w:id="12"/>
      </w:r>
      <w:r>
        <w:rPr>
          <w:rFonts w:eastAsia="Times New Roman"/>
          <w:sz w:val="24"/>
          <w:szCs w:val="24"/>
        </w:rPr>
        <w:t xml:space="preserve">. </w:t>
      </w:r>
    </w:p>
    <w:p w14:paraId="4BCD2DAA" w14:textId="77777777" w:rsidR="00EB0D03" w:rsidRDefault="00EB0D03">
      <w:pPr>
        <w:spacing w:after="0"/>
        <w:rPr>
          <w:rFonts w:eastAsia="Times New Roman"/>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7"/>
        <w:gridCol w:w="2401"/>
        <w:gridCol w:w="3969"/>
      </w:tblGrid>
      <w:tr w:rsidR="00EB0D03" w14:paraId="44A8A980" w14:textId="77777777">
        <w:trPr>
          <w:trHeight w:val="20"/>
        </w:trPr>
        <w:tc>
          <w:tcPr>
            <w:tcW w:w="2697" w:type="dxa"/>
            <w:tcBorders>
              <w:top w:val="single" w:sz="4" w:space="0" w:color="auto"/>
              <w:left w:val="single" w:sz="4" w:space="0" w:color="auto"/>
              <w:bottom w:val="single" w:sz="4" w:space="0" w:color="auto"/>
              <w:right w:val="single" w:sz="4" w:space="0" w:color="auto"/>
            </w:tcBorders>
            <w:shd w:val="clear" w:color="D9D9D9" w:fill="D9D9D9"/>
            <w:vAlign w:val="center"/>
          </w:tcPr>
          <w:p w14:paraId="195DC361" w14:textId="77777777" w:rsidR="00EB0D03" w:rsidRDefault="004D2E04">
            <w:pPr>
              <w:spacing w:after="120"/>
              <w:jc w:val="left"/>
            </w:pPr>
            <w:r>
              <w:t>Type d’acteur</w:t>
            </w:r>
          </w:p>
        </w:tc>
        <w:tc>
          <w:tcPr>
            <w:tcW w:w="2401" w:type="dxa"/>
            <w:tcBorders>
              <w:top w:val="single" w:sz="4" w:space="0" w:color="auto"/>
              <w:left w:val="single" w:sz="4" w:space="0" w:color="auto"/>
              <w:bottom w:val="single" w:sz="4" w:space="0" w:color="auto"/>
              <w:right w:val="single" w:sz="4" w:space="0" w:color="auto"/>
            </w:tcBorders>
            <w:shd w:val="clear" w:color="D9D9D9" w:fill="D9D9D9"/>
            <w:vAlign w:val="center"/>
          </w:tcPr>
          <w:p w14:paraId="3D1D1F67" w14:textId="77777777" w:rsidR="00EB0D03" w:rsidRDefault="004D2E04">
            <w:pPr>
              <w:spacing w:after="120"/>
              <w:jc w:val="left"/>
            </w:pPr>
            <w:r>
              <w:t>Nature de l’aide</w:t>
            </w:r>
          </w:p>
        </w:tc>
        <w:tc>
          <w:tcPr>
            <w:tcW w:w="3969" w:type="dxa"/>
            <w:tcBorders>
              <w:top w:val="single" w:sz="4" w:space="0" w:color="auto"/>
              <w:left w:val="single" w:sz="4" w:space="0" w:color="auto"/>
              <w:bottom w:val="single" w:sz="4" w:space="0" w:color="auto"/>
              <w:right w:val="single" w:sz="4" w:space="0" w:color="auto"/>
            </w:tcBorders>
            <w:shd w:val="clear" w:color="D9D9D9" w:fill="D9D9D9"/>
            <w:vAlign w:val="center"/>
          </w:tcPr>
          <w:p w14:paraId="214A90FB" w14:textId="77777777" w:rsidR="00EB0D03" w:rsidRDefault="004D2E04">
            <w:pPr>
              <w:spacing w:after="120"/>
              <w:jc w:val="left"/>
            </w:pPr>
            <w:r>
              <w:t xml:space="preserve">Intensité </w:t>
            </w:r>
            <w:r>
              <w:br/>
              <w:t>(au choix de l’entité)</w:t>
            </w:r>
          </w:p>
        </w:tc>
      </w:tr>
      <w:tr w:rsidR="00EB0D03" w14:paraId="5666BD36" w14:textId="77777777">
        <w:trPr>
          <w:trHeight w:val="20"/>
        </w:trPr>
        <w:tc>
          <w:tcPr>
            <w:tcW w:w="2697" w:type="dxa"/>
            <w:vMerge w:val="restart"/>
            <w:tcBorders>
              <w:top w:val="single" w:sz="4" w:space="0" w:color="auto"/>
              <w:left w:val="single" w:sz="4" w:space="0" w:color="auto"/>
              <w:right w:val="single" w:sz="4" w:space="0" w:color="auto"/>
            </w:tcBorders>
            <w:shd w:val="clear" w:color="F2F2F2" w:fill="F2F2F2" w:themeFill="background1" w:themeFillShade="F2"/>
            <w:vAlign w:val="center"/>
          </w:tcPr>
          <w:p w14:paraId="157B75CF" w14:textId="77777777" w:rsidR="00EB0D03" w:rsidRDefault="004D2E04">
            <w:pPr>
              <w:spacing w:after="120"/>
              <w:jc w:val="left"/>
            </w:pPr>
            <w:r>
              <w:t>Organismes de recherche et a</w:t>
            </w:r>
            <w:r>
              <w:rPr>
                <w:i/>
              </w:rPr>
              <w:t>ssimilés</w:t>
            </w:r>
          </w:p>
        </w:tc>
        <w:tc>
          <w:tcPr>
            <w:tcW w:w="2401" w:type="dxa"/>
            <w:vMerge w:val="restart"/>
            <w:tcBorders>
              <w:top w:val="single" w:sz="4" w:space="0" w:color="auto"/>
              <w:left w:val="single" w:sz="4" w:space="0" w:color="auto"/>
              <w:right w:val="single" w:sz="4" w:space="0" w:color="auto"/>
            </w:tcBorders>
            <w:shd w:val="clear" w:color="auto" w:fill="auto"/>
            <w:vAlign w:val="center"/>
          </w:tcPr>
          <w:p w14:paraId="3C6345AA" w14:textId="77777777" w:rsidR="00EB0D03" w:rsidRDefault="004D2E04">
            <w:pPr>
              <w:spacing w:after="120"/>
              <w:jc w:val="left"/>
            </w:pPr>
            <w:r>
              <w:t>Subvention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745ED4" w14:textId="77777777" w:rsidR="00EB0D03" w:rsidRDefault="004D2E04">
            <w:pPr>
              <w:spacing w:after="120"/>
              <w:jc w:val="left"/>
            </w:pPr>
            <w:r>
              <w:t>100% des coûts marginaux</w:t>
            </w:r>
          </w:p>
        </w:tc>
      </w:tr>
      <w:tr w:rsidR="00EB0D03" w14:paraId="703952DA" w14:textId="77777777">
        <w:trPr>
          <w:trHeight w:val="20"/>
        </w:trPr>
        <w:tc>
          <w:tcPr>
            <w:tcW w:w="2697" w:type="dxa"/>
            <w:vMerge/>
            <w:tcBorders>
              <w:top w:val="single" w:sz="4" w:space="0" w:color="000000"/>
              <w:left w:val="single" w:sz="4" w:space="0" w:color="auto"/>
              <w:right w:val="single" w:sz="4" w:space="0" w:color="auto"/>
            </w:tcBorders>
            <w:shd w:val="clear" w:color="F2F2F2" w:fill="F2F2F2" w:themeFill="background1" w:themeFillShade="F2"/>
            <w:vAlign w:val="center"/>
          </w:tcPr>
          <w:p w14:paraId="3E75A46C" w14:textId="77777777" w:rsidR="00EB0D03" w:rsidRDefault="00EB0D03">
            <w:pPr>
              <w:widowControl w:val="0"/>
              <w:pBdr>
                <w:top w:val="none" w:sz="4" w:space="0" w:color="000000"/>
                <w:left w:val="none" w:sz="4" w:space="0" w:color="000000"/>
                <w:bottom w:val="none" w:sz="4" w:space="0" w:color="000000"/>
                <w:right w:val="none" w:sz="4" w:space="0" w:color="000000"/>
                <w:between w:val="none" w:sz="4" w:space="0" w:color="000000"/>
              </w:pBdr>
              <w:spacing w:after="0"/>
              <w:jc w:val="left"/>
            </w:pPr>
          </w:p>
        </w:tc>
        <w:tc>
          <w:tcPr>
            <w:tcW w:w="2401" w:type="dxa"/>
            <w:vMerge/>
            <w:tcBorders>
              <w:top w:val="single" w:sz="4" w:space="0" w:color="000000"/>
              <w:left w:val="single" w:sz="4" w:space="0" w:color="auto"/>
              <w:right w:val="single" w:sz="4" w:space="0" w:color="auto"/>
            </w:tcBorders>
            <w:shd w:val="clear" w:color="auto" w:fill="auto"/>
            <w:vAlign w:val="center"/>
          </w:tcPr>
          <w:p w14:paraId="42319AFA" w14:textId="77777777" w:rsidR="00EB0D03" w:rsidRDefault="00EB0D03">
            <w:pPr>
              <w:widowControl w:val="0"/>
              <w:pBdr>
                <w:top w:val="none" w:sz="4" w:space="0" w:color="000000"/>
                <w:left w:val="none" w:sz="4" w:space="0" w:color="000000"/>
                <w:bottom w:val="none" w:sz="4" w:space="0" w:color="000000"/>
                <w:right w:val="none" w:sz="4" w:space="0" w:color="000000"/>
                <w:between w:val="none" w:sz="4" w:space="0" w:color="000000"/>
              </w:pBdr>
              <w:spacing w:after="0"/>
              <w:jc w:val="left"/>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4133733" w14:textId="77777777" w:rsidR="00EB0D03" w:rsidRDefault="004D2E04">
            <w:pPr>
              <w:spacing w:after="120"/>
              <w:jc w:val="left"/>
            </w:pPr>
            <w:r>
              <w:t>50 % coûts complets</w:t>
            </w:r>
            <w:r>
              <w:rPr>
                <w:vertAlign w:val="superscript"/>
              </w:rPr>
              <w:footnoteReference w:id="13"/>
            </w:r>
          </w:p>
        </w:tc>
      </w:tr>
      <w:tr w:rsidR="00EB0D03" w14:paraId="3AE4CAC7" w14:textId="77777777">
        <w:trPr>
          <w:trHeight w:val="20"/>
        </w:trPr>
        <w:tc>
          <w:tcPr>
            <w:tcW w:w="2697" w:type="dxa"/>
            <w:tcBorders>
              <w:left w:val="single" w:sz="4" w:space="0" w:color="auto"/>
              <w:bottom w:val="single" w:sz="4" w:space="0" w:color="auto"/>
              <w:right w:val="single" w:sz="4" w:space="0" w:color="auto"/>
            </w:tcBorders>
            <w:shd w:val="clear" w:color="F2F2F2" w:fill="F2F2F2" w:themeFill="background1" w:themeFillShade="F2"/>
            <w:vAlign w:val="center"/>
          </w:tcPr>
          <w:p w14:paraId="622C5F4B" w14:textId="77777777" w:rsidR="00EB0D03" w:rsidRDefault="004D2E04">
            <w:pPr>
              <w:spacing w:after="120"/>
              <w:jc w:val="left"/>
            </w:pPr>
            <w:r>
              <w:t xml:space="preserve">Collectivités locales et </w:t>
            </w:r>
            <w:r>
              <w:rPr>
                <w:i/>
              </w:rPr>
              <w:t>assimilées</w:t>
            </w:r>
          </w:p>
        </w:tc>
        <w:tc>
          <w:tcPr>
            <w:tcW w:w="2401" w:type="dxa"/>
            <w:tcBorders>
              <w:left w:val="single" w:sz="4" w:space="0" w:color="auto"/>
              <w:bottom w:val="single" w:sz="4" w:space="0" w:color="auto"/>
              <w:right w:val="single" w:sz="4" w:space="0" w:color="auto"/>
            </w:tcBorders>
            <w:shd w:val="clear" w:color="auto" w:fill="auto"/>
            <w:vAlign w:val="center"/>
          </w:tcPr>
          <w:p w14:paraId="5B50A1E0" w14:textId="77777777" w:rsidR="00EB0D03" w:rsidRDefault="004D2E04">
            <w:pPr>
              <w:spacing w:after="120"/>
              <w:jc w:val="left"/>
            </w:pPr>
            <w:r>
              <w:t>Subvention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F5F0237" w14:textId="77777777" w:rsidR="00EB0D03" w:rsidRDefault="004D2E04">
            <w:pPr>
              <w:spacing w:after="120"/>
              <w:jc w:val="left"/>
            </w:pPr>
            <w:r>
              <w:t>50 % coûts complets</w:t>
            </w:r>
          </w:p>
        </w:tc>
      </w:tr>
    </w:tbl>
    <w:p w14:paraId="7644031D" w14:textId="77777777" w:rsidR="00EB0D03" w:rsidRDefault="00EB0D03">
      <w:pPr>
        <w:spacing w:after="0"/>
      </w:pPr>
    </w:p>
    <w:p w14:paraId="2A387309" w14:textId="77777777" w:rsidR="00EB0D03" w:rsidRDefault="004D2E04">
      <w:pPr>
        <w:spacing w:after="0"/>
      </w:pPr>
      <w:r>
        <w:t xml:space="preserve">Toute dépense d’un organisme de recherche et assimilés liée à des travaux applicatifs pour le développement d’une solution portée par un des membres du consortium est à considérer en sous-traitance de ce dernier. </w:t>
      </w:r>
    </w:p>
    <w:p w14:paraId="52A1F1B7" w14:textId="77777777" w:rsidR="00EB0D03" w:rsidRPr="001E4714" w:rsidRDefault="00EB0D03" w:rsidP="00DA20D3">
      <w:pPr>
        <w:pStyle w:val="Titre3"/>
        <w:numPr>
          <w:ilvl w:val="0"/>
          <w:numId w:val="0"/>
        </w:numPr>
        <w:rPr>
          <w:rFonts w:ascii="Arial" w:hAnsi="Arial" w:cs="Arial"/>
          <w:b/>
          <w:color w:val="auto"/>
          <w:sz w:val="22"/>
          <w:szCs w:val="22"/>
        </w:rPr>
      </w:pPr>
    </w:p>
    <w:p w14:paraId="29C2E454" w14:textId="77777777" w:rsidR="00667AE1" w:rsidRDefault="00667AE1" w:rsidP="005B1C95">
      <w:pPr>
        <w:pStyle w:val="Titre2"/>
        <w:spacing w:after="120"/>
        <w:ind w:left="0" w:hanging="11"/>
      </w:pPr>
      <w:bookmarkStart w:id="23" w:name="_Toc95317889"/>
      <w:r>
        <w:t>Modalités de remboursement des avances remboursables</w:t>
      </w:r>
      <w:bookmarkEnd w:id="23"/>
    </w:p>
    <w:p w14:paraId="34BE451B" w14:textId="77777777" w:rsidR="00CA20C0" w:rsidRPr="00CA20C0" w:rsidRDefault="00CA20C0" w:rsidP="005B1C95">
      <w:pPr>
        <w:spacing w:after="0"/>
      </w:pPr>
    </w:p>
    <w:p w14:paraId="026DE771" w14:textId="48744D82" w:rsidR="00EB0D03" w:rsidRDefault="004D2E04">
      <w:r>
        <w:t xml:space="preserve">Les interventions financières </w:t>
      </w:r>
      <w:r w:rsidR="000C2617">
        <w:t>de France 2030</w:t>
      </w:r>
      <w:r>
        <w:t xml:space="preserve"> poursuivent un objectif systématique de retours financiers pour l'État. </w:t>
      </w:r>
    </w:p>
    <w:p w14:paraId="4D548A3B" w14:textId="77777777" w:rsidR="00EB0D03" w:rsidRDefault="00EB0D03"/>
    <w:p w14:paraId="3F47CB68" w14:textId="77777777" w:rsidR="00EB0D03" w:rsidRDefault="004D2E04">
      <w:r>
        <w:t xml:space="preserve">Les modalités de remboursement des avances remboursables accordées aux entreprises sont précisées dans les conventions prévues entre l’ADEME et les bénéficiaires des aides. </w:t>
      </w:r>
    </w:p>
    <w:p w14:paraId="40533AAF" w14:textId="77777777" w:rsidR="00EB0D03" w:rsidRDefault="004D2E04">
      <w:r>
        <w:t xml:space="preserve">Le remboursement des avances est déclenché par l’atteinte d’un seuil de succès. Cependant, si le seuil de remboursement n’est pas atteint dans un délai qui sera défini au cours de l’instruction du projet, le bénéficiaire d’une aide sous forme d’avance remboursable sera </w:t>
      </w:r>
      <w:r>
        <w:rPr>
          <w:b/>
        </w:rPr>
        <w:t>délié de toute obligation de remboursement du seuil non atteint.</w:t>
      </w:r>
    </w:p>
    <w:p w14:paraId="53FF269C" w14:textId="77777777" w:rsidR="00EB0D03" w:rsidRDefault="00EB0D03"/>
    <w:p w14:paraId="7E79231B" w14:textId="77777777" w:rsidR="00EB0D03" w:rsidRDefault="004D2E04">
      <w:r>
        <w:t xml:space="preserve">Ce remboursement prend en règle générale la forme d’un échéancier forfaitaire sur plusieurs annuités, tenant compte des prévisions d’activité du bénéficiaire. </w:t>
      </w:r>
    </w:p>
    <w:p w14:paraId="0844CD5B" w14:textId="77777777" w:rsidR="00EB0D03" w:rsidRDefault="00EB0D03"/>
    <w:p w14:paraId="5286C9FD" w14:textId="531EB872" w:rsidR="00EB0D03" w:rsidRDefault="004D2E04">
      <w:r>
        <w:t>Le montant des échéances de remboursements intègre un taux d’actualisation, basé sur le taux de référence et d’actualisation fixé par la Commission européenne à la date de la décision d’octroi des aides, lequel est majoré de 100 points de base. Ce taux peut être ajusté à la hausse en cas d’évolution des modalités de remboursement.</w:t>
      </w:r>
    </w:p>
    <w:p w14:paraId="5C96C694" w14:textId="6418C805" w:rsidR="002332EC" w:rsidRDefault="002332EC"/>
    <w:p w14:paraId="25BE54D7" w14:textId="77777777" w:rsidR="002332EC" w:rsidRDefault="002332EC"/>
    <w:p w14:paraId="082A032C" w14:textId="77777777" w:rsidR="002332EC" w:rsidRDefault="002332EC" w:rsidP="002332EC">
      <w:pPr>
        <w:pStyle w:val="Titre1"/>
        <w:spacing w:before="0" w:after="120" w:line="240" w:lineRule="auto"/>
      </w:pPr>
      <w:bookmarkStart w:id="24" w:name="_Toc95317890"/>
      <w:r>
        <w:lastRenderedPageBreak/>
        <w:t>Liste des documents constitutifs d’un dossier</w:t>
      </w:r>
      <w:bookmarkEnd w:id="24"/>
    </w:p>
    <w:p w14:paraId="7EBC595E" w14:textId="77777777" w:rsidR="002332EC" w:rsidRPr="004F6ADE" w:rsidRDefault="002332EC" w:rsidP="00E51D1F">
      <w:pPr>
        <w:pStyle w:val="Titre2"/>
      </w:pPr>
      <w:bookmarkStart w:id="25" w:name="_Toc86396105"/>
      <w:bookmarkStart w:id="26" w:name="_Toc95317891"/>
      <w:bookmarkStart w:id="27" w:name="_Toc74823225"/>
      <w:r w:rsidRPr="004F6ADE">
        <w:t>Dossier de candidature</w:t>
      </w:r>
      <w:bookmarkEnd w:id="25"/>
      <w:bookmarkEnd w:id="26"/>
    </w:p>
    <w:bookmarkEnd w:id="27"/>
    <w:p w14:paraId="11B31690" w14:textId="46CA9818" w:rsidR="00E51D1F" w:rsidRDefault="00E51D1F" w:rsidP="00E51D1F">
      <w:pPr>
        <w:rPr>
          <w:b/>
        </w:rPr>
      </w:pPr>
      <w:r w:rsidRPr="00E51D1F">
        <w:rPr>
          <w:b/>
        </w:rPr>
        <w:t>Pour un pré-dépôt</w:t>
      </w:r>
    </w:p>
    <w:p w14:paraId="2591729D" w14:textId="13C89970" w:rsidR="00E51D1F" w:rsidRDefault="00E51D1F" w:rsidP="00E51D1F">
      <w:pPr>
        <w:rPr>
          <w:b/>
        </w:rPr>
      </w:pPr>
      <w:r>
        <w:rPr>
          <w:b/>
        </w:rPr>
        <w:t xml:space="preserve">Annexe 2 : </w:t>
      </w:r>
      <w:r>
        <w:rPr>
          <w:b/>
        </w:rPr>
        <w:tab/>
      </w:r>
      <w:r>
        <w:t>Modèle de présentation du projet pour le pré-dépôt</w:t>
      </w:r>
    </w:p>
    <w:p w14:paraId="57E6B0CC" w14:textId="289FE615" w:rsidR="00E51D1F" w:rsidRDefault="00E51D1F" w:rsidP="00E51D1F">
      <w:pPr>
        <w:rPr>
          <w:b/>
        </w:rPr>
      </w:pPr>
    </w:p>
    <w:p w14:paraId="23847E07" w14:textId="77777777" w:rsidR="00AC06D1" w:rsidRPr="00AC06D1" w:rsidRDefault="00AC06D1" w:rsidP="00AC06D1">
      <w:pPr>
        <w:rPr>
          <w:b/>
        </w:rPr>
      </w:pPr>
      <w:bookmarkStart w:id="28" w:name="_Toc95141614"/>
      <w:r w:rsidRPr="00AC06D1">
        <w:rPr>
          <w:b/>
        </w:rPr>
        <w:t>Pour un dépôt complet</w:t>
      </w:r>
      <w:bookmarkEnd w:id="28"/>
      <w:r w:rsidRPr="00AC06D1">
        <w:rPr>
          <w:b/>
        </w:rPr>
        <w:t> </w:t>
      </w:r>
    </w:p>
    <w:p w14:paraId="133944CD" w14:textId="77777777" w:rsidR="00E51D1F" w:rsidRDefault="00E51D1F" w:rsidP="00E51D1F">
      <w:pPr>
        <w:rPr>
          <w:b/>
        </w:rPr>
      </w:pPr>
      <w:r>
        <w:rPr>
          <w:b/>
        </w:rPr>
        <w:t>Document unique</w:t>
      </w:r>
    </w:p>
    <w:p w14:paraId="17112B6A" w14:textId="77777777" w:rsidR="00E51D1F" w:rsidRDefault="00E51D1F" w:rsidP="00E51D1F">
      <w:pPr>
        <w:rPr>
          <w:b/>
        </w:rPr>
      </w:pPr>
      <w:r>
        <w:rPr>
          <w:b/>
        </w:rPr>
        <w:t xml:space="preserve">Annexe 3.a : </w:t>
      </w:r>
      <w:r>
        <w:rPr>
          <w:b/>
        </w:rPr>
        <w:tab/>
      </w:r>
      <w:r>
        <w:t>Descriptif détaillé du projet</w:t>
      </w:r>
    </w:p>
    <w:p w14:paraId="08BB4B2B" w14:textId="77777777" w:rsidR="00E51D1F" w:rsidRDefault="00E51D1F" w:rsidP="00E51D1F">
      <w:pPr>
        <w:rPr>
          <w:b/>
        </w:rPr>
      </w:pPr>
      <w:r>
        <w:rPr>
          <w:b/>
        </w:rPr>
        <w:t xml:space="preserve">Annexe 4 : </w:t>
      </w:r>
      <w:r>
        <w:rPr>
          <w:b/>
        </w:rPr>
        <w:tab/>
      </w:r>
      <w:r>
        <w:t>Base de données des coûts du projet</w:t>
      </w:r>
    </w:p>
    <w:p w14:paraId="143F52F1" w14:textId="77777777" w:rsidR="00E51D1F" w:rsidRDefault="00E51D1F" w:rsidP="00E51D1F">
      <w:pPr>
        <w:rPr>
          <w:b/>
        </w:rPr>
      </w:pPr>
      <w:r>
        <w:rPr>
          <w:b/>
        </w:rPr>
        <w:t xml:space="preserve">Annexe 7 : </w:t>
      </w:r>
      <w:r>
        <w:rPr>
          <w:b/>
        </w:rPr>
        <w:tab/>
      </w:r>
      <w:r w:rsidRPr="00253B34">
        <w:t>Fiche lauréat</w:t>
      </w:r>
    </w:p>
    <w:p w14:paraId="5C5DA25E" w14:textId="65D729EA" w:rsidR="00E51D1F" w:rsidRDefault="00E51D1F" w:rsidP="00E51D1F">
      <w:pPr>
        <w:rPr>
          <w:b/>
        </w:rPr>
      </w:pPr>
    </w:p>
    <w:p w14:paraId="761D9BB4" w14:textId="77777777" w:rsidR="00AC06D1" w:rsidRDefault="00AC06D1" w:rsidP="00AC06D1">
      <w:pPr>
        <w:rPr>
          <w:b/>
        </w:rPr>
      </w:pPr>
      <w:r>
        <w:rPr>
          <w:b/>
        </w:rPr>
        <w:t>Document à renseigner par chaque demandeur d’aide</w:t>
      </w:r>
    </w:p>
    <w:p w14:paraId="7AF4F9A7" w14:textId="00EF1EF3" w:rsidR="00E51D1F" w:rsidRDefault="00E51D1F" w:rsidP="00E51D1F">
      <w:pPr>
        <w:rPr>
          <w:b/>
        </w:rPr>
      </w:pPr>
      <w:r>
        <w:rPr>
          <w:b/>
        </w:rPr>
        <w:t>Annexe 1 :</w:t>
      </w:r>
      <w:r>
        <w:rPr>
          <w:b/>
        </w:rPr>
        <w:tab/>
      </w:r>
      <w:r>
        <w:t>Conditions Générales</w:t>
      </w:r>
      <w:r w:rsidR="00F57A28">
        <w:t xml:space="preserve"> de</w:t>
      </w:r>
      <w:r>
        <w:t xml:space="preserve"> </w:t>
      </w:r>
      <w:r w:rsidR="00586237">
        <w:t>France 2030</w:t>
      </w:r>
    </w:p>
    <w:p w14:paraId="231A6E9C" w14:textId="77777777" w:rsidR="00E51D1F" w:rsidRPr="00EB3C80" w:rsidRDefault="00E51D1F" w:rsidP="00E51D1F">
      <w:r>
        <w:rPr>
          <w:b/>
        </w:rPr>
        <w:t xml:space="preserve">Annexe 3.b : </w:t>
      </w:r>
      <w:r>
        <w:rPr>
          <w:b/>
        </w:rPr>
        <w:tab/>
      </w:r>
      <w:r>
        <w:t>Descriptif du partenaire (document spécifique à chaque partenaire)</w:t>
      </w:r>
    </w:p>
    <w:p w14:paraId="481222B9" w14:textId="77777777" w:rsidR="00E51D1F" w:rsidRDefault="00E51D1F" w:rsidP="00E51D1F">
      <w:pPr>
        <w:rPr>
          <w:b/>
        </w:rPr>
      </w:pPr>
      <w:r>
        <w:rPr>
          <w:b/>
        </w:rPr>
        <w:t>Annexe 3.c :</w:t>
      </w:r>
      <w:r>
        <w:rPr>
          <w:b/>
        </w:rPr>
        <w:tab/>
      </w:r>
      <w:r>
        <w:t>Déclarations administratives</w:t>
      </w:r>
    </w:p>
    <w:p w14:paraId="7ACAFB0E" w14:textId="77777777" w:rsidR="00E51D1F" w:rsidRDefault="00E51D1F" w:rsidP="00E51D1F">
      <w:pPr>
        <w:rPr>
          <w:b/>
        </w:rPr>
      </w:pPr>
      <w:r>
        <w:rPr>
          <w:b/>
        </w:rPr>
        <w:t>Annexe 5 :</w:t>
      </w:r>
      <w:r>
        <w:rPr>
          <w:b/>
        </w:rPr>
        <w:tab/>
      </w:r>
      <w:r>
        <w:t xml:space="preserve">Grille d’impacts </w:t>
      </w:r>
    </w:p>
    <w:p w14:paraId="580E3ED9" w14:textId="77777777" w:rsidR="00E51D1F" w:rsidRDefault="00E51D1F" w:rsidP="00E51D1F">
      <w:r>
        <w:rPr>
          <w:b/>
        </w:rPr>
        <w:t>Annexe 6 :</w:t>
      </w:r>
      <w:r>
        <w:rPr>
          <w:b/>
        </w:rPr>
        <w:tab/>
      </w:r>
      <w:r>
        <w:t>Éléments financiers (pour les acteurs économiques uniquement)</w:t>
      </w:r>
    </w:p>
    <w:p w14:paraId="358DE0ED" w14:textId="77777777" w:rsidR="00E51D1F" w:rsidRDefault="00E51D1F" w:rsidP="00E51D1F">
      <w:r w:rsidRPr="00253B34">
        <w:rPr>
          <w:b/>
        </w:rPr>
        <w:t>Annexe 8 :</w:t>
      </w:r>
      <w:r>
        <w:tab/>
        <w:t>Attestation de santé financière</w:t>
      </w:r>
    </w:p>
    <w:p w14:paraId="1EFAB2A0" w14:textId="77777777" w:rsidR="00E51D1F" w:rsidRPr="00253B34" w:rsidRDefault="00E51D1F" w:rsidP="00E51D1F">
      <w:pPr>
        <w:rPr>
          <w:b/>
        </w:rPr>
      </w:pPr>
      <w:proofErr w:type="spellStart"/>
      <w:r w:rsidRPr="00253B34">
        <w:rPr>
          <w:b/>
        </w:rPr>
        <w:t>KBis</w:t>
      </w:r>
      <w:proofErr w:type="spellEnd"/>
    </w:p>
    <w:p w14:paraId="12A36564" w14:textId="77777777" w:rsidR="00E51D1F" w:rsidRPr="00253B34" w:rsidRDefault="00E51D1F" w:rsidP="00E51D1F">
      <w:pPr>
        <w:rPr>
          <w:b/>
        </w:rPr>
      </w:pPr>
      <w:r w:rsidRPr="00253B34">
        <w:rPr>
          <w:b/>
        </w:rPr>
        <w:t>RIB</w:t>
      </w:r>
    </w:p>
    <w:p w14:paraId="304322AC" w14:textId="77777777" w:rsidR="00E51D1F" w:rsidRDefault="00E51D1F" w:rsidP="00E51D1F">
      <w:pPr>
        <w:tabs>
          <w:tab w:val="left" w:pos="5475"/>
        </w:tabs>
        <w:spacing w:after="120"/>
      </w:pPr>
    </w:p>
    <w:p w14:paraId="626EEA32" w14:textId="5B58C964" w:rsidR="002332EC" w:rsidRDefault="00E51D1F" w:rsidP="00E51D1F">
      <w:pPr>
        <w:tabs>
          <w:tab w:val="left" w:pos="5475"/>
        </w:tabs>
        <w:spacing w:after="120"/>
        <w:rPr>
          <w:rStyle w:val="Lienhypertexte"/>
        </w:rPr>
      </w:pPr>
      <w:r>
        <w:t xml:space="preserve">Pour information, une FAQ regroupant les principales questions relatives au dépôt d’un dossier est disponible à l’adresse suivante : </w:t>
      </w:r>
      <w:hyperlink r:id="rId40" w:history="1">
        <w:r>
          <w:rPr>
            <w:rStyle w:val="Lienhypertexte"/>
          </w:rPr>
          <w:t>www.ademe.fr/IA_faq</w:t>
        </w:r>
      </w:hyperlink>
    </w:p>
    <w:p w14:paraId="7832D89E" w14:textId="77777777" w:rsidR="003B1BB5" w:rsidRDefault="003B1BB5" w:rsidP="00E51D1F">
      <w:pPr>
        <w:tabs>
          <w:tab w:val="left" w:pos="5475"/>
        </w:tabs>
        <w:spacing w:after="120"/>
      </w:pPr>
    </w:p>
    <w:p w14:paraId="541B6C23" w14:textId="77777777" w:rsidR="002332EC" w:rsidRPr="004F6ADE" w:rsidRDefault="002332EC" w:rsidP="002332EC">
      <w:pPr>
        <w:pStyle w:val="Titre2"/>
        <w:keepLines/>
        <w:spacing w:before="280" w:line="240" w:lineRule="auto"/>
        <w:jc w:val="left"/>
        <w:rPr>
          <w:color w:val="000000"/>
        </w:rPr>
      </w:pPr>
      <w:bookmarkStart w:id="29" w:name="_Toc86396106"/>
      <w:bookmarkStart w:id="30" w:name="_Toc95317892"/>
      <w:r>
        <w:rPr>
          <w:color w:val="000000"/>
        </w:rPr>
        <w:t>C</w:t>
      </w:r>
      <w:r w:rsidRPr="004F6ADE">
        <w:rPr>
          <w:color w:val="000000"/>
        </w:rPr>
        <w:t>ritères de performance environnementale</w:t>
      </w:r>
      <w:bookmarkEnd w:id="29"/>
      <w:bookmarkEnd w:id="30"/>
    </w:p>
    <w:p w14:paraId="3B104ABD" w14:textId="77777777" w:rsidR="002332EC" w:rsidRPr="000078E2" w:rsidRDefault="002332EC" w:rsidP="002332EC">
      <w:r w:rsidRPr="000078E2">
        <w:t xml:space="preserve">Les projets causant un préjudice important du point de vue de l’environnement seront exclus (application du principe DNSH –Do No </w:t>
      </w:r>
      <w:proofErr w:type="spellStart"/>
      <w:r w:rsidRPr="000078E2">
        <w:t>Significant</w:t>
      </w:r>
      <w:proofErr w:type="spellEnd"/>
      <w:r w:rsidRPr="000078E2">
        <w:t xml:space="preserve"> </w:t>
      </w:r>
      <w:proofErr w:type="spellStart"/>
      <w:r w:rsidRPr="000078E2">
        <w:t>Harm</w:t>
      </w:r>
      <w:proofErr w:type="spellEnd"/>
      <w:r w:rsidRPr="000078E2">
        <w:t xml:space="preserve"> ou « absence de préjudice important ») au sens de l’article 17 du règlement européen sur la taxonomie</w:t>
      </w:r>
      <w:r w:rsidRPr="000078E2">
        <w:rPr>
          <w:rStyle w:val="Appelnotedebasdep"/>
        </w:rPr>
        <w:footnoteReference w:id="14"/>
      </w:r>
      <w:r w:rsidRPr="000078E2">
        <w:t xml:space="preserve">. En créant un langage commun et une définition claire de ce qui est « durable », la taxonomie est destinée à limiter les risques d’écoblanchiment (ou "greenwashing") et de distorsion de concurrence, et à faciliter la transformation de l’économie vers une durabilité environnementale accrue. </w:t>
      </w:r>
    </w:p>
    <w:p w14:paraId="7B100E32" w14:textId="77777777" w:rsidR="002332EC" w:rsidRPr="000078E2" w:rsidRDefault="002332EC" w:rsidP="002332EC">
      <w:r w:rsidRPr="000078E2">
        <w:t>Ainsi, la taxonomie définit la durabilité au regard des six objectifs environnementaux suivants:</w:t>
      </w:r>
    </w:p>
    <w:p w14:paraId="31FD96B1" w14:textId="77777777" w:rsidR="002332EC" w:rsidRPr="000078E2" w:rsidRDefault="002332EC" w:rsidP="002332EC">
      <w:pPr>
        <w:pStyle w:val="Paragraphedeliste"/>
        <w:numPr>
          <w:ilvl w:val="0"/>
          <w:numId w:val="46"/>
        </w:numPr>
        <w:spacing w:before="120" w:after="180"/>
      </w:pPr>
      <w:r w:rsidRPr="000078E2">
        <w:t>l’atténuation du changement climatique ;</w:t>
      </w:r>
    </w:p>
    <w:p w14:paraId="688AC7F5" w14:textId="77777777" w:rsidR="002332EC" w:rsidRPr="000078E2" w:rsidRDefault="002332EC" w:rsidP="002332EC">
      <w:pPr>
        <w:pStyle w:val="Paragraphedeliste"/>
        <w:numPr>
          <w:ilvl w:val="0"/>
          <w:numId w:val="46"/>
        </w:numPr>
        <w:spacing w:before="120" w:after="180"/>
      </w:pPr>
      <w:r w:rsidRPr="000078E2">
        <w:lastRenderedPageBreak/>
        <w:t>l’adaptation au changement climatique ;</w:t>
      </w:r>
    </w:p>
    <w:p w14:paraId="2F260308" w14:textId="77777777" w:rsidR="002332EC" w:rsidRPr="000078E2" w:rsidRDefault="002332EC" w:rsidP="002332EC">
      <w:pPr>
        <w:pStyle w:val="Paragraphedeliste"/>
        <w:numPr>
          <w:ilvl w:val="0"/>
          <w:numId w:val="46"/>
        </w:numPr>
        <w:spacing w:before="120" w:after="180"/>
      </w:pPr>
      <w:r w:rsidRPr="000078E2">
        <w:t>l’utilisation durable et la protection des ressources aquatiques et marines ;</w:t>
      </w:r>
    </w:p>
    <w:p w14:paraId="604F1B80" w14:textId="77777777" w:rsidR="002332EC" w:rsidRPr="000078E2" w:rsidRDefault="002332EC" w:rsidP="002332EC">
      <w:pPr>
        <w:pStyle w:val="Paragraphedeliste"/>
        <w:numPr>
          <w:ilvl w:val="0"/>
          <w:numId w:val="46"/>
        </w:numPr>
        <w:spacing w:before="120" w:after="180"/>
      </w:pPr>
      <w:r w:rsidRPr="000078E2">
        <w:t xml:space="preserve">la transition vers une économie circulaire ; </w:t>
      </w:r>
    </w:p>
    <w:p w14:paraId="55DEF649" w14:textId="77777777" w:rsidR="002332EC" w:rsidRPr="000078E2" w:rsidRDefault="002332EC" w:rsidP="002332EC">
      <w:pPr>
        <w:pStyle w:val="Paragraphedeliste"/>
        <w:numPr>
          <w:ilvl w:val="0"/>
          <w:numId w:val="46"/>
        </w:numPr>
        <w:spacing w:before="120" w:after="180"/>
      </w:pPr>
      <w:r w:rsidRPr="000078E2">
        <w:t xml:space="preserve">la prévention et la réduction de la pollution ; </w:t>
      </w:r>
    </w:p>
    <w:p w14:paraId="659B20DD" w14:textId="77777777" w:rsidR="002332EC" w:rsidRPr="000078E2" w:rsidRDefault="002332EC" w:rsidP="002332EC">
      <w:pPr>
        <w:pStyle w:val="Paragraphedeliste"/>
        <w:numPr>
          <w:ilvl w:val="0"/>
          <w:numId w:val="46"/>
        </w:numPr>
        <w:spacing w:before="120" w:after="180"/>
      </w:pPr>
      <w:r w:rsidRPr="000078E2">
        <w:t>la protection et la restauration de la biodiversité et des écosystèmes.</w:t>
      </w:r>
    </w:p>
    <w:p w14:paraId="0B48B008" w14:textId="77777777" w:rsidR="002332EC" w:rsidRPr="000078E2" w:rsidRDefault="002332EC" w:rsidP="002332EC">
      <w:r w:rsidRPr="000078E2">
        <w:t>Pour l’évaluation technique de l’impact du projet vis-à-vis de chaque objectif environnemental, le déposant doit renseigner le document dédié disponible sur le site de l’appel à projet</w:t>
      </w:r>
      <w:r>
        <w:t>s</w:t>
      </w:r>
      <w:r w:rsidRPr="000078E2">
        <w:t xml:space="preserve"> (Annexe 5 « Grille d’impacts ») et le joindre au dossier de candidature. Il s’agira d’autoévaluer les impacts prévisibles de la solution proposée (faisant l’objet de l’aide) par rapport à une solution de référence. Cette analyse tient compte du cycle de vie des process et du ou des produits ou livrables du projet, suivant les usages qui en sont faits. En tant que de besoin, ces estimations pourront être étayées par des analyses en cycle de vie plus complètes.</w:t>
      </w:r>
    </w:p>
    <w:p w14:paraId="36A484D2" w14:textId="77777777" w:rsidR="002332EC" w:rsidRDefault="002332EC"/>
    <w:p w14:paraId="17FFD604" w14:textId="77777777" w:rsidR="00EB0D03" w:rsidRDefault="00EB0D03"/>
    <w:p w14:paraId="2F711319" w14:textId="77777777" w:rsidR="00EB0D03" w:rsidRDefault="00EB0D03" w:rsidP="00E51D1F"/>
    <w:p w14:paraId="1FF68372" w14:textId="77777777" w:rsidR="00EB0D03" w:rsidRDefault="00EB0D03">
      <w:pPr>
        <w:pStyle w:val="Puces3"/>
        <w:keepNext/>
        <w:keepLines/>
        <w:tabs>
          <w:tab w:val="clear" w:pos="1701"/>
        </w:tabs>
        <w:spacing w:before="0" w:after="120"/>
        <w:jc w:val="left"/>
        <w:outlineLvl w:val="1"/>
        <w:rPr>
          <w:rFonts w:ascii="Arial" w:hAnsi="Arial" w:cs="Arial"/>
          <w:sz w:val="22"/>
          <w:szCs w:val="22"/>
        </w:rPr>
      </w:pPr>
      <w:bookmarkStart w:id="31" w:name="_1ksv4uv"/>
      <w:bookmarkEnd w:id="31"/>
    </w:p>
    <w:sectPr w:rsidR="00EB0D03">
      <w:headerReference w:type="even" r:id="rId41"/>
      <w:headerReference w:type="default" r:id="rId42"/>
      <w:footerReference w:type="default" r:id="rId43"/>
      <w:headerReference w:type="first" r:id="rId44"/>
      <w:footerReference w:type="first" r:id="rId45"/>
      <w:pgSz w:w="11906" w:h="16838"/>
      <w:pgMar w:top="1134" w:right="1418" w:bottom="1134" w:left="1418" w:header="567" w:footer="141" w:gutter="0"/>
      <w:cols w:space="720"/>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NON Juliette" w:date="2021-06-30T11:29:00Z" w:initials="DJ">
    <w:p w14:paraId="00000001" w14:textId="00000001">
      <w:pPr>
        <w:spacing w:line="240" w:after="0" w:lineRule="auto" w:before="0"/>
        <w:ind w:firstLine="0" w:left="0" w:right="0"/>
        <w:jc w:val="left"/>
      </w:pPr>
      <w:r>
        <w:rPr>
          <w:rFonts w:eastAsia="Arial" w:ascii="Arial" w:hAnsi="Arial" w:cs="Arial"/>
          <w:sz w:val="22"/>
        </w:rPr>
        <w:t xml:space="preserve">A confirmer SGPI</w:t>
      </w:r>
    </w:p>
  </w:comment>
  <w:comment w:id="1" w:author="DONON Juliette" w:date="2021-07-06T10:52:00Z" w:initials="DJ">
    <w:p w14:paraId="00000002" w14:textId="00000002">
      <w:pPr>
        <w:spacing w:line="240" w:after="0" w:lineRule="auto" w:before="0"/>
        <w:ind w:firstLine="0" w:left="0" w:right="0"/>
        <w:jc w:val="left"/>
      </w:pPr>
      <w:r>
        <w:rPr>
          <w:rFonts w:eastAsia="Arial" w:ascii="Arial" w:hAnsi="Arial" w:cs="Arial"/>
          <w:sz w:val="22"/>
        </w:rPr>
        <w:t xml:space="preserve">Bonus comme autres AAP PIA 4</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487D000" w16cex:dateUtc="1970-01-01T00:00:00Z"/>
  <w16cex:commentExtensible w16cex:durableId="53427CAC" w16cex:dateUtc="1970-01-01T00:00:00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0487D000"/>
  <w16cid:commentId w16cid:paraId="00000002" w16cid:durableId="53427C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D811" w14:textId="77777777" w:rsidR="001142A2" w:rsidRDefault="001142A2">
      <w:pPr>
        <w:spacing w:after="0"/>
      </w:pPr>
      <w:r>
        <w:separator/>
      </w:r>
    </w:p>
  </w:endnote>
  <w:endnote w:type="continuationSeparator" w:id="0">
    <w:p w14:paraId="7A96C55F" w14:textId="77777777" w:rsidR="001142A2" w:rsidRDefault="001142A2">
      <w:pPr>
        <w:spacing w:after="0"/>
      </w:pPr>
      <w:r>
        <w:continuationSeparator/>
      </w:r>
    </w:p>
  </w:endnote>
  <w:endnote w:type="continuationNotice" w:id="1">
    <w:p w14:paraId="09B29810" w14:textId="77777777" w:rsidR="001142A2" w:rsidRDefault="001142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8" w:space="0" w:color="00B0F0"/>
      </w:tblBorders>
      <w:tblLayout w:type="fixed"/>
      <w:tblLook w:val="0400" w:firstRow="0" w:lastRow="0" w:firstColumn="0" w:lastColumn="0" w:noHBand="0" w:noVBand="1"/>
    </w:tblPr>
    <w:tblGrid>
      <w:gridCol w:w="9072"/>
      <w:gridCol w:w="567"/>
    </w:tblGrid>
    <w:tr w:rsidR="001142A2" w14:paraId="4D7C3D4F" w14:textId="77777777" w:rsidTr="00E51D1F">
      <w:trPr>
        <w:trHeight w:val="60"/>
      </w:trPr>
      <w:tc>
        <w:tcPr>
          <w:tcW w:w="9072" w:type="dxa"/>
          <w:tcBorders>
            <w:top w:val="single" w:sz="8" w:space="0" w:color="00B0F0"/>
          </w:tcBorders>
          <w:shd w:val="clear" w:color="auto" w:fill="auto"/>
        </w:tcPr>
        <w:p w14:paraId="29BC7322" w14:textId="629D6384" w:rsidR="001142A2" w:rsidRDefault="001142A2" w:rsidP="002B05D4">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ind w:right="1549"/>
            <w:rPr>
              <w:rFonts w:eastAsia="Times New Roman"/>
              <w:color w:val="000000"/>
              <w:sz w:val="18"/>
              <w:szCs w:val="18"/>
            </w:rPr>
          </w:pPr>
          <w:r>
            <w:rPr>
              <w:rFonts w:eastAsia="Times New Roman"/>
              <w:color w:val="000000"/>
              <w:sz w:val="18"/>
              <w:szCs w:val="18"/>
            </w:rPr>
            <w:t>France 2030 -</w:t>
          </w:r>
          <w:r w:rsidR="009947BD">
            <w:rPr>
              <w:rFonts w:eastAsia="Times New Roman"/>
              <w:color w:val="000000"/>
              <w:sz w:val="18"/>
              <w:szCs w:val="18"/>
            </w:rPr>
            <w:t xml:space="preserve"> </w:t>
          </w:r>
          <w:r>
            <w:rPr>
              <w:rFonts w:eastAsia="Times New Roman"/>
              <w:color w:val="000000"/>
              <w:sz w:val="18"/>
              <w:szCs w:val="18"/>
            </w:rPr>
            <w:t>Stratégie nationale « </w:t>
          </w:r>
          <w:r>
            <w:rPr>
              <w:rFonts w:eastAsia="Times New Roman"/>
              <w:color w:val="000000"/>
              <w:sz w:val="18"/>
              <w:szCs w:val="24"/>
            </w:rPr>
            <w:t>Technologies Avancées des Systèmes Energétiques</w:t>
          </w:r>
          <w:r>
            <w:rPr>
              <w:rFonts w:eastAsia="Times New Roman"/>
              <w:color w:val="000000"/>
              <w:sz w:val="18"/>
              <w:szCs w:val="18"/>
            </w:rPr>
            <w:t>»</w:t>
          </w:r>
        </w:p>
      </w:tc>
      <w:tc>
        <w:tcPr>
          <w:tcW w:w="567" w:type="dxa"/>
          <w:tcBorders>
            <w:top w:val="single" w:sz="8" w:space="0" w:color="00B0F0"/>
          </w:tcBorders>
          <w:shd w:val="clear" w:color="auto" w:fill="auto"/>
        </w:tcPr>
        <w:p w14:paraId="3D99B9DE" w14:textId="5A90B815" w:rsidR="001142A2" w:rsidRDefault="001142A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right"/>
            <w:rPr>
              <w:rFonts w:eastAsia="Times New Roman"/>
              <w:color w:val="000000"/>
              <w:sz w:val="18"/>
              <w:szCs w:val="18"/>
            </w:rPr>
          </w:pPr>
          <w:r>
            <w:rPr>
              <w:rFonts w:eastAsia="Times New Roman"/>
              <w:color w:val="000000"/>
              <w:sz w:val="18"/>
              <w:szCs w:val="18"/>
            </w:rPr>
            <w:fldChar w:fldCharType="begin"/>
          </w:r>
          <w:r>
            <w:rPr>
              <w:rFonts w:eastAsia="Times New Roman"/>
              <w:color w:val="000000"/>
              <w:sz w:val="18"/>
              <w:szCs w:val="18"/>
            </w:rPr>
            <w:instrText>PAGE</w:instrText>
          </w:r>
          <w:r>
            <w:rPr>
              <w:rFonts w:eastAsia="Times New Roman"/>
              <w:color w:val="000000"/>
              <w:sz w:val="18"/>
              <w:szCs w:val="18"/>
            </w:rPr>
            <w:fldChar w:fldCharType="separate"/>
          </w:r>
          <w:r w:rsidR="00377F6C">
            <w:rPr>
              <w:rFonts w:eastAsia="Times New Roman"/>
              <w:noProof/>
              <w:color w:val="000000"/>
              <w:sz w:val="18"/>
              <w:szCs w:val="18"/>
            </w:rPr>
            <w:t>8</w:t>
          </w:r>
          <w:r>
            <w:rPr>
              <w:rFonts w:eastAsia="Times New Roman"/>
              <w:color w:val="000000"/>
              <w:sz w:val="18"/>
              <w:szCs w:val="18"/>
            </w:rPr>
            <w:fldChar w:fldCharType="end"/>
          </w:r>
        </w:p>
      </w:tc>
    </w:tr>
  </w:tbl>
  <w:p w14:paraId="3248DA5D" w14:textId="77777777" w:rsidR="001142A2" w:rsidRDefault="001142A2">
    <w:pPr>
      <w:pStyle w:val="Pieddepage"/>
      <w:tabs>
        <w:tab w:val="clear" w:pos="4536"/>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91BB" w14:textId="77777777" w:rsidR="001142A2" w:rsidRDefault="001142A2">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left"/>
      <w:rPr>
        <w:color w:val="000000"/>
      </w:rPr>
    </w:pPr>
  </w:p>
  <w:tbl>
    <w:tblPr>
      <w:tblW w:w="9606" w:type="dxa"/>
      <w:tblBorders>
        <w:top w:val="single" w:sz="8" w:space="0" w:color="00B0F0"/>
      </w:tblBorders>
      <w:tblLayout w:type="fixed"/>
      <w:tblLook w:val="0400" w:firstRow="0" w:lastRow="0" w:firstColumn="0" w:lastColumn="0" w:noHBand="0" w:noVBand="1"/>
    </w:tblPr>
    <w:tblGrid>
      <w:gridCol w:w="8940"/>
      <w:gridCol w:w="666"/>
    </w:tblGrid>
    <w:tr w:rsidR="001142A2" w14:paraId="685FE3FD" w14:textId="77777777">
      <w:trPr>
        <w:trHeight w:val="443"/>
      </w:trPr>
      <w:tc>
        <w:tcPr>
          <w:tcW w:w="8940" w:type="dxa"/>
          <w:tcBorders>
            <w:top w:val="single" w:sz="8" w:space="0" w:color="00B0F0"/>
          </w:tcBorders>
          <w:shd w:val="clear" w:color="auto" w:fill="auto"/>
        </w:tcPr>
        <w:p w14:paraId="0C46A86D" w14:textId="368137B1" w:rsidR="001142A2" w:rsidRDefault="003B1BB5">
          <w:pPr>
            <w:pBdr>
              <w:top w:val="none" w:sz="4" w:space="0" w:color="000000"/>
              <w:left w:val="none" w:sz="4" w:space="0" w:color="000000"/>
              <w:bottom w:val="none" w:sz="4" w:space="0" w:color="000000"/>
              <w:right w:val="none" w:sz="4" w:space="0" w:color="000000"/>
              <w:between w:val="none" w:sz="4" w:space="0" w:color="000000"/>
            </w:pBdr>
            <w:tabs>
              <w:tab w:val="center" w:pos="4536"/>
              <w:tab w:val="left" w:pos="9354"/>
              <w:tab w:val="right" w:pos="11906"/>
            </w:tabs>
            <w:ind w:right="1549"/>
            <w:rPr>
              <w:rFonts w:eastAsia="Times New Roman"/>
              <w:color w:val="000000"/>
              <w:sz w:val="18"/>
              <w:szCs w:val="18"/>
            </w:rPr>
          </w:pPr>
          <w:r>
            <w:rPr>
              <w:rFonts w:eastAsia="Times New Roman"/>
              <w:color w:val="000000"/>
              <w:sz w:val="18"/>
              <w:szCs w:val="18"/>
            </w:rPr>
            <w:t>France 2030 -</w:t>
          </w:r>
          <w:r w:rsidR="009947BD">
            <w:rPr>
              <w:rFonts w:eastAsia="Times New Roman"/>
              <w:color w:val="000000"/>
              <w:sz w:val="18"/>
              <w:szCs w:val="18"/>
            </w:rPr>
            <w:t xml:space="preserve"> </w:t>
          </w:r>
          <w:r>
            <w:rPr>
              <w:rFonts w:eastAsia="Times New Roman"/>
              <w:color w:val="000000"/>
              <w:sz w:val="18"/>
              <w:szCs w:val="18"/>
            </w:rPr>
            <w:t>Stratégie nationale « </w:t>
          </w:r>
          <w:r>
            <w:rPr>
              <w:rFonts w:eastAsia="Times New Roman"/>
              <w:color w:val="000000"/>
              <w:sz w:val="18"/>
              <w:szCs w:val="24"/>
            </w:rPr>
            <w:t>Technologies Avancées des Systèmes Energétiques</w:t>
          </w:r>
          <w:r>
            <w:rPr>
              <w:rFonts w:eastAsia="Times New Roman"/>
              <w:color w:val="000000"/>
              <w:sz w:val="18"/>
              <w:szCs w:val="18"/>
            </w:rPr>
            <w:t>»</w:t>
          </w:r>
        </w:p>
      </w:tc>
      <w:tc>
        <w:tcPr>
          <w:tcW w:w="666" w:type="dxa"/>
          <w:tcBorders>
            <w:top w:val="single" w:sz="8" w:space="0" w:color="00B0F0"/>
          </w:tcBorders>
          <w:shd w:val="clear" w:color="auto" w:fill="auto"/>
        </w:tcPr>
        <w:p w14:paraId="0DB809E2" w14:textId="1E113B50" w:rsidR="001142A2" w:rsidRDefault="001142A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right"/>
            <w:rPr>
              <w:rFonts w:eastAsia="Times New Roman"/>
              <w:color w:val="000000"/>
              <w:sz w:val="18"/>
              <w:szCs w:val="18"/>
            </w:rPr>
          </w:pPr>
          <w:r>
            <w:rPr>
              <w:rFonts w:eastAsia="Times New Roman"/>
              <w:color w:val="000000"/>
              <w:sz w:val="18"/>
              <w:szCs w:val="18"/>
            </w:rPr>
            <w:fldChar w:fldCharType="begin"/>
          </w:r>
          <w:r>
            <w:rPr>
              <w:rFonts w:eastAsia="Times New Roman"/>
              <w:color w:val="000000"/>
              <w:sz w:val="18"/>
              <w:szCs w:val="18"/>
            </w:rPr>
            <w:instrText>PAGE</w:instrText>
          </w:r>
          <w:r>
            <w:rPr>
              <w:rFonts w:eastAsia="Times New Roman"/>
              <w:color w:val="000000"/>
              <w:sz w:val="18"/>
              <w:szCs w:val="18"/>
            </w:rPr>
            <w:fldChar w:fldCharType="separate"/>
          </w:r>
          <w:r w:rsidR="00377F6C">
            <w:rPr>
              <w:rFonts w:eastAsia="Times New Roman"/>
              <w:noProof/>
              <w:color w:val="000000"/>
              <w:sz w:val="18"/>
              <w:szCs w:val="18"/>
            </w:rPr>
            <w:t>1</w:t>
          </w:r>
          <w:r>
            <w:rPr>
              <w:rFonts w:eastAsia="Times New Roman"/>
              <w:color w:val="000000"/>
              <w:sz w:val="18"/>
              <w:szCs w:val="18"/>
            </w:rPr>
            <w:fldChar w:fldCharType="end"/>
          </w:r>
        </w:p>
      </w:tc>
    </w:tr>
  </w:tbl>
  <w:p w14:paraId="41BA464A" w14:textId="77777777" w:rsidR="001142A2" w:rsidRDefault="001142A2">
    <w:pPr>
      <w:pStyle w:val="Pieddepage"/>
    </w:pPr>
  </w:p>
  <w:p w14:paraId="22275582" w14:textId="77777777" w:rsidR="001142A2" w:rsidRDefault="001142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03E7" w14:textId="77777777" w:rsidR="001142A2" w:rsidRDefault="001142A2">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left"/>
      <w:rPr>
        <w:color w:val="000000"/>
      </w:rPr>
    </w:pPr>
  </w:p>
  <w:tbl>
    <w:tblPr>
      <w:tblW w:w="23955" w:type="dxa"/>
      <w:tblBorders>
        <w:top w:val="single" w:sz="8" w:space="0" w:color="00B0F0"/>
      </w:tblBorders>
      <w:tblLayout w:type="fixed"/>
      <w:tblLook w:val="0400" w:firstRow="0" w:lastRow="0" w:firstColumn="0" w:lastColumn="0" w:noHBand="0" w:noVBand="1"/>
    </w:tblPr>
    <w:tblGrid>
      <w:gridCol w:w="9322"/>
      <w:gridCol w:w="13608"/>
      <w:gridCol w:w="1025"/>
    </w:tblGrid>
    <w:tr w:rsidR="001142A2" w14:paraId="76877DC6" w14:textId="77777777">
      <w:trPr>
        <w:trHeight w:val="323"/>
      </w:trPr>
      <w:tc>
        <w:tcPr>
          <w:tcW w:w="9322" w:type="dxa"/>
          <w:tcBorders>
            <w:top w:val="single" w:sz="8" w:space="0" w:color="00B0F0"/>
          </w:tcBorders>
        </w:tcPr>
        <w:p w14:paraId="5DA66878" w14:textId="38D0E61C" w:rsidR="001142A2" w:rsidRDefault="001142A2">
          <w:pPr>
            <w:pBdr>
              <w:top w:val="none" w:sz="4" w:space="0" w:color="000000"/>
              <w:left w:val="none" w:sz="4" w:space="0" w:color="000000"/>
              <w:bottom w:val="none" w:sz="4" w:space="0" w:color="000000"/>
              <w:right w:val="none" w:sz="4" w:space="0" w:color="000000"/>
              <w:between w:val="none" w:sz="4" w:space="0" w:color="000000"/>
            </w:pBdr>
            <w:tabs>
              <w:tab w:val="center" w:pos="4536"/>
              <w:tab w:val="left" w:pos="9564"/>
              <w:tab w:val="left" w:pos="11764"/>
            </w:tabs>
            <w:spacing w:before="240"/>
            <w:ind w:right="1549"/>
            <w:rPr>
              <w:rFonts w:eastAsia="Times New Roman"/>
              <w:color w:val="000000"/>
              <w:sz w:val="18"/>
              <w:szCs w:val="24"/>
            </w:rPr>
          </w:pPr>
          <w:r>
            <w:rPr>
              <w:rFonts w:eastAsia="Times New Roman"/>
              <w:color w:val="000000"/>
              <w:sz w:val="18"/>
              <w:szCs w:val="18"/>
            </w:rPr>
            <w:t>France 2030 - Stratégie nationale « </w:t>
          </w:r>
          <w:r>
            <w:rPr>
              <w:rFonts w:eastAsia="Times New Roman"/>
              <w:color w:val="000000"/>
              <w:sz w:val="18"/>
              <w:szCs w:val="24"/>
            </w:rPr>
            <w:t>Technologies Avancées des Systèmes Energétiques</w:t>
          </w:r>
          <w:r>
            <w:rPr>
              <w:rFonts w:eastAsia="Times New Roman"/>
              <w:color w:val="000000"/>
              <w:sz w:val="18"/>
              <w:szCs w:val="18"/>
            </w:rPr>
            <w:t>»</w:t>
          </w:r>
        </w:p>
      </w:tc>
      <w:tc>
        <w:tcPr>
          <w:tcW w:w="13608" w:type="dxa"/>
          <w:tcBorders>
            <w:top w:val="single" w:sz="8" w:space="0" w:color="00B0F0"/>
          </w:tcBorders>
          <w:shd w:val="clear" w:color="auto" w:fill="auto"/>
        </w:tcPr>
        <w:p w14:paraId="54029C3C" w14:textId="3C9E1D67" w:rsidR="001142A2" w:rsidRDefault="001142A2" w:rsidP="00B07E04">
          <w:pPr>
            <w:pBdr>
              <w:top w:val="none" w:sz="4" w:space="0" w:color="000000"/>
              <w:left w:val="none" w:sz="4" w:space="0" w:color="000000"/>
              <w:bottom w:val="none" w:sz="4" w:space="0" w:color="000000"/>
              <w:right w:val="none" w:sz="4" w:space="0" w:color="000000"/>
              <w:between w:val="none" w:sz="4" w:space="0" w:color="000000"/>
            </w:pBdr>
            <w:tabs>
              <w:tab w:val="left" w:pos="876"/>
              <w:tab w:val="center" w:pos="4536"/>
              <w:tab w:val="left" w:pos="9564"/>
            </w:tabs>
            <w:spacing w:before="240"/>
            <w:ind w:right="1549"/>
            <w:rPr>
              <w:rFonts w:eastAsia="Times New Roman"/>
              <w:color w:val="000000"/>
              <w:sz w:val="18"/>
              <w:szCs w:val="24"/>
            </w:rPr>
          </w:pPr>
          <w:r>
            <w:rPr>
              <w:rFonts w:eastAsia="Times New Roman"/>
              <w:color w:val="000000"/>
              <w:sz w:val="18"/>
              <w:szCs w:val="24"/>
            </w:rPr>
            <w:fldChar w:fldCharType="begin"/>
          </w:r>
          <w:r>
            <w:rPr>
              <w:rFonts w:eastAsia="Times New Roman"/>
              <w:color w:val="000000"/>
              <w:sz w:val="18"/>
              <w:szCs w:val="24"/>
            </w:rPr>
            <w:instrText>PAGE</w:instrText>
          </w:r>
          <w:r>
            <w:rPr>
              <w:rFonts w:eastAsia="Times New Roman"/>
              <w:color w:val="000000"/>
              <w:sz w:val="18"/>
              <w:szCs w:val="24"/>
            </w:rPr>
            <w:fldChar w:fldCharType="separate"/>
          </w:r>
          <w:r w:rsidR="00377F6C">
            <w:rPr>
              <w:rFonts w:eastAsia="Times New Roman"/>
              <w:noProof/>
              <w:color w:val="000000"/>
              <w:sz w:val="18"/>
              <w:szCs w:val="24"/>
            </w:rPr>
            <w:t>12</w:t>
          </w:r>
          <w:r>
            <w:rPr>
              <w:rFonts w:eastAsia="Times New Roman"/>
              <w:color w:val="000000"/>
              <w:sz w:val="18"/>
              <w:szCs w:val="24"/>
            </w:rPr>
            <w:fldChar w:fldCharType="end"/>
          </w:r>
        </w:p>
      </w:tc>
      <w:tc>
        <w:tcPr>
          <w:tcW w:w="1025" w:type="dxa"/>
          <w:tcBorders>
            <w:top w:val="single" w:sz="8" w:space="0" w:color="00B0F0"/>
          </w:tcBorders>
          <w:shd w:val="clear" w:color="auto" w:fill="auto"/>
        </w:tcPr>
        <w:p w14:paraId="03307F12" w14:textId="1BE0F540" w:rsidR="001142A2" w:rsidRDefault="001142A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before="240"/>
            <w:jc w:val="right"/>
            <w:rPr>
              <w:rFonts w:eastAsia="Times New Roman"/>
              <w:color w:val="000000"/>
              <w:sz w:val="18"/>
              <w:szCs w:val="24"/>
            </w:rPr>
          </w:pPr>
          <w:r>
            <w:rPr>
              <w:rFonts w:eastAsia="Times New Roman"/>
              <w:color w:val="000000"/>
              <w:sz w:val="18"/>
              <w:szCs w:val="24"/>
            </w:rPr>
            <w:fldChar w:fldCharType="begin"/>
          </w:r>
          <w:r>
            <w:rPr>
              <w:rFonts w:eastAsia="Times New Roman"/>
              <w:color w:val="000000"/>
              <w:sz w:val="18"/>
              <w:szCs w:val="24"/>
            </w:rPr>
            <w:instrText>PAGE</w:instrText>
          </w:r>
          <w:r>
            <w:rPr>
              <w:rFonts w:eastAsia="Times New Roman"/>
              <w:color w:val="000000"/>
              <w:sz w:val="18"/>
              <w:szCs w:val="24"/>
            </w:rPr>
            <w:fldChar w:fldCharType="separate"/>
          </w:r>
          <w:r w:rsidR="00377F6C">
            <w:rPr>
              <w:rFonts w:eastAsia="Times New Roman"/>
              <w:noProof/>
              <w:color w:val="000000"/>
              <w:sz w:val="18"/>
              <w:szCs w:val="24"/>
            </w:rPr>
            <w:t>12</w:t>
          </w:r>
          <w:r>
            <w:rPr>
              <w:rFonts w:eastAsia="Times New Roman"/>
              <w:color w:val="000000"/>
              <w:sz w:val="18"/>
              <w:szCs w:val="24"/>
            </w:rPr>
            <w:fldChar w:fldCharType="end"/>
          </w:r>
        </w:p>
      </w:tc>
    </w:tr>
  </w:tbl>
  <w:p w14:paraId="46F10387" w14:textId="77777777" w:rsidR="001142A2" w:rsidRDefault="001142A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rPr>
        <w:rFonts w:ascii="Times New Roman" w:eastAsia="Times New Roman" w:hAnsi="Times New Roman" w:cs="Times New Roman"/>
        <w:color w:val="000000"/>
        <w:sz w:val="24"/>
        <w:szCs w:val="24"/>
      </w:rPr>
    </w:pPr>
  </w:p>
  <w:p w14:paraId="2721207F" w14:textId="77777777" w:rsidR="001142A2" w:rsidRDefault="001142A2"/>
  <w:p w14:paraId="3CE8626E" w14:textId="77777777" w:rsidR="001142A2" w:rsidRDefault="001142A2"/>
  <w:p w14:paraId="3A14FBF0" w14:textId="77777777" w:rsidR="001142A2" w:rsidRDefault="001142A2"/>
  <w:p w14:paraId="52120831" w14:textId="77777777" w:rsidR="001142A2" w:rsidRDefault="001142A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9C4A" w14:textId="77777777" w:rsidR="001142A2" w:rsidRDefault="001142A2">
    <w:pPr>
      <w:pStyle w:val="Pieddepage"/>
    </w:pPr>
    <w:r>
      <w:rPr>
        <w:noProof/>
      </w:rPr>
      <mc:AlternateContent>
        <mc:Choice Requires="wpg">
          <w:drawing>
            <wp:anchor distT="0" distB="0" distL="0" distR="0" simplePos="0" relativeHeight="251659264" behindDoc="0" locked="0" layoutInCell="1" allowOverlap="1" wp14:anchorId="76F5291F" wp14:editId="36378A51">
              <wp:simplePos x="0" y="0"/>
              <wp:positionH relativeFrom="column">
                <wp:posOffset>-485775</wp:posOffset>
              </wp:positionH>
              <wp:positionV relativeFrom="paragraph">
                <wp:posOffset>161925</wp:posOffset>
              </wp:positionV>
              <wp:extent cx="7200265" cy="1117600"/>
              <wp:effectExtent l="0" t="0" r="0" b="0"/>
              <wp:wrapSquare wrapText="bothSides"/>
              <wp:docPr id="11" name="image4.jpg" descr="FONDVERSO"/>
              <wp:cNvGraphicFramePr/>
              <a:graphic xmlns:a="http://schemas.openxmlformats.org/drawingml/2006/main">
                <a:graphicData uri="http://schemas.openxmlformats.org/drawingml/2006/picture">
                  <pic:pic xmlns:pic="http://schemas.openxmlformats.org/drawingml/2006/picture">
                    <pic:nvPicPr>
                      <pic:cNvPr id="10" name="image4.jpg" descr="FONDVERSO"/>
                      <pic:cNvPicPr/>
                    </pic:nvPicPr>
                    <pic:blipFill>
                      <a:blip r:embed="rId1"/>
                      <a:srcRect t="49273"/>
                      <a:stretch/>
                    </pic:blipFill>
                    <pic:spPr bwMode="auto">
                      <a:xfrm>
                        <a:off x="0" y="0"/>
                        <a:ext cx="7200265" cy="1117600"/>
                      </a:xfrm>
                      <a:prstGeom prst="rect">
                        <a:avLst/>
                      </a:prstGeom>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0.0pt;mso-wrap-distance-top:0.0pt;mso-wrap-distance-right:0.0pt;mso-wrap-distance-bottom:0.0pt;z-index:251659264;o:allowoverlap:true;o:allowincell:true;mso-position-horizontal-relative:text;margin-left:-38.2pt;mso-position-horizontal:absolute;mso-position-vertical-relative:text;margin-top:12.8pt;mso-position-vertical:absolute;width:566.9pt;height:88.0pt;">
              <v:path textboxrect="0,0,0,0"/>
              <v:imagedata r:id="rId2" o:title=""/>
            </v:shape>
          </w:pict>
        </mc:Fallback>
      </mc:AlternateContent>
    </w:r>
    <w:r>
      <w:rPr>
        <w:noProof/>
      </w:rPr>
      <mc:AlternateContent>
        <mc:Choice Requires="wpg">
          <w:drawing>
            <wp:anchor distT="0" distB="0" distL="0" distR="0" simplePos="0" relativeHeight="251661312" behindDoc="0" locked="0" layoutInCell="1" allowOverlap="1" wp14:anchorId="0BC2093D" wp14:editId="2DE92B66">
              <wp:simplePos x="0" y="0"/>
              <wp:positionH relativeFrom="column">
                <wp:posOffset>152400</wp:posOffset>
              </wp:positionH>
              <wp:positionV relativeFrom="paragraph">
                <wp:posOffset>314325</wp:posOffset>
              </wp:positionV>
              <wp:extent cx="7200265" cy="1117600"/>
              <wp:effectExtent l="0" t="0" r="0" b="0"/>
              <wp:wrapSquare wrapText="bothSides"/>
              <wp:docPr id="12" name="image4.jpg" descr="FONDVERSO"/>
              <wp:cNvGraphicFramePr/>
              <a:graphic xmlns:a="http://schemas.openxmlformats.org/drawingml/2006/main">
                <a:graphicData uri="http://schemas.openxmlformats.org/drawingml/2006/picture">
                  <pic:pic xmlns:pic="http://schemas.openxmlformats.org/drawingml/2006/picture">
                    <pic:nvPicPr>
                      <pic:cNvPr id="11" name="image4.jpg" descr="FONDVERSO"/>
                      <pic:cNvPicPr/>
                    </pic:nvPicPr>
                    <pic:blipFill>
                      <a:blip r:embed="rId1"/>
                      <a:srcRect t="49273"/>
                      <a:stretch/>
                    </pic:blipFill>
                    <pic:spPr bwMode="auto">
                      <a:xfrm>
                        <a:off x="0" y="0"/>
                        <a:ext cx="7200265" cy="1117600"/>
                      </a:xfrm>
                      <a:prstGeom prst="rect">
                        <a:avLst/>
                      </a:prstGeom>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0.0pt;mso-wrap-distance-top:0.0pt;mso-wrap-distance-right:0.0pt;mso-wrap-distance-bottom:0.0pt;z-index:251661312;o:allowoverlap:true;o:allowincell:true;mso-position-horizontal-relative:text;margin-left:12.0pt;mso-position-horizontal:absolute;mso-position-vertical-relative:text;margin-top:24.8pt;mso-position-vertical:absolute;width:566.9pt;height:88.0pt;">
              <v:path textboxrect="0,0,0,0"/>
              <v:imagedata r:id="rId2"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BE4A" w14:textId="77777777" w:rsidR="001142A2" w:rsidRDefault="001142A2">
      <w:pPr>
        <w:spacing w:after="0"/>
      </w:pPr>
      <w:r>
        <w:separator/>
      </w:r>
    </w:p>
  </w:footnote>
  <w:footnote w:type="continuationSeparator" w:id="0">
    <w:p w14:paraId="02C278FA" w14:textId="77777777" w:rsidR="001142A2" w:rsidRDefault="001142A2">
      <w:pPr>
        <w:spacing w:after="0"/>
      </w:pPr>
      <w:r>
        <w:continuationSeparator/>
      </w:r>
    </w:p>
  </w:footnote>
  <w:footnote w:type="continuationNotice" w:id="1">
    <w:p w14:paraId="328B1E28" w14:textId="77777777" w:rsidR="001142A2" w:rsidRDefault="001142A2">
      <w:pPr>
        <w:spacing w:after="0"/>
      </w:pPr>
    </w:p>
  </w:footnote>
  <w:footnote w:id="2">
    <w:p w14:paraId="6532B168" w14:textId="77777777" w:rsidR="001142A2" w:rsidRDefault="001142A2">
      <w:pPr>
        <w:pStyle w:val="Notedebasdepage"/>
      </w:pPr>
      <w:r>
        <w:rPr>
          <w:rStyle w:val="Appelnotedebasdep"/>
        </w:rPr>
        <w:footnoteRef/>
      </w:r>
      <w:r>
        <w:t xml:space="preserve"> sous réserve de publication de l’arrêté du Premier ministre approuvant le cahier des charges de cet appel à projets</w:t>
      </w:r>
    </w:p>
  </w:footnote>
  <w:footnote w:id="3">
    <w:p w14:paraId="64CCDC50" w14:textId="77777777" w:rsidR="001142A2" w:rsidRDefault="001142A2">
      <w:pPr>
        <w:pStyle w:val="Notedebasdepage"/>
      </w:pPr>
      <w:r>
        <w:rPr>
          <w:rStyle w:val="Appelnotedebasdep"/>
        </w:rPr>
        <w:footnoteRef/>
      </w:r>
      <w:r>
        <w:t xml:space="preserve"> Etant donné le caractère ambitieux attendu de ces projets, il est recommandé que les coordinateurs de projet prennent contact</w:t>
      </w:r>
      <w:r w:rsidRPr="00BF42E8">
        <w:t xml:space="preserve"> </w:t>
      </w:r>
      <w:r>
        <w:t>auprès de l’ADEME, en amont et bien avant la réunion de pré-dépôt, pour permettre une meilleure préparation au dépôt de ces dossiers : périmètre du projet, marché visé, acteurs du consortium, etc.</w:t>
      </w:r>
    </w:p>
  </w:footnote>
  <w:footnote w:id="4">
    <w:p w14:paraId="222CDABB" w14:textId="1147C0B2" w:rsidR="001142A2" w:rsidRDefault="001142A2">
      <w:pPr>
        <w:pStyle w:val="Notedebasdepage"/>
      </w:pPr>
      <w:r>
        <w:rPr>
          <w:rStyle w:val="Appelnotedebasdep"/>
        </w:rPr>
        <w:footnoteRef/>
      </w:r>
      <w:r>
        <w:t xml:space="preserve"> </w:t>
      </w:r>
      <w:r w:rsidRPr="00BF42E8">
        <w:rPr>
          <w:color w:val="000000"/>
          <w:sz w:val="18"/>
        </w:rPr>
        <w:t xml:space="preserve">Pour les projets </w:t>
      </w:r>
      <w:r>
        <w:rPr>
          <w:color w:val="000000"/>
          <w:sz w:val="18"/>
        </w:rPr>
        <w:t>intégrés et structurants</w:t>
      </w:r>
      <w:r w:rsidRPr="00BF42E8">
        <w:rPr>
          <w:color w:val="000000"/>
          <w:sz w:val="18"/>
        </w:rPr>
        <w:t xml:space="preserve"> liés au photovoltaïque, la possibilité d</w:t>
      </w:r>
      <w:r>
        <w:rPr>
          <w:color w:val="000000"/>
          <w:sz w:val="18"/>
        </w:rPr>
        <w:t>e présenter</w:t>
      </w:r>
      <w:r w:rsidRPr="00BF42E8">
        <w:rPr>
          <w:color w:val="000000"/>
          <w:sz w:val="18"/>
        </w:rPr>
        <w:t xml:space="preserve"> </w:t>
      </w:r>
      <w:r>
        <w:rPr>
          <w:color w:val="000000"/>
          <w:sz w:val="18"/>
        </w:rPr>
        <w:t xml:space="preserve">un consortium comportant </w:t>
      </w:r>
      <w:r w:rsidRPr="00BF42E8">
        <w:rPr>
          <w:color w:val="000000"/>
          <w:sz w:val="18"/>
        </w:rPr>
        <w:t>plus de 5 partenaires pourra être étudiée lors des réunions amont ou de pré-dépôt</w:t>
      </w:r>
      <w:r>
        <w:t>.</w:t>
      </w:r>
    </w:p>
  </w:footnote>
  <w:footnote w:id="5">
    <w:p w14:paraId="2DD00077" w14:textId="569510EC" w:rsidR="001142A2" w:rsidRDefault="001142A2">
      <w:pPr>
        <w:pStyle w:val="Notedebasdepage"/>
      </w:pPr>
      <w:r>
        <w:rPr>
          <w:rStyle w:val="Appelnotedebasdep"/>
        </w:rPr>
        <w:footnoteRef/>
      </w:r>
      <w:r>
        <w:t xml:space="preserve"> </w:t>
      </w:r>
      <w:r>
        <w:rPr>
          <w:sz w:val="18"/>
        </w:rPr>
        <w:t>En accord avec le RGEC, une</w:t>
      </w:r>
      <w:r>
        <w:rPr>
          <w:color w:val="000000"/>
          <w:sz w:val="18"/>
        </w:rPr>
        <w:t xml:space="preserve"> demande d'aide doit a minima contenir les informations suivantes : a) le nom et la taille de la société porteur de projet; b) une description du projet, y compris ses dates de début et de fin ; c) la localisation du projet ; d) une liste des coûts admissibles ; e) le type d’aide sollicitée (subvention, avance remboursable) ; f) le montant de l’aide sollicitée.</w:t>
      </w:r>
    </w:p>
  </w:footnote>
  <w:footnote w:id="6">
    <w:p w14:paraId="1FAEA87A" w14:textId="77777777" w:rsidR="001142A2" w:rsidRDefault="001142A2">
      <w:pPr>
        <w:pStyle w:val="Notedebasdepage"/>
      </w:pPr>
      <w:r>
        <w:rPr>
          <w:rStyle w:val="Appelnotedebasdep"/>
        </w:rPr>
        <w:footnoteRef/>
      </w:r>
      <w:r>
        <w:t xml:space="preserve"> </w:t>
      </w:r>
      <w:r>
        <w:rPr>
          <w:sz w:val="18"/>
          <w:szCs w:val="18"/>
        </w:rPr>
        <w:t>L’intervention publique s’effectue dans le respect de la réglementation de l’Union européenne applicable en matière d'aides d'État (articles 107 à 109 du Traité sur le Fonctionnement de l’Union européenne). En plus du régime d’aides de l’ADEME exempté de notification n° SA. 59357 majoritairement utilisé, d’autres régimes pourront être utilisés au cas par cas.</w:t>
      </w:r>
    </w:p>
  </w:footnote>
  <w:footnote w:id="7">
    <w:p w14:paraId="0A822298" w14:textId="77777777" w:rsidR="001142A2" w:rsidRDefault="001142A2">
      <w:pPr>
        <w:pStyle w:val="Notedebasdepage"/>
      </w:pPr>
      <w:r>
        <w:rPr>
          <w:rStyle w:val="Appelnotedebasdep"/>
        </w:rPr>
        <w:footnoteRef/>
      </w:r>
      <w:r>
        <w:t xml:space="preserve"> </w:t>
      </w:r>
      <w:r>
        <w:rPr>
          <w:sz w:val="18"/>
          <w:szCs w:val="18"/>
        </w:rPr>
        <w:t>Recherche Développement Innovation</w:t>
      </w:r>
    </w:p>
  </w:footnote>
  <w:footnote w:id="8">
    <w:p w14:paraId="3D75E5A1" w14:textId="77777777" w:rsidR="001142A2" w:rsidRDefault="001142A2">
      <w:pPr>
        <w:pStyle w:val="Notedebasdepage"/>
      </w:pPr>
      <w:r>
        <w:rPr>
          <w:rStyle w:val="Appelnotedebasdep"/>
        </w:rPr>
        <w:footnoteRef/>
      </w:r>
      <w:r>
        <w:t xml:space="preserve"> </w:t>
      </w:r>
      <w:r>
        <w:rPr>
          <w:sz w:val="18"/>
          <w:szCs w:val="18"/>
        </w:rPr>
        <w:t>Protection de l’Environnement</w:t>
      </w:r>
    </w:p>
  </w:footnote>
  <w:footnote w:id="9">
    <w:p w14:paraId="6EF7251B" w14:textId="77777777" w:rsidR="001142A2" w:rsidRDefault="001142A2">
      <w:pPr>
        <w:pStyle w:val="Notedebasdepage"/>
      </w:pPr>
      <w:r>
        <w:rPr>
          <w:rStyle w:val="Appelnotedebasdep"/>
        </w:rPr>
        <w:footnoteRef/>
      </w:r>
      <w:r>
        <w:t xml:space="preserve"> </w:t>
      </w:r>
      <w:r>
        <w:rPr>
          <w:color w:val="000000"/>
          <w:sz w:val="18"/>
          <w:szCs w:val="18"/>
        </w:rPr>
        <w:t>La solution de référence, telle que retenue dans le cadre de l’instruction, s’entend comme un investissement comparable sur le plan technique qui pourrait être vraisemblablement réalisé sans aide et qui ne permet pas d’atteindre le même niveau de protection de l'environnement.</w:t>
      </w:r>
    </w:p>
  </w:footnote>
  <w:footnote w:id="10">
    <w:p w14:paraId="1A5771ED" w14:textId="7825E0A6" w:rsidR="001142A2" w:rsidRDefault="001142A2" w:rsidP="00954F2B">
      <w:pPr>
        <w:pStyle w:val="Notedebasdepage"/>
        <w:rPr>
          <w:rStyle w:val="Lienhypertexte"/>
          <w:sz w:val="18"/>
          <w:szCs w:val="18"/>
        </w:rPr>
      </w:pPr>
      <w:r w:rsidRPr="00262D72">
        <w:rPr>
          <w:rStyle w:val="Appelnotedebasdep"/>
          <w:sz w:val="18"/>
          <w:szCs w:val="18"/>
        </w:rPr>
        <w:footnoteRef/>
      </w:r>
      <w:r w:rsidRPr="00262D72">
        <w:rPr>
          <w:sz w:val="18"/>
          <w:szCs w:val="18"/>
        </w:rPr>
        <w:t xml:space="preserve"> au sens européen : </w:t>
      </w:r>
      <w:hyperlink r:id="rId1" w:history="1">
        <w:r w:rsidRPr="00262D72">
          <w:rPr>
            <w:rStyle w:val="Lienhypertexte"/>
            <w:sz w:val="18"/>
            <w:szCs w:val="18"/>
          </w:rPr>
          <w:t>https://op.europa.eu/fr/publication-detail/-/publication/79c0ce87-f4dc-11e6-8a35-01aa75ed71a1</w:t>
        </w:r>
      </w:hyperlink>
      <w:r w:rsidRPr="00262D72">
        <w:rPr>
          <w:sz w:val="18"/>
          <w:szCs w:val="18"/>
        </w:rPr>
        <w:t xml:space="preserve"> ; </w:t>
      </w:r>
      <w:hyperlink r:id="rId2" w:history="1">
        <w:r w:rsidRPr="00262D72">
          <w:rPr>
            <w:rStyle w:val="Lienhypertexte"/>
            <w:sz w:val="18"/>
            <w:szCs w:val="18"/>
          </w:rPr>
          <w:t>https://www.legifrance.gouv.fr/affichTexte.do?cidTexte=JORFTEXT000019961059</w:t>
        </w:r>
      </w:hyperlink>
    </w:p>
    <w:p w14:paraId="60284081" w14:textId="77777777" w:rsidR="00C75BC4" w:rsidRPr="00262D72" w:rsidRDefault="00C75BC4" w:rsidP="00954F2B">
      <w:pPr>
        <w:pStyle w:val="Notedebasdepage"/>
        <w:rPr>
          <w:sz w:val="18"/>
          <w:szCs w:val="18"/>
        </w:rPr>
      </w:pPr>
    </w:p>
  </w:footnote>
  <w:footnote w:id="11">
    <w:p w14:paraId="6A2701C6" w14:textId="77777777" w:rsidR="00C75BC4" w:rsidRDefault="00C75BC4" w:rsidP="00C75BC4">
      <w:pPr>
        <w:rPr>
          <w:sz w:val="18"/>
          <w:szCs w:val="18"/>
        </w:rPr>
      </w:pPr>
      <w:r>
        <w:rPr>
          <w:vertAlign w:val="superscript"/>
        </w:rPr>
        <w:footnoteRef/>
      </w:r>
      <w:r>
        <w:rPr>
          <w:sz w:val="18"/>
          <w:szCs w:val="18"/>
        </w:rPr>
        <w:t xml:space="preserve"> Une des conditions suivantes est remplie : </w:t>
      </w:r>
    </w:p>
    <w:p w14:paraId="757BF905" w14:textId="77777777" w:rsidR="00C75BC4" w:rsidRDefault="00C75BC4" w:rsidP="00C75BC4">
      <w:pPr>
        <w:numPr>
          <w:ilvl w:val="0"/>
          <w:numId w:val="35"/>
        </w:numPr>
        <w:pBdr>
          <w:top w:val="nil"/>
          <w:left w:val="nil"/>
          <w:bottom w:val="nil"/>
          <w:right w:val="nil"/>
          <w:between w:val="nil"/>
        </w:pBdr>
        <w:spacing w:after="0"/>
        <w:ind w:left="709"/>
      </w:pPr>
      <w:r>
        <w:rPr>
          <w:color w:val="000000"/>
          <w:sz w:val="18"/>
          <w:szCs w:val="18"/>
        </w:rPr>
        <w:t>Le projet repose sur une collaboration effective (pas de sous-traitance) entre des entreprises parmi lesquelles figure au moins une PME et aucune entreprise ne supporte seule plus de 70 % des coûts admissibles du projet ;</w:t>
      </w:r>
    </w:p>
    <w:p w14:paraId="672E108A" w14:textId="300D2AD4" w:rsidR="001142A2" w:rsidRDefault="00C75BC4" w:rsidP="00C75BC4">
      <w:pPr>
        <w:pBdr>
          <w:top w:val="nil"/>
          <w:left w:val="nil"/>
          <w:bottom w:val="nil"/>
          <w:right w:val="nil"/>
          <w:between w:val="nil"/>
        </w:pBdr>
        <w:spacing w:after="0"/>
      </w:pPr>
      <w:r>
        <w:rPr>
          <w:color w:val="000000"/>
          <w:sz w:val="18"/>
          <w:szCs w:val="18"/>
        </w:rPr>
        <w:t>Le projet repose sur une collaboration effective entre une entreprise et un ou plusieurs organismes de recherche et ces derniers supportent au moins 10% des coûts admissibles du projet et ont le droit de publier les résultats de leurs propres recherches.</w:t>
      </w:r>
    </w:p>
  </w:footnote>
  <w:footnote w:id="12">
    <w:p w14:paraId="6D3D60BC" w14:textId="77777777" w:rsidR="001142A2" w:rsidRDefault="001142A2">
      <w:pPr>
        <w:rPr>
          <w:sz w:val="18"/>
          <w:szCs w:val="18"/>
        </w:rPr>
      </w:pPr>
      <w:r>
        <w:rPr>
          <w:vertAlign w:val="superscript"/>
        </w:rPr>
        <w:footnoteRef/>
      </w:r>
      <w:r>
        <w:rPr>
          <w:sz w:val="18"/>
          <w:szCs w:val="18"/>
        </w:rPr>
        <w:t xml:space="preserve"> Entre autres : </w:t>
      </w:r>
    </w:p>
    <w:p w14:paraId="66B50DFF" w14:textId="77777777" w:rsidR="001142A2" w:rsidRDefault="001142A2">
      <w:pPr>
        <w:rPr>
          <w:sz w:val="18"/>
          <w:szCs w:val="18"/>
        </w:rPr>
      </w:pPr>
      <w:r>
        <w:rPr>
          <w:sz w:val="18"/>
          <w:szCs w:val="18"/>
        </w:rPr>
        <w:t>- Activités relevant de prérogatives de puissance publiques, lorsque les entités publiques agissent « dans leur qualité d’autorités publiques. Il en est ainsi par exemple des activités liées à l’armée, la police, la justice, les activités de surveillance antipollution, le contrôle des voies navigables, etc.,</w:t>
      </w:r>
    </w:p>
    <w:p w14:paraId="4AE6D9A9" w14:textId="77777777" w:rsidR="001142A2" w:rsidRDefault="001142A2">
      <w:pPr>
        <w:rPr>
          <w:sz w:val="18"/>
          <w:szCs w:val="18"/>
        </w:rPr>
      </w:pPr>
      <w:r>
        <w:rPr>
          <w:sz w:val="18"/>
          <w:szCs w:val="18"/>
        </w:rPr>
        <w:t>- Activités de R&amp;D amont des organismes de recherche en vue de connaissances plus étendues, sans garantie de résultats, et d’une diffusion large et le plus souvent gratuite des résultats de recherche.</w:t>
      </w:r>
    </w:p>
  </w:footnote>
  <w:footnote w:id="13">
    <w:p w14:paraId="15390310" w14:textId="77777777" w:rsidR="001142A2" w:rsidRDefault="001142A2">
      <w:pPr>
        <w:rPr>
          <w:sz w:val="18"/>
          <w:szCs w:val="18"/>
        </w:rPr>
      </w:pPr>
      <w:r>
        <w:rPr>
          <w:vertAlign w:val="superscript"/>
        </w:rPr>
        <w:footnoteRef/>
      </w:r>
      <w:r>
        <w:rPr>
          <w:sz w:val="18"/>
          <w:szCs w:val="18"/>
        </w:rPr>
        <w:t xml:space="preserve"> Le responsable légal de l’organisme devra préalablement attester sur l’honneur qu’il possède une comptabilité analytique lui permettant de justifier des coûts présentés dans l’assiette de dépenses. La prise en charge des coûts complets pour cet organisme sera définitive pour l’ensemble des appels à projets des dispositifs de soutien public. En fonction du caractère concurrentiel et du potentiel commercial avéré des activités réalisées dans le cadre du projet, les établissements de recherche pourront se voir appliquer à l’issue de l’instruction les taux et les modalités d’aide ci-dessus : </w:t>
      </w:r>
      <w:r w:rsidRPr="005B1C95">
        <w:rPr>
          <w:sz w:val="18"/>
          <w:szCs w:val="18"/>
          <w:u w:val="single"/>
        </w:rPr>
        <w:t>Aides proposées pour les activités économiques</w:t>
      </w:r>
    </w:p>
  </w:footnote>
  <w:footnote w:id="14">
    <w:p w14:paraId="53C1911F" w14:textId="77777777" w:rsidR="001142A2" w:rsidRDefault="001142A2" w:rsidP="002332EC">
      <w:pPr>
        <w:pStyle w:val="Notedebasdepage"/>
      </w:pPr>
      <w:r w:rsidRPr="00AF5229">
        <w:rPr>
          <w:rStyle w:val="Appelnotedebasdep"/>
          <w:sz w:val="18"/>
        </w:rPr>
        <w:footnoteRef/>
      </w:r>
      <w:r w:rsidRPr="00AF5229">
        <w:rPr>
          <w:sz w:val="18"/>
        </w:rPr>
        <w:t xml:space="preserve"> </w:t>
      </w:r>
      <w:r w:rsidRPr="00AF5229">
        <w:rPr>
          <w:sz w:val="18"/>
          <w:szCs w:val="23"/>
        </w:rPr>
        <w:t>Règlement (UE) 2020/852 sur l’établissement d’un cadre visant à favoriser les investissements durables, en mettant en place un système de classification (ou «taxonomie») pour les activités économiques durables sur le plan environnemental, publié au journal officiel de l’UE le 22 juin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DCD4" w14:textId="77777777" w:rsidR="001142A2" w:rsidRDefault="001142A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A827" w14:textId="77777777" w:rsidR="001142A2" w:rsidRDefault="001142A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C906" w14:textId="77777777" w:rsidR="001142A2" w:rsidRDefault="001142A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rPr>
        <w:color w:val="000000"/>
      </w:rPr>
    </w:pPr>
    <w:r>
      <w:rPr>
        <w:color w:val="000000"/>
      </w:rPr>
      <w:tab/>
    </w:r>
  </w:p>
  <w:p w14:paraId="2492BD87" w14:textId="77777777" w:rsidR="001142A2" w:rsidRDefault="001142A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A095" w14:textId="77777777" w:rsidR="001142A2" w:rsidRDefault="001142A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rPr>
        <w:color w:val="000000"/>
      </w:rPr>
    </w:pPr>
  </w:p>
  <w:p w14:paraId="6BC31445" w14:textId="77777777" w:rsidR="001142A2" w:rsidRDefault="001142A2"/>
  <w:p w14:paraId="35ED9859" w14:textId="77777777" w:rsidR="001142A2" w:rsidRDefault="001142A2"/>
  <w:p w14:paraId="76FA5CC7" w14:textId="77777777" w:rsidR="001142A2" w:rsidRDefault="001142A2"/>
  <w:p w14:paraId="7DC6454F" w14:textId="77777777" w:rsidR="001142A2" w:rsidRDefault="001142A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C575" w14:textId="77777777" w:rsidR="001142A2" w:rsidRDefault="001142A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rPr>
        <w:color w:val="000000"/>
      </w:rPr>
    </w:pPr>
  </w:p>
  <w:p w14:paraId="2B3CE230" w14:textId="77777777" w:rsidR="001142A2" w:rsidRDefault="001142A2"/>
  <w:p w14:paraId="59BE0641" w14:textId="77777777" w:rsidR="001142A2" w:rsidRDefault="001142A2"/>
  <w:p w14:paraId="6A02DC01" w14:textId="77777777" w:rsidR="001142A2" w:rsidRDefault="001142A2"/>
  <w:p w14:paraId="0ABEFDE4" w14:textId="77777777" w:rsidR="001142A2" w:rsidRDefault="001142A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D374" w14:textId="77777777" w:rsidR="001142A2" w:rsidRDefault="001142A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rPr>
        <w:color w:val="000000"/>
      </w:rPr>
    </w:pPr>
    <w:r>
      <w:rPr>
        <w:noProof/>
        <w:color w:val="000000"/>
      </w:rPr>
      <mc:AlternateContent>
        <mc:Choice Requires="wpg">
          <w:drawing>
            <wp:inline distT="0" distB="0" distL="0" distR="0" wp14:anchorId="765F88C9" wp14:editId="4A0F8FEA">
              <wp:extent cx="1073785" cy="121221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a:stretch/>
                    </pic:blipFill>
                    <pic:spPr bwMode="auto">
                      <a:xfrm>
                        <a:off x="0" y="0"/>
                        <a:ext cx="1073785" cy="1212215"/>
                      </a:xfrm>
                      <a:prstGeom prst="rect">
                        <a:avLst/>
                      </a:prstGeom>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84.5pt;height:95.4pt;">
              <v:path textboxrect="0,0,0,0"/>
              <v:imagedata r:id="rId2" o:title=""/>
            </v:shape>
          </w:pict>
        </mc:Fallback>
      </mc:AlternateContent>
    </w:r>
    <w:r>
      <w:rPr>
        <w:color w:val="000000"/>
      </w:rPr>
      <w:tab/>
    </w:r>
    <w:r>
      <w:rPr>
        <w:color w:val="000000"/>
      </w:rPr>
      <w:tab/>
    </w:r>
    <w:r>
      <w:rPr>
        <w:noProof/>
        <w:color w:val="000000"/>
      </w:rPr>
      <mc:AlternateContent>
        <mc:Choice Requires="wpg">
          <w:drawing>
            <wp:inline distT="0" distB="0" distL="0" distR="0" wp14:anchorId="5210D874" wp14:editId="6B4CA8D0">
              <wp:extent cx="1869440" cy="1089013"/>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9" name="image3.jpg"/>
                      <pic:cNvPicPr/>
                    </pic:nvPicPr>
                    <pic:blipFill>
                      <a:blip r:embed="rId3"/>
                      <a:srcRect t="-41126" b="-41126"/>
                      <a:stretch/>
                    </pic:blipFill>
                    <pic:spPr bwMode="auto">
                      <a:xfrm>
                        <a:off x="0" y="0"/>
                        <a:ext cx="1869440" cy="1089013"/>
                      </a:xfrm>
                      <a:prstGeom prst="rect">
                        <a:avLst/>
                      </a:prstGeom>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47.2pt;height:85.7pt;">
              <v:path textboxrect="0,0,0,0"/>
              <v:imagedata r:id="rId4" o:title=""/>
            </v:shape>
          </w:pict>
        </mc:Fallback>
      </mc:AlternateContent>
    </w:r>
  </w:p>
  <w:p w14:paraId="41CFD9D7" w14:textId="77777777" w:rsidR="001142A2" w:rsidRDefault="001142A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7B"/>
    <w:multiLevelType w:val="multilevel"/>
    <w:tmpl w:val="11AA0A90"/>
    <w:lvl w:ilvl="0">
      <w:start w:val="1"/>
      <w:numFmt w:val="upperRoman"/>
      <w:lvlText w:val="%1-"/>
      <w:lvlJc w:val="left"/>
      <w:pPr>
        <w:ind w:left="720" w:hanging="360"/>
      </w:pPr>
      <w:rPr>
        <w:rFonts w:ascii="Arial" w:hAnsi="Arial" w:hint="default"/>
        <w:b/>
        <w:i w:val="0"/>
        <w:sz w:val="24"/>
      </w:rPr>
    </w:lvl>
    <w:lvl w:ilvl="1">
      <w:start w:val="1"/>
      <w:numFmt w:val="lowerLetter"/>
      <w:lvlText w:val="%2."/>
      <w:lvlJc w:val="left"/>
      <w:pPr>
        <w:ind w:left="1440" w:hanging="360"/>
      </w:pPr>
    </w:lvl>
    <w:lvl w:ilvl="2">
      <w:start w:val="2"/>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27293"/>
    <w:multiLevelType w:val="hybridMultilevel"/>
    <w:tmpl w:val="A9E06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94FEE"/>
    <w:multiLevelType w:val="multilevel"/>
    <w:tmpl w:val="239A5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716AB6"/>
    <w:multiLevelType w:val="hybridMultilevel"/>
    <w:tmpl w:val="186C3E6E"/>
    <w:lvl w:ilvl="0" w:tplc="5B64A178">
      <w:start w:val="1"/>
      <w:numFmt w:val="bullet"/>
      <w:lvlText w:val="-"/>
      <w:lvlJc w:val="left"/>
      <w:pPr>
        <w:ind w:left="360" w:hanging="360"/>
      </w:pPr>
      <w:rPr>
        <w:rFonts w:ascii="Arial" w:eastAsia="Arial" w:hAnsi="Arial" w:cs="Arial"/>
      </w:rPr>
    </w:lvl>
    <w:lvl w:ilvl="1" w:tplc="F1EE0262">
      <w:start w:val="1"/>
      <w:numFmt w:val="bullet"/>
      <w:lvlText w:val="o"/>
      <w:lvlJc w:val="left"/>
      <w:pPr>
        <w:ind w:left="1080" w:hanging="360"/>
      </w:pPr>
      <w:rPr>
        <w:rFonts w:ascii="Courier New" w:eastAsia="Courier New" w:hAnsi="Courier New" w:cs="Courier New"/>
      </w:rPr>
    </w:lvl>
    <w:lvl w:ilvl="2" w:tplc="C4162DC2">
      <w:start w:val="1"/>
      <w:numFmt w:val="bullet"/>
      <w:lvlText w:val="▪"/>
      <w:lvlJc w:val="left"/>
      <w:pPr>
        <w:ind w:left="1800" w:hanging="360"/>
      </w:pPr>
      <w:rPr>
        <w:rFonts w:ascii="noto sans symbols" w:eastAsia="noto sans symbols" w:hAnsi="noto sans symbols" w:cs="noto sans symbols"/>
      </w:rPr>
    </w:lvl>
    <w:lvl w:ilvl="3" w:tplc="D818CBFE">
      <w:start w:val="1"/>
      <w:numFmt w:val="bullet"/>
      <w:lvlText w:val="●"/>
      <w:lvlJc w:val="left"/>
      <w:pPr>
        <w:ind w:left="2520" w:hanging="360"/>
      </w:pPr>
      <w:rPr>
        <w:rFonts w:ascii="noto sans symbols" w:eastAsia="noto sans symbols" w:hAnsi="noto sans symbols" w:cs="noto sans symbols"/>
      </w:rPr>
    </w:lvl>
    <w:lvl w:ilvl="4" w:tplc="51D60776">
      <w:start w:val="1"/>
      <w:numFmt w:val="bullet"/>
      <w:lvlText w:val="o"/>
      <w:lvlJc w:val="left"/>
      <w:pPr>
        <w:ind w:left="3240" w:hanging="360"/>
      </w:pPr>
      <w:rPr>
        <w:rFonts w:ascii="Courier New" w:eastAsia="Courier New" w:hAnsi="Courier New" w:cs="Courier New"/>
      </w:rPr>
    </w:lvl>
    <w:lvl w:ilvl="5" w:tplc="919463D0">
      <w:start w:val="1"/>
      <w:numFmt w:val="bullet"/>
      <w:lvlText w:val="▪"/>
      <w:lvlJc w:val="left"/>
      <w:pPr>
        <w:ind w:left="3960" w:hanging="360"/>
      </w:pPr>
      <w:rPr>
        <w:rFonts w:ascii="noto sans symbols" w:eastAsia="noto sans symbols" w:hAnsi="noto sans symbols" w:cs="noto sans symbols"/>
      </w:rPr>
    </w:lvl>
    <w:lvl w:ilvl="6" w:tplc="B9B6F736">
      <w:start w:val="1"/>
      <w:numFmt w:val="bullet"/>
      <w:lvlText w:val="●"/>
      <w:lvlJc w:val="left"/>
      <w:pPr>
        <w:ind w:left="4680" w:hanging="360"/>
      </w:pPr>
      <w:rPr>
        <w:rFonts w:ascii="noto sans symbols" w:eastAsia="noto sans symbols" w:hAnsi="noto sans symbols" w:cs="noto sans symbols"/>
      </w:rPr>
    </w:lvl>
    <w:lvl w:ilvl="7" w:tplc="66A89252">
      <w:start w:val="1"/>
      <w:numFmt w:val="bullet"/>
      <w:lvlText w:val="o"/>
      <w:lvlJc w:val="left"/>
      <w:pPr>
        <w:ind w:left="5400" w:hanging="360"/>
      </w:pPr>
      <w:rPr>
        <w:rFonts w:ascii="Courier New" w:eastAsia="Courier New" w:hAnsi="Courier New" w:cs="Courier New"/>
      </w:rPr>
    </w:lvl>
    <w:lvl w:ilvl="8" w:tplc="C3564050">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7A12ED"/>
    <w:multiLevelType w:val="hybridMultilevel"/>
    <w:tmpl w:val="68225742"/>
    <w:lvl w:ilvl="0" w:tplc="607CD57A">
      <w:start w:val="1"/>
      <w:numFmt w:val="decimal"/>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55F07CB"/>
    <w:multiLevelType w:val="hybridMultilevel"/>
    <w:tmpl w:val="5F0CEE86"/>
    <w:lvl w:ilvl="0" w:tplc="4ADE9BC4">
      <w:start w:val="1"/>
      <w:numFmt w:val="bullet"/>
      <w:lvlText w:val=""/>
      <w:lvlJc w:val="left"/>
      <w:pPr>
        <w:ind w:left="720" w:hanging="360"/>
      </w:pPr>
      <w:rPr>
        <w:rFonts w:ascii="Symbol" w:hAnsi="Symbol" w:hint="default"/>
      </w:rPr>
    </w:lvl>
    <w:lvl w:ilvl="1" w:tplc="4C26A27A">
      <w:start w:val="1"/>
      <w:numFmt w:val="bullet"/>
      <w:lvlText w:val="o"/>
      <w:lvlJc w:val="left"/>
      <w:pPr>
        <w:ind w:left="1440" w:hanging="360"/>
      </w:pPr>
      <w:rPr>
        <w:rFonts w:ascii="Courier New" w:hAnsi="Courier New" w:cs="Courier New" w:hint="default"/>
      </w:rPr>
    </w:lvl>
    <w:lvl w:ilvl="2" w:tplc="D4B852F8">
      <w:start w:val="1"/>
      <w:numFmt w:val="bullet"/>
      <w:lvlText w:val=""/>
      <w:lvlJc w:val="left"/>
      <w:pPr>
        <w:ind w:left="2160" w:hanging="360"/>
      </w:pPr>
      <w:rPr>
        <w:rFonts w:ascii="Wingdings" w:hAnsi="Wingdings" w:hint="default"/>
      </w:rPr>
    </w:lvl>
    <w:lvl w:ilvl="3" w:tplc="47EA5E68">
      <w:start w:val="1"/>
      <w:numFmt w:val="bullet"/>
      <w:lvlText w:val=""/>
      <w:lvlJc w:val="left"/>
      <w:pPr>
        <w:ind w:left="2880" w:hanging="360"/>
      </w:pPr>
      <w:rPr>
        <w:rFonts w:ascii="Symbol" w:hAnsi="Symbol" w:hint="default"/>
      </w:rPr>
    </w:lvl>
    <w:lvl w:ilvl="4" w:tplc="58529D56">
      <w:start w:val="1"/>
      <w:numFmt w:val="bullet"/>
      <w:lvlText w:val="o"/>
      <w:lvlJc w:val="left"/>
      <w:pPr>
        <w:ind w:left="3600" w:hanging="360"/>
      </w:pPr>
      <w:rPr>
        <w:rFonts w:ascii="Courier New" w:hAnsi="Courier New" w:cs="Courier New" w:hint="default"/>
      </w:rPr>
    </w:lvl>
    <w:lvl w:ilvl="5" w:tplc="8D5812EE">
      <w:start w:val="1"/>
      <w:numFmt w:val="bullet"/>
      <w:lvlText w:val=""/>
      <w:lvlJc w:val="left"/>
      <w:pPr>
        <w:ind w:left="4320" w:hanging="360"/>
      </w:pPr>
      <w:rPr>
        <w:rFonts w:ascii="Wingdings" w:hAnsi="Wingdings" w:hint="default"/>
      </w:rPr>
    </w:lvl>
    <w:lvl w:ilvl="6" w:tplc="8938B8A2">
      <w:start w:val="1"/>
      <w:numFmt w:val="bullet"/>
      <w:lvlText w:val=""/>
      <w:lvlJc w:val="left"/>
      <w:pPr>
        <w:ind w:left="5040" w:hanging="360"/>
      </w:pPr>
      <w:rPr>
        <w:rFonts w:ascii="Symbol" w:hAnsi="Symbol" w:hint="default"/>
      </w:rPr>
    </w:lvl>
    <w:lvl w:ilvl="7" w:tplc="AF281DA4">
      <w:start w:val="1"/>
      <w:numFmt w:val="bullet"/>
      <w:lvlText w:val="o"/>
      <w:lvlJc w:val="left"/>
      <w:pPr>
        <w:ind w:left="5760" w:hanging="360"/>
      </w:pPr>
      <w:rPr>
        <w:rFonts w:ascii="Courier New" w:hAnsi="Courier New" w:cs="Courier New" w:hint="default"/>
      </w:rPr>
    </w:lvl>
    <w:lvl w:ilvl="8" w:tplc="760E5A08">
      <w:start w:val="1"/>
      <w:numFmt w:val="bullet"/>
      <w:lvlText w:val=""/>
      <w:lvlJc w:val="left"/>
      <w:pPr>
        <w:ind w:left="6480" w:hanging="360"/>
      </w:pPr>
      <w:rPr>
        <w:rFonts w:ascii="Wingdings" w:hAnsi="Wingdings" w:hint="default"/>
      </w:rPr>
    </w:lvl>
  </w:abstractNum>
  <w:abstractNum w:abstractNumId="6" w15:restartNumberingAfterBreak="0">
    <w:nsid w:val="1909247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7B1280"/>
    <w:multiLevelType w:val="hybridMultilevel"/>
    <w:tmpl w:val="68225742"/>
    <w:lvl w:ilvl="0" w:tplc="607CD57A">
      <w:start w:val="1"/>
      <w:numFmt w:val="decimal"/>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B925887"/>
    <w:multiLevelType w:val="hybridMultilevel"/>
    <w:tmpl w:val="C6C8895A"/>
    <w:lvl w:ilvl="0" w:tplc="A60EF3F4">
      <w:start w:val="1"/>
      <w:numFmt w:val="upperRoman"/>
      <w:lvlText w:val="%1-"/>
      <w:lvlJc w:val="left"/>
      <w:pPr>
        <w:ind w:left="720" w:hanging="360"/>
      </w:pPr>
      <w:rPr>
        <w:rFonts w:ascii="Arial" w:hAnsi="Arial"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004840"/>
    <w:multiLevelType w:val="multilevel"/>
    <w:tmpl w:val="E960BAB2"/>
    <w:lvl w:ilvl="0">
      <w:start w:val="1"/>
      <w:numFmt w:val="upperRoman"/>
      <w:lvlText w:val="%1-"/>
      <w:lvlJc w:val="left"/>
      <w:pPr>
        <w:ind w:left="720" w:hanging="360"/>
      </w:pPr>
      <w:rPr>
        <w:rFonts w:ascii="Arial" w:hAnsi="Arial" w:hint="default"/>
        <w:b/>
        <w:i w:val="0"/>
        <w:sz w:val="24"/>
      </w:rPr>
    </w:lvl>
    <w:lvl w:ilvl="1">
      <w:start w:val="1"/>
      <w:numFmt w:val="lowerLetter"/>
      <w:lvlText w:val="%2."/>
      <w:lvlJc w:val="left"/>
      <w:pPr>
        <w:ind w:left="1440" w:hanging="360"/>
      </w:pPr>
    </w:lvl>
    <w:lvl w:ilvl="2">
      <w:start w:val="2"/>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41F745A"/>
    <w:multiLevelType w:val="multilevel"/>
    <w:tmpl w:val="F45C15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A44DD2"/>
    <w:multiLevelType w:val="multilevel"/>
    <w:tmpl w:val="6C462982"/>
    <w:lvl w:ilvl="0">
      <w:start w:val="1"/>
      <w:numFmt w:val="bullet"/>
      <w:lvlText w:val=""/>
      <w:lvlJc w:val="left"/>
      <w:pPr>
        <w:ind w:left="1440" w:hanging="360"/>
      </w:pPr>
      <w:rPr>
        <w:rFonts w:ascii="Symbol" w:hAnsi="Symbol" w:cs="Symbol" w:hint="default"/>
        <w:b/>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sz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sz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2918397C"/>
    <w:multiLevelType w:val="multilevel"/>
    <w:tmpl w:val="F45C15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6BD2412"/>
    <w:multiLevelType w:val="hybridMultilevel"/>
    <w:tmpl w:val="98F22B06"/>
    <w:lvl w:ilvl="0" w:tplc="A60EF3F4">
      <w:start w:val="1"/>
      <w:numFmt w:val="upperRoman"/>
      <w:lvlText w:val="%1-"/>
      <w:lvlJc w:val="left"/>
      <w:pPr>
        <w:ind w:left="1080" w:hanging="720"/>
      </w:pPr>
      <w:rPr>
        <w:rFonts w:ascii="Arial" w:hAnsi="Arial"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520703"/>
    <w:multiLevelType w:val="hybridMultilevel"/>
    <w:tmpl w:val="80DCF6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CB0738B"/>
    <w:multiLevelType w:val="multilevel"/>
    <w:tmpl w:val="EAAA21E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E200478"/>
    <w:multiLevelType w:val="multilevel"/>
    <w:tmpl w:val="61C43A40"/>
    <w:lvl w:ilvl="0">
      <w:start w:val="1"/>
      <w:numFmt w:val="bullet"/>
      <w:lvlText w:val="o"/>
      <w:lvlJc w:val="left"/>
      <w:pPr>
        <w:ind w:left="1069" w:hanging="360"/>
      </w:pPr>
      <w:rPr>
        <w:rFonts w:ascii="Courier New" w:hAnsi="Courier New" w:cs="Courier New" w:hint="default"/>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7" w15:restartNumberingAfterBreak="0">
    <w:nsid w:val="3FDD3BFC"/>
    <w:multiLevelType w:val="hybridMultilevel"/>
    <w:tmpl w:val="F78A2722"/>
    <w:lvl w:ilvl="0" w:tplc="86329334">
      <w:start w:val="1"/>
      <w:numFmt w:val="bullet"/>
      <w:lvlText w:val=""/>
      <w:lvlJc w:val="left"/>
      <w:pPr>
        <w:ind w:left="720" w:hanging="360"/>
      </w:pPr>
      <w:rPr>
        <w:rFonts w:ascii="Symbol" w:hAnsi="Symbol" w:hint="default"/>
      </w:rPr>
    </w:lvl>
    <w:lvl w:ilvl="1" w:tplc="AE1293C2">
      <w:start w:val="1"/>
      <w:numFmt w:val="bullet"/>
      <w:lvlText w:val="o"/>
      <w:lvlJc w:val="left"/>
      <w:pPr>
        <w:ind w:left="1440" w:hanging="360"/>
      </w:pPr>
      <w:rPr>
        <w:rFonts w:ascii="Courier New" w:hAnsi="Courier New" w:cs="Courier New" w:hint="default"/>
      </w:rPr>
    </w:lvl>
    <w:lvl w:ilvl="2" w:tplc="0026FD58">
      <w:start w:val="1"/>
      <w:numFmt w:val="bullet"/>
      <w:lvlText w:val=""/>
      <w:lvlJc w:val="left"/>
      <w:pPr>
        <w:ind w:left="2160" w:hanging="360"/>
      </w:pPr>
      <w:rPr>
        <w:rFonts w:ascii="Wingdings" w:hAnsi="Wingdings" w:hint="default"/>
      </w:rPr>
    </w:lvl>
    <w:lvl w:ilvl="3" w:tplc="E3F4C490">
      <w:start w:val="1"/>
      <w:numFmt w:val="bullet"/>
      <w:lvlText w:val=""/>
      <w:lvlJc w:val="left"/>
      <w:pPr>
        <w:ind w:left="2880" w:hanging="360"/>
      </w:pPr>
      <w:rPr>
        <w:rFonts w:ascii="Symbol" w:hAnsi="Symbol" w:hint="default"/>
      </w:rPr>
    </w:lvl>
    <w:lvl w:ilvl="4" w:tplc="5218D0C8">
      <w:start w:val="1"/>
      <w:numFmt w:val="bullet"/>
      <w:lvlText w:val="o"/>
      <w:lvlJc w:val="left"/>
      <w:pPr>
        <w:ind w:left="3600" w:hanging="360"/>
      </w:pPr>
      <w:rPr>
        <w:rFonts w:ascii="Courier New" w:hAnsi="Courier New" w:cs="Courier New" w:hint="default"/>
      </w:rPr>
    </w:lvl>
    <w:lvl w:ilvl="5" w:tplc="1C346CC2">
      <w:start w:val="1"/>
      <w:numFmt w:val="bullet"/>
      <w:lvlText w:val=""/>
      <w:lvlJc w:val="left"/>
      <w:pPr>
        <w:ind w:left="4320" w:hanging="360"/>
      </w:pPr>
      <w:rPr>
        <w:rFonts w:ascii="Wingdings" w:hAnsi="Wingdings" w:hint="default"/>
      </w:rPr>
    </w:lvl>
    <w:lvl w:ilvl="6" w:tplc="E82EBCD4">
      <w:start w:val="1"/>
      <w:numFmt w:val="bullet"/>
      <w:lvlText w:val=""/>
      <w:lvlJc w:val="left"/>
      <w:pPr>
        <w:ind w:left="5040" w:hanging="360"/>
      </w:pPr>
      <w:rPr>
        <w:rFonts w:ascii="Symbol" w:hAnsi="Symbol" w:hint="default"/>
      </w:rPr>
    </w:lvl>
    <w:lvl w:ilvl="7" w:tplc="B07C2A64">
      <w:start w:val="1"/>
      <w:numFmt w:val="bullet"/>
      <w:lvlText w:val="o"/>
      <w:lvlJc w:val="left"/>
      <w:pPr>
        <w:ind w:left="5760" w:hanging="360"/>
      </w:pPr>
      <w:rPr>
        <w:rFonts w:ascii="Courier New" w:hAnsi="Courier New" w:cs="Courier New" w:hint="default"/>
      </w:rPr>
    </w:lvl>
    <w:lvl w:ilvl="8" w:tplc="A358D576">
      <w:start w:val="1"/>
      <w:numFmt w:val="bullet"/>
      <w:lvlText w:val=""/>
      <w:lvlJc w:val="left"/>
      <w:pPr>
        <w:ind w:left="6480" w:hanging="360"/>
      </w:pPr>
      <w:rPr>
        <w:rFonts w:ascii="Wingdings" w:hAnsi="Wingdings" w:hint="default"/>
      </w:rPr>
    </w:lvl>
  </w:abstractNum>
  <w:abstractNum w:abstractNumId="18" w15:restartNumberingAfterBreak="0">
    <w:nsid w:val="42142F80"/>
    <w:multiLevelType w:val="multilevel"/>
    <w:tmpl w:val="D6202046"/>
    <w:lvl w:ilvl="0">
      <w:start w:val="1"/>
      <w:numFmt w:val="decimal"/>
      <w:lvlText w:val="%1."/>
      <w:lvlJc w:val="left"/>
      <w:pPr>
        <w:ind w:left="720" w:hanging="360"/>
      </w:pPr>
      <w:rPr>
        <w:rFonts w:ascii="Arial" w:hAnsi="Arial" w:cs="Arial"/>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054D73"/>
    <w:multiLevelType w:val="hybridMultilevel"/>
    <w:tmpl w:val="11AA0A90"/>
    <w:lvl w:ilvl="0" w:tplc="A60EF3F4">
      <w:start w:val="1"/>
      <w:numFmt w:val="upperRoman"/>
      <w:lvlText w:val="%1-"/>
      <w:lvlJc w:val="left"/>
      <w:pPr>
        <w:ind w:left="720" w:hanging="360"/>
      </w:pPr>
      <w:rPr>
        <w:rFonts w:ascii="Arial" w:hAnsi="Arial" w:hint="default"/>
        <w:b/>
        <w:i w:val="0"/>
        <w:sz w:val="24"/>
      </w:rPr>
    </w:lvl>
    <w:lvl w:ilvl="1" w:tplc="040C0019">
      <w:start w:val="1"/>
      <w:numFmt w:val="lowerLetter"/>
      <w:lvlText w:val="%2."/>
      <w:lvlJc w:val="left"/>
      <w:pPr>
        <w:ind w:left="1440" w:hanging="360"/>
      </w:pPr>
    </w:lvl>
    <w:lvl w:ilvl="2" w:tplc="D23CEF34">
      <w:start w:val="2"/>
      <w:numFmt w:val="upperLetter"/>
      <w:lvlText w:val="%3."/>
      <w:lvlJc w:val="left"/>
      <w:pPr>
        <w:ind w:left="2340" w:hanging="360"/>
      </w:pPr>
      <w:rPr>
        <w:rFonts w:hint="default"/>
      </w:rPr>
    </w:lvl>
    <w:lvl w:ilvl="3" w:tplc="94F4EAE2">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5E19F0"/>
    <w:multiLevelType w:val="multilevel"/>
    <w:tmpl w:val="ED22B0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DA56D8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56751F7C"/>
    <w:multiLevelType w:val="hybridMultilevel"/>
    <w:tmpl w:val="304A148A"/>
    <w:lvl w:ilvl="0" w:tplc="52B45D72">
      <w:start w:val="1"/>
      <w:numFmt w:val="bullet"/>
      <w:lvlText w:val=""/>
      <w:lvlJc w:val="left"/>
      <w:pPr>
        <w:ind w:left="720" w:hanging="360"/>
      </w:pPr>
      <w:rPr>
        <w:rFonts w:ascii="Symbol" w:hAnsi="Symbol" w:hint="default"/>
      </w:rPr>
    </w:lvl>
    <w:lvl w:ilvl="1" w:tplc="56042ABA">
      <w:start w:val="1"/>
      <w:numFmt w:val="bullet"/>
      <w:lvlText w:val="o"/>
      <w:lvlJc w:val="left"/>
      <w:pPr>
        <w:ind w:left="1440" w:hanging="360"/>
      </w:pPr>
      <w:rPr>
        <w:rFonts w:ascii="Courier New" w:eastAsia="Courier New" w:hAnsi="Courier New" w:cs="Courier New"/>
      </w:rPr>
    </w:lvl>
    <w:lvl w:ilvl="2" w:tplc="A174855C">
      <w:start w:val="1"/>
      <w:numFmt w:val="bullet"/>
      <w:lvlText w:val="▪"/>
      <w:lvlJc w:val="left"/>
      <w:pPr>
        <w:ind w:left="2160" w:hanging="360"/>
      </w:pPr>
      <w:rPr>
        <w:rFonts w:ascii="noto sans symbols" w:eastAsia="noto sans symbols" w:hAnsi="noto sans symbols" w:cs="noto sans symbols"/>
      </w:rPr>
    </w:lvl>
    <w:lvl w:ilvl="3" w:tplc="B38EBE52">
      <w:start w:val="1"/>
      <w:numFmt w:val="bullet"/>
      <w:lvlText w:val="●"/>
      <w:lvlJc w:val="left"/>
      <w:pPr>
        <w:ind w:left="2880" w:hanging="360"/>
      </w:pPr>
      <w:rPr>
        <w:rFonts w:ascii="noto sans symbols" w:eastAsia="noto sans symbols" w:hAnsi="noto sans symbols" w:cs="noto sans symbols"/>
      </w:rPr>
    </w:lvl>
    <w:lvl w:ilvl="4" w:tplc="C7129B84">
      <w:start w:val="1"/>
      <w:numFmt w:val="bullet"/>
      <w:lvlText w:val="o"/>
      <w:lvlJc w:val="left"/>
      <w:pPr>
        <w:ind w:left="3600" w:hanging="360"/>
      </w:pPr>
      <w:rPr>
        <w:rFonts w:ascii="Courier New" w:eastAsia="Courier New" w:hAnsi="Courier New" w:cs="Courier New"/>
      </w:rPr>
    </w:lvl>
    <w:lvl w:ilvl="5" w:tplc="B09013D6">
      <w:start w:val="1"/>
      <w:numFmt w:val="bullet"/>
      <w:lvlText w:val="▪"/>
      <w:lvlJc w:val="left"/>
      <w:pPr>
        <w:ind w:left="4320" w:hanging="360"/>
      </w:pPr>
      <w:rPr>
        <w:rFonts w:ascii="noto sans symbols" w:eastAsia="noto sans symbols" w:hAnsi="noto sans symbols" w:cs="noto sans symbols"/>
      </w:rPr>
    </w:lvl>
    <w:lvl w:ilvl="6" w:tplc="499C4D20">
      <w:start w:val="1"/>
      <w:numFmt w:val="bullet"/>
      <w:lvlText w:val="●"/>
      <w:lvlJc w:val="left"/>
      <w:pPr>
        <w:ind w:left="5040" w:hanging="360"/>
      </w:pPr>
      <w:rPr>
        <w:rFonts w:ascii="noto sans symbols" w:eastAsia="noto sans symbols" w:hAnsi="noto sans symbols" w:cs="noto sans symbols"/>
      </w:rPr>
    </w:lvl>
    <w:lvl w:ilvl="7" w:tplc="33B4D0DA">
      <w:start w:val="1"/>
      <w:numFmt w:val="bullet"/>
      <w:lvlText w:val="o"/>
      <w:lvlJc w:val="left"/>
      <w:pPr>
        <w:ind w:left="5760" w:hanging="360"/>
      </w:pPr>
      <w:rPr>
        <w:rFonts w:ascii="Courier New" w:eastAsia="Courier New" w:hAnsi="Courier New" w:cs="Courier New"/>
      </w:rPr>
    </w:lvl>
    <w:lvl w:ilvl="8" w:tplc="EAF674CE">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6CA5DF6"/>
    <w:multiLevelType w:val="hybridMultilevel"/>
    <w:tmpl w:val="DD8863BE"/>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24" w15:restartNumberingAfterBreak="0">
    <w:nsid w:val="589C33B3"/>
    <w:multiLevelType w:val="hybridMultilevel"/>
    <w:tmpl w:val="2AA6A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F31A70"/>
    <w:multiLevelType w:val="hybridMultilevel"/>
    <w:tmpl w:val="C898E5D0"/>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26" w15:restartNumberingAfterBreak="0">
    <w:nsid w:val="592931E5"/>
    <w:multiLevelType w:val="hybridMultilevel"/>
    <w:tmpl w:val="B00432CE"/>
    <w:lvl w:ilvl="0" w:tplc="A60EF3F4">
      <w:start w:val="1"/>
      <w:numFmt w:val="upperRoman"/>
      <w:lvlText w:val="%1-"/>
      <w:lvlJc w:val="left"/>
      <w:pPr>
        <w:ind w:left="720" w:hanging="360"/>
      </w:pPr>
      <w:rPr>
        <w:rFonts w:ascii="Arial" w:hAnsi="Arial"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641579"/>
    <w:multiLevelType w:val="multilevel"/>
    <w:tmpl w:val="FC40EEB8"/>
    <w:lvl w:ilvl="0">
      <w:start w:val="1"/>
      <w:numFmt w:val="bullet"/>
      <w:lvlText w:val="●"/>
      <w:lvlJc w:val="left"/>
      <w:pPr>
        <w:ind w:left="643" w:hanging="360"/>
      </w:pPr>
      <w:rPr>
        <w:rFonts w:ascii="noto sans symbols" w:eastAsia="noto sans symbols" w:hAnsi="noto sans symbols" w:cs="noto sans symbols"/>
        <w:color w:val="000000"/>
        <w:sz w:val="18"/>
        <w:szCs w:val="18"/>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8" w15:restartNumberingAfterBreak="0">
    <w:nsid w:val="5BBC091C"/>
    <w:multiLevelType w:val="multilevel"/>
    <w:tmpl w:val="040C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9" w15:restartNumberingAfterBreak="0">
    <w:nsid w:val="5BC0107F"/>
    <w:multiLevelType w:val="hybridMultilevel"/>
    <w:tmpl w:val="A7FE6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9E6C1D"/>
    <w:multiLevelType w:val="hybridMultilevel"/>
    <w:tmpl w:val="DAEAEDC8"/>
    <w:lvl w:ilvl="0" w:tplc="A3B61574">
      <w:start w:val="1"/>
      <w:numFmt w:val="bullet"/>
      <w:lvlText w:val="-"/>
      <w:lvlJc w:val="left"/>
      <w:pPr>
        <w:ind w:left="360" w:hanging="360"/>
      </w:pPr>
      <w:rPr>
        <w:rFonts w:ascii="Arial" w:eastAsia="Arial" w:hAnsi="Arial" w:cs="Arial"/>
      </w:rPr>
    </w:lvl>
    <w:lvl w:ilvl="1" w:tplc="6E0E6C48">
      <w:start w:val="1"/>
      <w:numFmt w:val="bullet"/>
      <w:lvlText w:val="o"/>
      <w:lvlJc w:val="left"/>
      <w:pPr>
        <w:ind w:left="1080" w:hanging="360"/>
      </w:pPr>
      <w:rPr>
        <w:rFonts w:ascii="Courier New" w:eastAsia="Courier New" w:hAnsi="Courier New" w:cs="Courier New"/>
      </w:rPr>
    </w:lvl>
    <w:lvl w:ilvl="2" w:tplc="A62090FC">
      <w:start w:val="1"/>
      <w:numFmt w:val="bullet"/>
      <w:lvlText w:val="▪"/>
      <w:lvlJc w:val="left"/>
      <w:pPr>
        <w:ind w:left="1800" w:hanging="360"/>
      </w:pPr>
      <w:rPr>
        <w:rFonts w:ascii="noto sans symbols" w:eastAsia="noto sans symbols" w:hAnsi="noto sans symbols" w:cs="noto sans symbols"/>
      </w:rPr>
    </w:lvl>
    <w:lvl w:ilvl="3" w:tplc="ADEE2284">
      <w:start w:val="1"/>
      <w:numFmt w:val="bullet"/>
      <w:lvlText w:val="●"/>
      <w:lvlJc w:val="left"/>
      <w:pPr>
        <w:ind w:left="2520" w:hanging="360"/>
      </w:pPr>
      <w:rPr>
        <w:rFonts w:ascii="noto sans symbols" w:eastAsia="noto sans symbols" w:hAnsi="noto sans symbols" w:cs="noto sans symbols"/>
      </w:rPr>
    </w:lvl>
    <w:lvl w:ilvl="4" w:tplc="6B4E1E54">
      <w:start w:val="1"/>
      <w:numFmt w:val="bullet"/>
      <w:lvlText w:val="o"/>
      <w:lvlJc w:val="left"/>
      <w:pPr>
        <w:ind w:left="3240" w:hanging="360"/>
      </w:pPr>
      <w:rPr>
        <w:rFonts w:ascii="Courier New" w:eastAsia="Courier New" w:hAnsi="Courier New" w:cs="Courier New"/>
      </w:rPr>
    </w:lvl>
    <w:lvl w:ilvl="5" w:tplc="D034F672">
      <w:start w:val="1"/>
      <w:numFmt w:val="bullet"/>
      <w:lvlText w:val="▪"/>
      <w:lvlJc w:val="left"/>
      <w:pPr>
        <w:ind w:left="3960" w:hanging="360"/>
      </w:pPr>
      <w:rPr>
        <w:rFonts w:ascii="noto sans symbols" w:eastAsia="noto sans symbols" w:hAnsi="noto sans symbols" w:cs="noto sans symbols"/>
      </w:rPr>
    </w:lvl>
    <w:lvl w:ilvl="6" w:tplc="11F2F2D6">
      <w:start w:val="1"/>
      <w:numFmt w:val="bullet"/>
      <w:lvlText w:val="●"/>
      <w:lvlJc w:val="left"/>
      <w:pPr>
        <w:ind w:left="4680" w:hanging="360"/>
      </w:pPr>
      <w:rPr>
        <w:rFonts w:ascii="noto sans symbols" w:eastAsia="noto sans symbols" w:hAnsi="noto sans symbols" w:cs="noto sans symbols"/>
      </w:rPr>
    </w:lvl>
    <w:lvl w:ilvl="7" w:tplc="B0AE841C">
      <w:start w:val="1"/>
      <w:numFmt w:val="bullet"/>
      <w:lvlText w:val="o"/>
      <w:lvlJc w:val="left"/>
      <w:pPr>
        <w:ind w:left="5400" w:hanging="360"/>
      </w:pPr>
      <w:rPr>
        <w:rFonts w:ascii="Courier New" w:eastAsia="Courier New" w:hAnsi="Courier New" w:cs="Courier New"/>
      </w:rPr>
    </w:lvl>
    <w:lvl w:ilvl="8" w:tplc="AAAAA546">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D9B4FDD"/>
    <w:multiLevelType w:val="hybridMultilevel"/>
    <w:tmpl w:val="31CA60FE"/>
    <w:lvl w:ilvl="0" w:tplc="4D56753C">
      <w:start w:val="1"/>
      <w:numFmt w:val="bullet"/>
      <w:lvlText w:val="-"/>
      <w:lvlJc w:val="left"/>
      <w:pPr>
        <w:ind w:left="720" w:hanging="360"/>
      </w:pPr>
      <w:rPr>
        <w:rFonts w:ascii="Arial" w:eastAsia="Arial" w:hAnsi="Arial" w:cs="Arial"/>
      </w:rPr>
    </w:lvl>
    <w:lvl w:ilvl="1" w:tplc="D94E001C">
      <w:start w:val="1"/>
      <w:numFmt w:val="bullet"/>
      <w:lvlText w:val="o"/>
      <w:lvlJc w:val="left"/>
      <w:pPr>
        <w:ind w:left="1440" w:hanging="360"/>
      </w:pPr>
      <w:rPr>
        <w:rFonts w:ascii="Courier New" w:eastAsia="Courier New" w:hAnsi="Courier New" w:cs="Courier New"/>
      </w:rPr>
    </w:lvl>
    <w:lvl w:ilvl="2" w:tplc="7FA8D99C">
      <w:start w:val="1"/>
      <w:numFmt w:val="bullet"/>
      <w:lvlText w:val="▪"/>
      <w:lvlJc w:val="left"/>
      <w:pPr>
        <w:ind w:left="2160" w:hanging="360"/>
      </w:pPr>
      <w:rPr>
        <w:rFonts w:ascii="noto sans symbols" w:eastAsia="noto sans symbols" w:hAnsi="noto sans symbols" w:cs="noto sans symbols"/>
      </w:rPr>
    </w:lvl>
    <w:lvl w:ilvl="3" w:tplc="F83A8EBE">
      <w:start w:val="1"/>
      <w:numFmt w:val="bullet"/>
      <w:lvlText w:val="●"/>
      <w:lvlJc w:val="left"/>
      <w:pPr>
        <w:ind w:left="2880" w:hanging="360"/>
      </w:pPr>
      <w:rPr>
        <w:rFonts w:ascii="noto sans symbols" w:eastAsia="noto sans symbols" w:hAnsi="noto sans symbols" w:cs="noto sans symbols"/>
      </w:rPr>
    </w:lvl>
    <w:lvl w:ilvl="4" w:tplc="B3901F1E">
      <w:start w:val="1"/>
      <w:numFmt w:val="bullet"/>
      <w:lvlText w:val="o"/>
      <w:lvlJc w:val="left"/>
      <w:pPr>
        <w:ind w:left="3600" w:hanging="360"/>
      </w:pPr>
      <w:rPr>
        <w:rFonts w:ascii="Courier New" w:eastAsia="Courier New" w:hAnsi="Courier New" w:cs="Courier New"/>
      </w:rPr>
    </w:lvl>
    <w:lvl w:ilvl="5" w:tplc="06F899D4">
      <w:start w:val="1"/>
      <w:numFmt w:val="bullet"/>
      <w:lvlText w:val="▪"/>
      <w:lvlJc w:val="left"/>
      <w:pPr>
        <w:ind w:left="4320" w:hanging="360"/>
      </w:pPr>
      <w:rPr>
        <w:rFonts w:ascii="noto sans symbols" w:eastAsia="noto sans symbols" w:hAnsi="noto sans symbols" w:cs="noto sans symbols"/>
      </w:rPr>
    </w:lvl>
    <w:lvl w:ilvl="6" w:tplc="E40C2A4A">
      <w:start w:val="1"/>
      <w:numFmt w:val="bullet"/>
      <w:lvlText w:val="●"/>
      <w:lvlJc w:val="left"/>
      <w:pPr>
        <w:ind w:left="5040" w:hanging="360"/>
      </w:pPr>
      <w:rPr>
        <w:rFonts w:ascii="noto sans symbols" w:eastAsia="noto sans symbols" w:hAnsi="noto sans symbols" w:cs="noto sans symbols"/>
      </w:rPr>
    </w:lvl>
    <w:lvl w:ilvl="7" w:tplc="D0E8F014">
      <w:start w:val="1"/>
      <w:numFmt w:val="bullet"/>
      <w:lvlText w:val="o"/>
      <w:lvlJc w:val="left"/>
      <w:pPr>
        <w:ind w:left="5760" w:hanging="360"/>
      </w:pPr>
      <w:rPr>
        <w:rFonts w:ascii="Courier New" w:eastAsia="Courier New" w:hAnsi="Courier New" w:cs="Courier New"/>
      </w:rPr>
    </w:lvl>
    <w:lvl w:ilvl="8" w:tplc="CEF8AF7E">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6BE432C"/>
    <w:multiLevelType w:val="hybridMultilevel"/>
    <w:tmpl w:val="55E816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1F43F3"/>
    <w:multiLevelType w:val="multilevel"/>
    <w:tmpl w:val="11AA0A90"/>
    <w:lvl w:ilvl="0">
      <w:start w:val="1"/>
      <w:numFmt w:val="upperRoman"/>
      <w:lvlText w:val="%1-"/>
      <w:lvlJc w:val="left"/>
      <w:pPr>
        <w:ind w:left="720" w:hanging="360"/>
      </w:pPr>
      <w:rPr>
        <w:rFonts w:ascii="Arial" w:hAnsi="Arial" w:hint="default"/>
        <w:b/>
        <w:i w:val="0"/>
        <w:sz w:val="24"/>
      </w:rPr>
    </w:lvl>
    <w:lvl w:ilvl="1">
      <w:start w:val="1"/>
      <w:numFmt w:val="lowerLetter"/>
      <w:lvlText w:val="%2."/>
      <w:lvlJc w:val="left"/>
      <w:pPr>
        <w:ind w:left="1440" w:hanging="360"/>
      </w:pPr>
    </w:lvl>
    <w:lvl w:ilvl="2">
      <w:start w:val="2"/>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939006E"/>
    <w:multiLevelType w:val="multilevel"/>
    <w:tmpl w:val="31062C0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E0A37E3"/>
    <w:multiLevelType w:val="hybridMultilevel"/>
    <w:tmpl w:val="C51E9032"/>
    <w:lvl w:ilvl="0" w:tplc="A60EF3F4">
      <w:start w:val="1"/>
      <w:numFmt w:val="upperRoman"/>
      <w:lvlText w:val="%1-"/>
      <w:lvlJc w:val="left"/>
      <w:pPr>
        <w:ind w:left="1080" w:hanging="720"/>
      </w:pPr>
      <w:rPr>
        <w:rFonts w:ascii="Arial" w:hAnsi="Arial"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2F2772D"/>
    <w:multiLevelType w:val="multilevel"/>
    <w:tmpl w:val="AC2CB43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sz w:val="22"/>
      </w:rPr>
    </w:lvl>
    <w:lvl w:ilvl="2">
      <w:start w:val="1"/>
      <w:numFmt w:val="bullet"/>
      <w:lvlText w:val=""/>
      <w:lvlJc w:val="left"/>
      <w:pPr>
        <w:tabs>
          <w:tab w:val="num" w:pos="1440"/>
        </w:tabs>
        <w:ind w:left="1440" w:hanging="360"/>
      </w:pPr>
      <w:rPr>
        <w:rFonts w:ascii="Symbol" w:hAnsi="Symbol" w:cs="Symbol" w:hint="default"/>
        <w:sz w:val="22"/>
      </w:rPr>
    </w:lvl>
    <w:lvl w:ilvl="3">
      <w:start w:val="1"/>
      <w:numFmt w:val="bullet"/>
      <w:lvlText w:val=""/>
      <w:lvlJc w:val="left"/>
      <w:pPr>
        <w:tabs>
          <w:tab w:val="num" w:pos="1800"/>
        </w:tabs>
        <w:ind w:left="1800" w:hanging="360"/>
      </w:pPr>
      <w:rPr>
        <w:rFonts w:ascii="Symbol" w:hAnsi="Symbol" w:cs="Symbol" w:hint="default"/>
        <w:sz w:val="22"/>
      </w:rPr>
    </w:lvl>
    <w:lvl w:ilvl="4">
      <w:start w:val="1"/>
      <w:numFmt w:val="bullet"/>
      <w:lvlText w:val=""/>
      <w:lvlJc w:val="left"/>
      <w:pPr>
        <w:tabs>
          <w:tab w:val="num" w:pos="2160"/>
        </w:tabs>
        <w:ind w:left="2160" w:hanging="360"/>
      </w:pPr>
      <w:rPr>
        <w:rFonts w:ascii="Symbol" w:hAnsi="Symbol" w:cs="Symbol" w:hint="default"/>
        <w:sz w:val="22"/>
      </w:rPr>
    </w:lvl>
    <w:lvl w:ilvl="5">
      <w:start w:val="1"/>
      <w:numFmt w:val="bullet"/>
      <w:lvlText w:val=""/>
      <w:lvlJc w:val="left"/>
      <w:pPr>
        <w:tabs>
          <w:tab w:val="num" w:pos="2520"/>
        </w:tabs>
        <w:ind w:left="2520" w:hanging="360"/>
      </w:pPr>
      <w:rPr>
        <w:rFonts w:ascii="Symbol" w:hAnsi="Symbol" w:cs="Symbol" w:hint="default"/>
        <w:sz w:val="22"/>
      </w:rPr>
    </w:lvl>
    <w:lvl w:ilvl="6">
      <w:start w:val="1"/>
      <w:numFmt w:val="bullet"/>
      <w:lvlText w:val=""/>
      <w:lvlJc w:val="left"/>
      <w:pPr>
        <w:tabs>
          <w:tab w:val="num" w:pos="2880"/>
        </w:tabs>
        <w:ind w:left="2880" w:hanging="360"/>
      </w:pPr>
      <w:rPr>
        <w:rFonts w:ascii="Symbol" w:hAnsi="Symbol" w:cs="Symbol" w:hint="default"/>
        <w:sz w:val="22"/>
      </w:rPr>
    </w:lvl>
    <w:lvl w:ilvl="7">
      <w:start w:val="1"/>
      <w:numFmt w:val="bullet"/>
      <w:lvlText w:val=""/>
      <w:lvlJc w:val="left"/>
      <w:pPr>
        <w:tabs>
          <w:tab w:val="num" w:pos="3240"/>
        </w:tabs>
        <w:ind w:left="3240" w:hanging="360"/>
      </w:pPr>
      <w:rPr>
        <w:rFonts w:ascii="Symbol" w:hAnsi="Symbol" w:cs="Symbol" w:hint="default"/>
        <w:sz w:val="22"/>
      </w:rPr>
    </w:lvl>
    <w:lvl w:ilvl="8">
      <w:start w:val="1"/>
      <w:numFmt w:val="bullet"/>
      <w:lvlText w:val=""/>
      <w:lvlJc w:val="left"/>
      <w:pPr>
        <w:tabs>
          <w:tab w:val="num" w:pos="3600"/>
        </w:tabs>
        <w:ind w:left="3600" w:hanging="360"/>
      </w:pPr>
      <w:rPr>
        <w:rFonts w:ascii="Symbol" w:hAnsi="Symbol" w:cs="Symbol" w:hint="default"/>
        <w:sz w:val="22"/>
      </w:rPr>
    </w:lvl>
  </w:abstractNum>
  <w:abstractNum w:abstractNumId="37" w15:restartNumberingAfterBreak="0">
    <w:nsid w:val="744718A7"/>
    <w:multiLevelType w:val="multilevel"/>
    <w:tmpl w:val="ED58C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4B805C9"/>
    <w:multiLevelType w:val="hybridMultilevel"/>
    <w:tmpl w:val="AF1EC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5D36FD6"/>
    <w:multiLevelType w:val="multilevel"/>
    <w:tmpl w:val="040C0029"/>
    <w:lvl w:ilvl="0">
      <w:start w:val="1"/>
      <w:numFmt w:val="decimal"/>
      <w:suff w:val="space"/>
      <w:lvlText w:val="Chapitr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5E653DA"/>
    <w:multiLevelType w:val="hybridMultilevel"/>
    <w:tmpl w:val="3198ED82"/>
    <w:lvl w:ilvl="0" w:tplc="39862E14">
      <w:start w:val="1"/>
      <w:numFmt w:val="upperRoman"/>
      <w:lvlText w:val="%1."/>
      <w:lvlJc w:val="right"/>
      <w:pPr>
        <w:ind w:left="720" w:hanging="360"/>
      </w:pPr>
      <w:rPr>
        <w:rFonts w:hint="default"/>
      </w:rPr>
    </w:lvl>
    <w:lvl w:ilvl="1" w:tplc="3692E8C0">
      <w:start w:val="1"/>
      <w:numFmt w:val="bullet"/>
      <w:lvlText w:val="o"/>
      <w:lvlJc w:val="left"/>
      <w:pPr>
        <w:ind w:left="1440" w:hanging="360"/>
      </w:pPr>
      <w:rPr>
        <w:rFonts w:ascii="Courier New" w:eastAsia="Courier New" w:hAnsi="Courier New" w:cs="Courier New"/>
      </w:rPr>
    </w:lvl>
    <w:lvl w:ilvl="2" w:tplc="C21C5CD4">
      <w:start w:val="1"/>
      <w:numFmt w:val="bullet"/>
      <w:lvlText w:val="▪"/>
      <w:lvlJc w:val="left"/>
      <w:pPr>
        <w:ind w:left="2160" w:hanging="360"/>
      </w:pPr>
      <w:rPr>
        <w:rFonts w:ascii="noto sans symbols" w:eastAsia="noto sans symbols" w:hAnsi="noto sans symbols" w:cs="noto sans symbols"/>
      </w:rPr>
    </w:lvl>
    <w:lvl w:ilvl="3" w:tplc="8762264A">
      <w:start w:val="1"/>
      <w:numFmt w:val="bullet"/>
      <w:lvlText w:val="●"/>
      <w:lvlJc w:val="left"/>
      <w:pPr>
        <w:ind w:left="2880" w:hanging="360"/>
      </w:pPr>
      <w:rPr>
        <w:rFonts w:ascii="noto sans symbols" w:eastAsia="noto sans symbols" w:hAnsi="noto sans symbols" w:cs="noto sans symbols"/>
      </w:rPr>
    </w:lvl>
    <w:lvl w:ilvl="4" w:tplc="282806A2">
      <w:start w:val="1"/>
      <w:numFmt w:val="bullet"/>
      <w:lvlText w:val="o"/>
      <w:lvlJc w:val="left"/>
      <w:pPr>
        <w:ind w:left="3600" w:hanging="360"/>
      </w:pPr>
      <w:rPr>
        <w:rFonts w:ascii="Courier New" w:eastAsia="Courier New" w:hAnsi="Courier New" w:cs="Courier New"/>
      </w:rPr>
    </w:lvl>
    <w:lvl w:ilvl="5" w:tplc="E7F0940C">
      <w:start w:val="1"/>
      <w:numFmt w:val="bullet"/>
      <w:lvlText w:val="▪"/>
      <w:lvlJc w:val="left"/>
      <w:pPr>
        <w:ind w:left="4320" w:hanging="360"/>
      </w:pPr>
      <w:rPr>
        <w:rFonts w:ascii="noto sans symbols" w:eastAsia="noto sans symbols" w:hAnsi="noto sans symbols" w:cs="noto sans symbols"/>
      </w:rPr>
    </w:lvl>
    <w:lvl w:ilvl="6" w:tplc="2CD4299A">
      <w:start w:val="1"/>
      <w:numFmt w:val="bullet"/>
      <w:lvlText w:val="●"/>
      <w:lvlJc w:val="left"/>
      <w:pPr>
        <w:ind w:left="5040" w:hanging="360"/>
      </w:pPr>
      <w:rPr>
        <w:rFonts w:ascii="noto sans symbols" w:eastAsia="noto sans symbols" w:hAnsi="noto sans symbols" w:cs="noto sans symbols"/>
      </w:rPr>
    </w:lvl>
    <w:lvl w:ilvl="7" w:tplc="69648122">
      <w:start w:val="1"/>
      <w:numFmt w:val="bullet"/>
      <w:lvlText w:val="o"/>
      <w:lvlJc w:val="left"/>
      <w:pPr>
        <w:ind w:left="5760" w:hanging="360"/>
      </w:pPr>
      <w:rPr>
        <w:rFonts w:ascii="Courier New" w:eastAsia="Courier New" w:hAnsi="Courier New" w:cs="Courier New"/>
      </w:rPr>
    </w:lvl>
    <w:lvl w:ilvl="8" w:tplc="6084FF20">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8F362A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B5E1807"/>
    <w:multiLevelType w:val="hybridMultilevel"/>
    <w:tmpl w:val="FF4EDF62"/>
    <w:lvl w:ilvl="0" w:tplc="56DA729C">
      <w:start w:val="1"/>
      <w:numFmt w:val="bullet"/>
      <w:lvlText w:val="-"/>
      <w:lvlJc w:val="left"/>
      <w:pPr>
        <w:ind w:left="720" w:hanging="360"/>
      </w:pPr>
      <w:rPr>
        <w:rFonts w:ascii="Arial" w:eastAsia="Times New Roman" w:hAnsi="Arial" w:cs="Arial" w:hint="default"/>
      </w:rPr>
    </w:lvl>
    <w:lvl w:ilvl="1" w:tplc="6E8C7D98">
      <w:start w:val="1"/>
      <w:numFmt w:val="bullet"/>
      <w:lvlText w:val="o"/>
      <w:lvlJc w:val="left"/>
      <w:pPr>
        <w:ind w:left="1440" w:hanging="360"/>
      </w:pPr>
      <w:rPr>
        <w:rFonts w:ascii="Courier New" w:hAnsi="Courier New" w:cs="Courier New" w:hint="default"/>
      </w:rPr>
    </w:lvl>
    <w:lvl w:ilvl="2" w:tplc="CC405D04">
      <w:start w:val="1"/>
      <w:numFmt w:val="bullet"/>
      <w:lvlText w:val=""/>
      <w:lvlJc w:val="left"/>
      <w:pPr>
        <w:ind w:left="2160" w:hanging="360"/>
      </w:pPr>
      <w:rPr>
        <w:rFonts w:ascii="Wingdings" w:hAnsi="Wingdings" w:hint="default"/>
      </w:rPr>
    </w:lvl>
    <w:lvl w:ilvl="3" w:tplc="FE326AB4">
      <w:start w:val="1"/>
      <w:numFmt w:val="bullet"/>
      <w:lvlText w:val=""/>
      <w:lvlJc w:val="left"/>
      <w:pPr>
        <w:ind w:left="2880" w:hanging="360"/>
      </w:pPr>
      <w:rPr>
        <w:rFonts w:ascii="Symbol" w:hAnsi="Symbol" w:hint="default"/>
      </w:rPr>
    </w:lvl>
    <w:lvl w:ilvl="4" w:tplc="FEEC5452">
      <w:start w:val="1"/>
      <w:numFmt w:val="bullet"/>
      <w:lvlText w:val="o"/>
      <w:lvlJc w:val="left"/>
      <w:pPr>
        <w:ind w:left="3600" w:hanging="360"/>
      </w:pPr>
      <w:rPr>
        <w:rFonts w:ascii="Courier New" w:hAnsi="Courier New" w:cs="Courier New" w:hint="default"/>
      </w:rPr>
    </w:lvl>
    <w:lvl w:ilvl="5" w:tplc="65281722">
      <w:start w:val="1"/>
      <w:numFmt w:val="bullet"/>
      <w:lvlText w:val=""/>
      <w:lvlJc w:val="left"/>
      <w:pPr>
        <w:ind w:left="4320" w:hanging="360"/>
      </w:pPr>
      <w:rPr>
        <w:rFonts w:ascii="Wingdings" w:hAnsi="Wingdings" w:hint="default"/>
      </w:rPr>
    </w:lvl>
    <w:lvl w:ilvl="6" w:tplc="C4E2A55E">
      <w:start w:val="1"/>
      <w:numFmt w:val="bullet"/>
      <w:lvlText w:val=""/>
      <w:lvlJc w:val="left"/>
      <w:pPr>
        <w:ind w:left="5040" w:hanging="360"/>
      </w:pPr>
      <w:rPr>
        <w:rFonts w:ascii="Symbol" w:hAnsi="Symbol" w:hint="default"/>
      </w:rPr>
    </w:lvl>
    <w:lvl w:ilvl="7" w:tplc="7A6E336E">
      <w:start w:val="1"/>
      <w:numFmt w:val="bullet"/>
      <w:lvlText w:val="o"/>
      <w:lvlJc w:val="left"/>
      <w:pPr>
        <w:ind w:left="5760" w:hanging="360"/>
      </w:pPr>
      <w:rPr>
        <w:rFonts w:ascii="Courier New" w:hAnsi="Courier New" w:cs="Courier New" w:hint="default"/>
      </w:rPr>
    </w:lvl>
    <w:lvl w:ilvl="8" w:tplc="4E628C24">
      <w:start w:val="1"/>
      <w:numFmt w:val="bullet"/>
      <w:lvlText w:val=""/>
      <w:lvlJc w:val="left"/>
      <w:pPr>
        <w:ind w:left="6480" w:hanging="360"/>
      </w:pPr>
      <w:rPr>
        <w:rFonts w:ascii="Wingdings" w:hAnsi="Wingdings" w:hint="default"/>
      </w:rPr>
    </w:lvl>
  </w:abstractNum>
  <w:abstractNum w:abstractNumId="43" w15:restartNumberingAfterBreak="0">
    <w:nsid w:val="7DDA5833"/>
    <w:multiLevelType w:val="multilevel"/>
    <w:tmpl w:val="BDC2656A"/>
    <w:lvl w:ilvl="0">
      <w:start w:val="1"/>
      <w:numFmt w:val="bullet"/>
      <w:lvlText w:val=""/>
      <w:lvlJc w:val="left"/>
      <w:pPr>
        <w:tabs>
          <w:tab w:val="num" w:pos="1080"/>
        </w:tabs>
        <w:ind w:left="108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2"/>
      </w:rPr>
    </w:lvl>
    <w:lvl w:ilvl="2">
      <w:start w:val="1"/>
      <w:numFmt w:val="bullet"/>
      <w:lvlText w:val=""/>
      <w:lvlJc w:val="left"/>
      <w:pPr>
        <w:tabs>
          <w:tab w:val="num" w:pos="1800"/>
        </w:tabs>
        <w:ind w:left="1800" w:hanging="360"/>
      </w:pPr>
      <w:rPr>
        <w:rFonts w:ascii="Symbol" w:hAnsi="Symbol" w:cs="Symbol" w:hint="default"/>
        <w:sz w:val="22"/>
      </w:rPr>
    </w:lvl>
    <w:lvl w:ilvl="3">
      <w:start w:val="1"/>
      <w:numFmt w:val="bullet"/>
      <w:lvlText w:val=""/>
      <w:lvlJc w:val="left"/>
      <w:pPr>
        <w:tabs>
          <w:tab w:val="num" w:pos="2160"/>
        </w:tabs>
        <w:ind w:left="2160" w:hanging="360"/>
      </w:pPr>
      <w:rPr>
        <w:rFonts w:ascii="Symbol" w:hAnsi="Symbol" w:cs="Symbol" w:hint="default"/>
        <w:sz w:val="22"/>
      </w:rPr>
    </w:lvl>
    <w:lvl w:ilvl="4">
      <w:start w:val="1"/>
      <w:numFmt w:val="bullet"/>
      <w:lvlText w:val=""/>
      <w:lvlJc w:val="left"/>
      <w:pPr>
        <w:tabs>
          <w:tab w:val="num" w:pos="2520"/>
        </w:tabs>
        <w:ind w:left="2520" w:hanging="360"/>
      </w:pPr>
      <w:rPr>
        <w:rFonts w:ascii="Symbol" w:hAnsi="Symbol" w:cs="Symbol" w:hint="default"/>
        <w:sz w:val="22"/>
      </w:rPr>
    </w:lvl>
    <w:lvl w:ilvl="5">
      <w:start w:val="1"/>
      <w:numFmt w:val="bullet"/>
      <w:lvlText w:val=""/>
      <w:lvlJc w:val="left"/>
      <w:pPr>
        <w:tabs>
          <w:tab w:val="num" w:pos="2880"/>
        </w:tabs>
        <w:ind w:left="2880" w:hanging="360"/>
      </w:pPr>
      <w:rPr>
        <w:rFonts w:ascii="Symbol" w:hAnsi="Symbol" w:cs="Symbol" w:hint="default"/>
        <w:sz w:val="22"/>
      </w:rPr>
    </w:lvl>
    <w:lvl w:ilvl="6">
      <w:start w:val="1"/>
      <w:numFmt w:val="bullet"/>
      <w:lvlText w:val=""/>
      <w:lvlJc w:val="left"/>
      <w:pPr>
        <w:tabs>
          <w:tab w:val="num" w:pos="3240"/>
        </w:tabs>
        <w:ind w:left="3240" w:hanging="360"/>
      </w:pPr>
      <w:rPr>
        <w:rFonts w:ascii="Symbol" w:hAnsi="Symbol" w:cs="Symbol" w:hint="default"/>
        <w:sz w:val="22"/>
      </w:rPr>
    </w:lvl>
    <w:lvl w:ilvl="7">
      <w:start w:val="1"/>
      <w:numFmt w:val="bullet"/>
      <w:lvlText w:val=""/>
      <w:lvlJc w:val="left"/>
      <w:pPr>
        <w:tabs>
          <w:tab w:val="num" w:pos="3600"/>
        </w:tabs>
        <w:ind w:left="3600" w:hanging="360"/>
      </w:pPr>
      <w:rPr>
        <w:rFonts w:ascii="Symbol" w:hAnsi="Symbol" w:cs="Symbol" w:hint="default"/>
        <w:sz w:val="22"/>
      </w:rPr>
    </w:lvl>
    <w:lvl w:ilvl="8">
      <w:start w:val="1"/>
      <w:numFmt w:val="bullet"/>
      <w:lvlText w:val=""/>
      <w:lvlJc w:val="left"/>
      <w:pPr>
        <w:tabs>
          <w:tab w:val="num" w:pos="3960"/>
        </w:tabs>
        <w:ind w:left="3960" w:hanging="360"/>
      </w:pPr>
      <w:rPr>
        <w:rFonts w:ascii="Symbol" w:hAnsi="Symbol" w:cs="Symbol" w:hint="default"/>
        <w:sz w:val="22"/>
      </w:rPr>
    </w:lvl>
  </w:abstractNum>
  <w:abstractNum w:abstractNumId="44" w15:restartNumberingAfterBreak="0">
    <w:nsid w:val="7F4D70C4"/>
    <w:multiLevelType w:val="hybridMultilevel"/>
    <w:tmpl w:val="15D6F1D2"/>
    <w:lvl w:ilvl="0" w:tplc="ED1CDF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A23D1B"/>
    <w:multiLevelType w:val="multilevel"/>
    <w:tmpl w:val="03C288C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sz w:val="22"/>
      </w:rPr>
    </w:lvl>
    <w:lvl w:ilvl="2">
      <w:start w:val="1"/>
      <w:numFmt w:val="bullet"/>
      <w:lvlText w:val=""/>
      <w:lvlJc w:val="left"/>
      <w:pPr>
        <w:tabs>
          <w:tab w:val="num" w:pos="1440"/>
        </w:tabs>
        <w:ind w:left="1440" w:hanging="360"/>
      </w:pPr>
      <w:rPr>
        <w:rFonts w:ascii="Symbol" w:hAnsi="Symbol" w:cs="Symbol" w:hint="default"/>
        <w:sz w:val="22"/>
      </w:rPr>
    </w:lvl>
    <w:lvl w:ilvl="3">
      <w:start w:val="1"/>
      <w:numFmt w:val="bullet"/>
      <w:lvlText w:val=""/>
      <w:lvlJc w:val="left"/>
      <w:pPr>
        <w:tabs>
          <w:tab w:val="num" w:pos="1800"/>
        </w:tabs>
        <w:ind w:left="1800" w:hanging="360"/>
      </w:pPr>
      <w:rPr>
        <w:rFonts w:ascii="Symbol" w:hAnsi="Symbol" w:cs="Symbol" w:hint="default"/>
        <w:sz w:val="22"/>
      </w:rPr>
    </w:lvl>
    <w:lvl w:ilvl="4">
      <w:start w:val="1"/>
      <w:numFmt w:val="bullet"/>
      <w:lvlText w:val=""/>
      <w:lvlJc w:val="left"/>
      <w:pPr>
        <w:tabs>
          <w:tab w:val="num" w:pos="2160"/>
        </w:tabs>
        <w:ind w:left="2160" w:hanging="360"/>
      </w:pPr>
      <w:rPr>
        <w:rFonts w:ascii="Symbol" w:hAnsi="Symbol" w:cs="Symbol" w:hint="default"/>
        <w:sz w:val="22"/>
      </w:rPr>
    </w:lvl>
    <w:lvl w:ilvl="5">
      <w:start w:val="1"/>
      <w:numFmt w:val="bullet"/>
      <w:lvlText w:val=""/>
      <w:lvlJc w:val="left"/>
      <w:pPr>
        <w:tabs>
          <w:tab w:val="num" w:pos="2520"/>
        </w:tabs>
        <w:ind w:left="2520" w:hanging="360"/>
      </w:pPr>
      <w:rPr>
        <w:rFonts w:ascii="Symbol" w:hAnsi="Symbol" w:cs="Symbol" w:hint="default"/>
        <w:sz w:val="22"/>
      </w:rPr>
    </w:lvl>
    <w:lvl w:ilvl="6">
      <w:start w:val="1"/>
      <w:numFmt w:val="bullet"/>
      <w:lvlText w:val=""/>
      <w:lvlJc w:val="left"/>
      <w:pPr>
        <w:tabs>
          <w:tab w:val="num" w:pos="2880"/>
        </w:tabs>
        <w:ind w:left="2880" w:hanging="360"/>
      </w:pPr>
      <w:rPr>
        <w:rFonts w:ascii="Symbol" w:hAnsi="Symbol" w:cs="Symbol" w:hint="default"/>
        <w:sz w:val="22"/>
      </w:rPr>
    </w:lvl>
    <w:lvl w:ilvl="7">
      <w:start w:val="1"/>
      <w:numFmt w:val="bullet"/>
      <w:lvlText w:val=""/>
      <w:lvlJc w:val="left"/>
      <w:pPr>
        <w:tabs>
          <w:tab w:val="num" w:pos="3240"/>
        </w:tabs>
        <w:ind w:left="3240" w:hanging="360"/>
      </w:pPr>
      <w:rPr>
        <w:rFonts w:ascii="Symbol" w:hAnsi="Symbol" w:cs="Symbol" w:hint="default"/>
        <w:sz w:val="22"/>
      </w:rPr>
    </w:lvl>
    <w:lvl w:ilvl="8">
      <w:start w:val="1"/>
      <w:numFmt w:val="bullet"/>
      <w:lvlText w:val=""/>
      <w:lvlJc w:val="left"/>
      <w:pPr>
        <w:tabs>
          <w:tab w:val="num" w:pos="3600"/>
        </w:tabs>
        <w:ind w:left="3600" w:hanging="360"/>
      </w:pPr>
      <w:rPr>
        <w:rFonts w:ascii="Symbol" w:hAnsi="Symbol" w:cs="Symbol" w:hint="default"/>
        <w:sz w:val="22"/>
      </w:rPr>
    </w:lvl>
  </w:abstractNum>
  <w:num w:numId="1" w16cid:durableId="1445463105">
    <w:abstractNumId w:val="3"/>
  </w:num>
  <w:num w:numId="2" w16cid:durableId="474032514">
    <w:abstractNumId w:val="20"/>
  </w:num>
  <w:num w:numId="3" w16cid:durableId="772747559">
    <w:abstractNumId w:val="30"/>
  </w:num>
  <w:num w:numId="4" w16cid:durableId="482501231">
    <w:abstractNumId w:val="40"/>
  </w:num>
  <w:num w:numId="5" w16cid:durableId="509107101">
    <w:abstractNumId w:val="5"/>
  </w:num>
  <w:num w:numId="6" w16cid:durableId="808934119">
    <w:abstractNumId w:val="22"/>
  </w:num>
  <w:num w:numId="7" w16cid:durableId="2048681630">
    <w:abstractNumId w:val="31"/>
  </w:num>
  <w:num w:numId="8" w16cid:durableId="1361853511">
    <w:abstractNumId w:val="17"/>
  </w:num>
  <w:num w:numId="9" w16cid:durableId="1825273639">
    <w:abstractNumId w:val="42"/>
  </w:num>
  <w:num w:numId="10" w16cid:durableId="321199481">
    <w:abstractNumId w:val="4"/>
  </w:num>
  <w:num w:numId="11" w16cid:durableId="1614705377">
    <w:abstractNumId w:val="44"/>
  </w:num>
  <w:num w:numId="12" w16cid:durableId="1722631410">
    <w:abstractNumId w:val="18"/>
  </w:num>
  <w:num w:numId="13" w16cid:durableId="1155956702">
    <w:abstractNumId w:val="15"/>
  </w:num>
  <w:num w:numId="14" w16cid:durableId="1796409106">
    <w:abstractNumId w:val="45"/>
  </w:num>
  <w:num w:numId="15" w16cid:durableId="147863924">
    <w:abstractNumId w:val="43"/>
  </w:num>
  <w:num w:numId="16" w16cid:durableId="126630281">
    <w:abstractNumId w:val="36"/>
  </w:num>
  <w:num w:numId="17" w16cid:durableId="1388602780">
    <w:abstractNumId w:val="11"/>
  </w:num>
  <w:num w:numId="18" w16cid:durableId="151678194">
    <w:abstractNumId w:val="34"/>
  </w:num>
  <w:num w:numId="19" w16cid:durableId="1595824195">
    <w:abstractNumId w:val="16"/>
  </w:num>
  <w:num w:numId="20" w16cid:durableId="990445920">
    <w:abstractNumId w:val="13"/>
  </w:num>
  <w:num w:numId="21" w16cid:durableId="35929402">
    <w:abstractNumId w:val="19"/>
  </w:num>
  <w:num w:numId="22" w16cid:durableId="1363826857">
    <w:abstractNumId w:val="26"/>
  </w:num>
  <w:num w:numId="23" w16cid:durableId="357660094">
    <w:abstractNumId w:val="8"/>
  </w:num>
  <w:num w:numId="24" w16cid:durableId="13966607">
    <w:abstractNumId w:val="28"/>
  </w:num>
  <w:num w:numId="25" w16cid:durableId="1009063952">
    <w:abstractNumId w:val="9"/>
  </w:num>
  <w:num w:numId="26" w16cid:durableId="1171339563">
    <w:abstractNumId w:val="0"/>
  </w:num>
  <w:num w:numId="27" w16cid:durableId="439178931">
    <w:abstractNumId w:val="33"/>
  </w:num>
  <w:num w:numId="28" w16cid:durableId="821429934">
    <w:abstractNumId w:val="41"/>
  </w:num>
  <w:num w:numId="29" w16cid:durableId="526069031">
    <w:abstractNumId w:val="39"/>
  </w:num>
  <w:num w:numId="30" w16cid:durableId="879559491">
    <w:abstractNumId w:val="38"/>
  </w:num>
  <w:num w:numId="31" w16cid:durableId="19747529">
    <w:abstractNumId w:val="35"/>
  </w:num>
  <w:num w:numId="32" w16cid:durableId="221527511">
    <w:abstractNumId w:val="6"/>
  </w:num>
  <w:num w:numId="33" w16cid:durableId="2084863575">
    <w:abstractNumId w:val="12"/>
  </w:num>
  <w:num w:numId="34" w16cid:durableId="1267228548">
    <w:abstractNumId w:val="10"/>
  </w:num>
  <w:num w:numId="35" w16cid:durableId="2057392985">
    <w:abstractNumId w:val="27"/>
  </w:num>
  <w:num w:numId="36" w16cid:durableId="780497757">
    <w:abstractNumId w:val="2"/>
  </w:num>
  <w:num w:numId="37" w16cid:durableId="1748304837">
    <w:abstractNumId w:val="29"/>
  </w:num>
  <w:num w:numId="38" w16cid:durableId="116535012">
    <w:abstractNumId w:val="25"/>
  </w:num>
  <w:num w:numId="39" w16cid:durableId="405225011">
    <w:abstractNumId w:val="23"/>
  </w:num>
  <w:num w:numId="40" w16cid:durableId="700981526">
    <w:abstractNumId w:val="10"/>
  </w:num>
  <w:num w:numId="41" w16cid:durableId="1275752288">
    <w:abstractNumId w:val="7"/>
  </w:num>
  <w:num w:numId="42" w16cid:durableId="1837071070">
    <w:abstractNumId w:val="37"/>
  </w:num>
  <w:num w:numId="43" w16cid:durableId="648706895">
    <w:abstractNumId w:val="14"/>
  </w:num>
  <w:num w:numId="44" w16cid:durableId="1419249991">
    <w:abstractNumId w:val="32"/>
  </w:num>
  <w:num w:numId="45" w16cid:durableId="1631932342">
    <w:abstractNumId w:val="21"/>
  </w:num>
  <w:num w:numId="46" w16cid:durableId="1051879313">
    <w:abstractNumId w:val="1"/>
  </w:num>
  <w:num w:numId="47" w16cid:durableId="1019964049">
    <w:abstractNumId w:val="24"/>
  </w:num>
  <w:num w:numId="48" w16cid:durableId="1490099672">
    <w:abstractNumId w:val="21"/>
  </w:num>
  <w:num w:numId="49" w16cid:durableId="733890284">
    <w:abstractNumId w:val="27"/>
  </w:num>
  <w:numIdMacAtCleanup w:val="21"/>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ON Juliette">
    <w15:presenceInfo w15:providerId="AD" w15:userId="S-1-5-21-3163637644-1603862540-193579974-52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D03"/>
    <w:rsid w:val="00003567"/>
    <w:rsid w:val="0000532B"/>
    <w:rsid w:val="00012201"/>
    <w:rsid w:val="0004357B"/>
    <w:rsid w:val="00062906"/>
    <w:rsid w:val="00085014"/>
    <w:rsid w:val="00096783"/>
    <w:rsid w:val="000C2617"/>
    <w:rsid w:val="000C31F0"/>
    <w:rsid w:val="000D1C68"/>
    <w:rsid w:val="000E2891"/>
    <w:rsid w:val="00107207"/>
    <w:rsid w:val="001142A2"/>
    <w:rsid w:val="00135402"/>
    <w:rsid w:val="0017229C"/>
    <w:rsid w:val="001777B7"/>
    <w:rsid w:val="001817FD"/>
    <w:rsid w:val="001A223A"/>
    <w:rsid w:val="001B798C"/>
    <w:rsid w:val="001E2116"/>
    <w:rsid w:val="001E4714"/>
    <w:rsid w:val="001F1A08"/>
    <w:rsid w:val="001F2513"/>
    <w:rsid w:val="00200483"/>
    <w:rsid w:val="00215BD7"/>
    <w:rsid w:val="00222FAF"/>
    <w:rsid w:val="00225B24"/>
    <w:rsid w:val="002332EC"/>
    <w:rsid w:val="00247531"/>
    <w:rsid w:val="00252CC9"/>
    <w:rsid w:val="00253B34"/>
    <w:rsid w:val="002602F5"/>
    <w:rsid w:val="00262D72"/>
    <w:rsid w:val="002955DD"/>
    <w:rsid w:val="002B05D4"/>
    <w:rsid w:val="002F304D"/>
    <w:rsid w:val="00300028"/>
    <w:rsid w:val="003068DB"/>
    <w:rsid w:val="0031087D"/>
    <w:rsid w:val="00323F89"/>
    <w:rsid w:val="00324020"/>
    <w:rsid w:val="0033660A"/>
    <w:rsid w:val="0036243F"/>
    <w:rsid w:val="00377F6C"/>
    <w:rsid w:val="0039513F"/>
    <w:rsid w:val="003B0747"/>
    <w:rsid w:val="003B1BB5"/>
    <w:rsid w:val="003B5DB0"/>
    <w:rsid w:val="003C17B2"/>
    <w:rsid w:val="003E247F"/>
    <w:rsid w:val="003F23E9"/>
    <w:rsid w:val="003F3DCB"/>
    <w:rsid w:val="004153EF"/>
    <w:rsid w:val="00441BDF"/>
    <w:rsid w:val="00442BF4"/>
    <w:rsid w:val="004564C1"/>
    <w:rsid w:val="00457A40"/>
    <w:rsid w:val="00460A32"/>
    <w:rsid w:val="004678F1"/>
    <w:rsid w:val="0049154D"/>
    <w:rsid w:val="004C653C"/>
    <w:rsid w:val="004D2E04"/>
    <w:rsid w:val="004D5CA1"/>
    <w:rsid w:val="004E042A"/>
    <w:rsid w:val="004E3741"/>
    <w:rsid w:val="004E4A62"/>
    <w:rsid w:val="004F2A6D"/>
    <w:rsid w:val="00514EFF"/>
    <w:rsid w:val="00517431"/>
    <w:rsid w:val="00530DC5"/>
    <w:rsid w:val="00532312"/>
    <w:rsid w:val="005447C2"/>
    <w:rsid w:val="0057440C"/>
    <w:rsid w:val="00586237"/>
    <w:rsid w:val="005872B4"/>
    <w:rsid w:val="00587EF9"/>
    <w:rsid w:val="0059535D"/>
    <w:rsid w:val="0059756D"/>
    <w:rsid w:val="005A06B2"/>
    <w:rsid w:val="005A16F0"/>
    <w:rsid w:val="005A4876"/>
    <w:rsid w:val="005A518B"/>
    <w:rsid w:val="005B1C95"/>
    <w:rsid w:val="005B5EF4"/>
    <w:rsid w:val="005C3542"/>
    <w:rsid w:val="005D5021"/>
    <w:rsid w:val="005E440B"/>
    <w:rsid w:val="00610544"/>
    <w:rsid w:val="00626ADF"/>
    <w:rsid w:val="006302E0"/>
    <w:rsid w:val="00630756"/>
    <w:rsid w:val="0065615D"/>
    <w:rsid w:val="00667AE1"/>
    <w:rsid w:val="00695F2A"/>
    <w:rsid w:val="0069617F"/>
    <w:rsid w:val="006A49D4"/>
    <w:rsid w:val="006A5AD4"/>
    <w:rsid w:val="006B1885"/>
    <w:rsid w:val="006B26A3"/>
    <w:rsid w:val="006C1B3C"/>
    <w:rsid w:val="006C51BE"/>
    <w:rsid w:val="006C531F"/>
    <w:rsid w:val="006D54EB"/>
    <w:rsid w:val="006E14EE"/>
    <w:rsid w:val="007528A9"/>
    <w:rsid w:val="0075557F"/>
    <w:rsid w:val="0076293F"/>
    <w:rsid w:val="00770C54"/>
    <w:rsid w:val="00781BD8"/>
    <w:rsid w:val="00790494"/>
    <w:rsid w:val="00795F37"/>
    <w:rsid w:val="007A6175"/>
    <w:rsid w:val="007B46F8"/>
    <w:rsid w:val="007C248A"/>
    <w:rsid w:val="0085756A"/>
    <w:rsid w:val="00884A66"/>
    <w:rsid w:val="008B01DB"/>
    <w:rsid w:val="008B5803"/>
    <w:rsid w:val="008C6F20"/>
    <w:rsid w:val="008C773D"/>
    <w:rsid w:val="008E5DAB"/>
    <w:rsid w:val="008F2B81"/>
    <w:rsid w:val="008F3F49"/>
    <w:rsid w:val="00911FD4"/>
    <w:rsid w:val="00915B7D"/>
    <w:rsid w:val="00917BCE"/>
    <w:rsid w:val="00947A12"/>
    <w:rsid w:val="00954F2B"/>
    <w:rsid w:val="009947BD"/>
    <w:rsid w:val="009A646B"/>
    <w:rsid w:val="009C3B31"/>
    <w:rsid w:val="009D64FD"/>
    <w:rsid w:val="00A01129"/>
    <w:rsid w:val="00A10E19"/>
    <w:rsid w:val="00A12758"/>
    <w:rsid w:val="00A14DFE"/>
    <w:rsid w:val="00A36307"/>
    <w:rsid w:val="00A433F0"/>
    <w:rsid w:val="00A705AD"/>
    <w:rsid w:val="00A76264"/>
    <w:rsid w:val="00A8415D"/>
    <w:rsid w:val="00A914B2"/>
    <w:rsid w:val="00AB2B44"/>
    <w:rsid w:val="00AB6E33"/>
    <w:rsid w:val="00AC06D1"/>
    <w:rsid w:val="00AC693A"/>
    <w:rsid w:val="00AD0D51"/>
    <w:rsid w:val="00B07E04"/>
    <w:rsid w:val="00B16DBF"/>
    <w:rsid w:val="00B3253C"/>
    <w:rsid w:val="00B42F90"/>
    <w:rsid w:val="00B47055"/>
    <w:rsid w:val="00B50AC9"/>
    <w:rsid w:val="00B5446A"/>
    <w:rsid w:val="00B7006B"/>
    <w:rsid w:val="00B74A73"/>
    <w:rsid w:val="00B825DC"/>
    <w:rsid w:val="00BB1FE9"/>
    <w:rsid w:val="00BC5C2E"/>
    <w:rsid w:val="00BD1B9E"/>
    <w:rsid w:val="00BE38DE"/>
    <w:rsid w:val="00BF1E37"/>
    <w:rsid w:val="00C04157"/>
    <w:rsid w:val="00C0601F"/>
    <w:rsid w:val="00C06EDB"/>
    <w:rsid w:val="00C1305D"/>
    <w:rsid w:val="00C14EFD"/>
    <w:rsid w:val="00C15050"/>
    <w:rsid w:val="00C163D6"/>
    <w:rsid w:val="00C5454A"/>
    <w:rsid w:val="00C75BC4"/>
    <w:rsid w:val="00C83EBB"/>
    <w:rsid w:val="00C859B1"/>
    <w:rsid w:val="00C9052D"/>
    <w:rsid w:val="00CA20C0"/>
    <w:rsid w:val="00CA3976"/>
    <w:rsid w:val="00CB53B2"/>
    <w:rsid w:val="00D34AA8"/>
    <w:rsid w:val="00D5582A"/>
    <w:rsid w:val="00D57DCF"/>
    <w:rsid w:val="00D96631"/>
    <w:rsid w:val="00DA20D3"/>
    <w:rsid w:val="00DD067F"/>
    <w:rsid w:val="00DD0847"/>
    <w:rsid w:val="00DD727B"/>
    <w:rsid w:val="00DE7A70"/>
    <w:rsid w:val="00DF553F"/>
    <w:rsid w:val="00E23275"/>
    <w:rsid w:val="00E2335A"/>
    <w:rsid w:val="00E24DC4"/>
    <w:rsid w:val="00E456A0"/>
    <w:rsid w:val="00E51D1F"/>
    <w:rsid w:val="00E5378C"/>
    <w:rsid w:val="00E83E5D"/>
    <w:rsid w:val="00EB0D03"/>
    <w:rsid w:val="00EB3C80"/>
    <w:rsid w:val="00EB5FEA"/>
    <w:rsid w:val="00EB7274"/>
    <w:rsid w:val="00ED1B68"/>
    <w:rsid w:val="00EE269D"/>
    <w:rsid w:val="00EF2157"/>
    <w:rsid w:val="00F03370"/>
    <w:rsid w:val="00F22790"/>
    <w:rsid w:val="00F26543"/>
    <w:rsid w:val="00F543B8"/>
    <w:rsid w:val="00F56F4B"/>
    <w:rsid w:val="00F57A28"/>
    <w:rsid w:val="00F72F6F"/>
    <w:rsid w:val="00F77546"/>
    <w:rsid w:val="00FB1273"/>
    <w:rsid w:val="00FB78C1"/>
    <w:rsid w:val="00FD0725"/>
    <w:rsid w:val="00FD3956"/>
    <w:rsid w:val="00FF4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15D553"/>
  <w15:docId w15:val="{69666AD4-A8C1-483C-B132-EC2BAD61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link w:val="Titre1Car"/>
    <w:pPr>
      <w:keepNext/>
      <w:numPr>
        <w:numId w:val="45"/>
      </w:numPr>
      <w:spacing w:before="480" w:after="240" w:line="276" w:lineRule="auto"/>
      <w:outlineLvl w:val="0"/>
    </w:pPr>
    <w:rPr>
      <w:b/>
      <w:smallCaps/>
      <w:color w:val="3CB6EC"/>
      <w:sz w:val="24"/>
      <w:szCs w:val="24"/>
    </w:rPr>
  </w:style>
  <w:style w:type="paragraph" w:styleId="Titre2">
    <w:name w:val="heading 2"/>
    <w:basedOn w:val="Normal"/>
    <w:next w:val="Normal"/>
    <w:link w:val="Titre2Car"/>
    <w:pPr>
      <w:keepNext/>
      <w:numPr>
        <w:ilvl w:val="1"/>
        <w:numId w:val="45"/>
      </w:numPr>
      <w:spacing w:before="480" w:after="240" w:line="276" w:lineRule="auto"/>
      <w:outlineLvl w:val="1"/>
    </w:pPr>
    <w:rPr>
      <w:b/>
    </w:rPr>
  </w:style>
  <w:style w:type="paragraph" w:styleId="Titre3">
    <w:name w:val="heading 3"/>
    <w:basedOn w:val="Normal"/>
    <w:next w:val="Normal"/>
    <w:link w:val="Titre3Car"/>
    <w:pPr>
      <w:keepNext/>
      <w:keepLines/>
      <w:numPr>
        <w:ilvl w:val="2"/>
        <w:numId w:val="45"/>
      </w:numPr>
      <w:spacing w:before="40" w:after="0"/>
      <w:outlineLvl w:val="2"/>
    </w:pPr>
    <w:rPr>
      <w:rFonts w:ascii="Cambria" w:eastAsia="Cambria" w:hAnsi="Cambria" w:cs="Cambria"/>
      <w:color w:val="243F61"/>
      <w:sz w:val="24"/>
      <w:szCs w:val="24"/>
    </w:rPr>
  </w:style>
  <w:style w:type="paragraph" w:styleId="Titre4">
    <w:name w:val="heading 4"/>
    <w:basedOn w:val="Normal"/>
    <w:next w:val="Normal"/>
    <w:link w:val="Titre4Car"/>
    <w:pPr>
      <w:keepNext/>
      <w:keepLines/>
      <w:numPr>
        <w:ilvl w:val="3"/>
        <w:numId w:val="45"/>
      </w:numPr>
      <w:spacing w:before="240" w:after="40"/>
      <w:outlineLvl w:val="3"/>
    </w:pPr>
    <w:rPr>
      <w:b/>
      <w:sz w:val="24"/>
      <w:szCs w:val="24"/>
    </w:rPr>
  </w:style>
  <w:style w:type="paragraph" w:styleId="Titre5">
    <w:name w:val="heading 5"/>
    <w:basedOn w:val="Normal"/>
    <w:next w:val="Normal"/>
    <w:link w:val="Titre5Car"/>
    <w:pPr>
      <w:keepNext/>
      <w:numPr>
        <w:ilvl w:val="4"/>
        <w:numId w:val="45"/>
      </w:numPr>
      <w:outlineLvl w:val="4"/>
    </w:pPr>
    <w:rPr>
      <w:rFonts w:ascii="Garamond" w:eastAsia="Garamond" w:hAnsi="Garamond" w:cs="Garamond"/>
      <w:color w:val="000000"/>
      <w:u w:val="single"/>
    </w:rPr>
  </w:style>
  <w:style w:type="paragraph" w:styleId="Titre6">
    <w:name w:val="heading 6"/>
    <w:basedOn w:val="Normal"/>
    <w:next w:val="Normal"/>
    <w:link w:val="Titre6Car"/>
    <w:pPr>
      <w:keepNext/>
      <w:keepLines/>
      <w:numPr>
        <w:ilvl w:val="5"/>
        <w:numId w:val="45"/>
      </w:numPr>
      <w:spacing w:before="200" w:after="40"/>
      <w:outlineLvl w:val="5"/>
    </w:pPr>
    <w:rPr>
      <w:b/>
      <w:sz w:val="20"/>
      <w:szCs w:val="20"/>
    </w:rPr>
  </w:style>
  <w:style w:type="paragraph" w:styleId="Titre7">
    <w:name w:val="heading 7"/>
    <w:basedOn w:val="Normal"/>
    <w:next w:val="Normal"/>
    <w:link w:val="Titre7Car"/>
    <w:uiPriority w:val="9"/>
    <w:semiHidden/>
    <w:unhideWhenUsed/>
    <w:qFormat/>
    <w:pPr>
      <w:keepNext/>
      <w:keepLines/>
      <w:numPr>
        <w:ilvl w:val="6"/>
        <w:numId w:val="45"/>
      </w:numPr>
      <w:spacing w:before="40" w:after="0"/>
      <w:outlineLvl w:val="6"/>
    </w:pPr>
    <w:rPr>
      <w:rFonts w:ascii="Calibri" w:eastAsia="Calibri" w:hAnsi="Calibri" w:cs="Calibri"/>
      <w:i/>
      <w:iCs/>
      <w:color w:val="243F60" w:themeColor="accent1" w:themeShade="7F"/>
    </w:rPr>
  </w:style>
  <w:style w:type="paragraph" w:styleId="Titre8">
    <w:name w:val="heading 8"/>
    <w:basedOn w:val="Normal"/>
    <w:next w:val="Normal"/>
    <w:link w:val="Titre8Car"/>
    <w:uiPriority w:val="9"/>
    <w:semiHidden/>
    <w:unhideWhenUsed/>
    <w:qFormat/>
    <w:pPr>
      <w:keepNext/>
      <w:keepLines/>
      <w:numPr>
        <w:ilvl w:val="7"/>
        <w:numId w:val="45"/>
      </w:numPr>
      <w:spacing w:before="40" w:after="0"/>
      <w:outlineLvl w:val="7"/>
    </w:pPr>
    <w:rPr>
      <w:rFonts w:ascii="Calibri" w:eastAsia="Calibri" w:hAnsi="Calibri" w:cs="Calibri"/>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numPr>
        <w:ilvl w:val="8"/>
        <w:numId w:val="45"/>
      </w:numPr>
      <w:spacing w:before="40" w:after="0"/>
      <w:outlineLvl w:val="8"/>
    </w:pPr>
    <w:rPr>
      <w:rFonts w:ascii="Calibri" w:eastAsia="Calibri" w:hAnsi="Calibri" w:cs="Calibr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b/>
      <w:smallCaps/>
      <w:color w:val="3CB6EC"/>
      <w:sz w:val="24"/>
      <w:szCs w:val="24"/>
    </w:rPr>
  </w:style>
  <w:style w:type="character" w:customStyle="1" w:styleId="Titre2Car">
    <w:name w:val="Titre 2 Car"/>
    <w:basedOn w:val="Policepardfaut"/>
    <w:link w:val="Titre2"/>
    <w:rPr>
      <w:b/>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rPr>
      <w:b/>
      <w:sz w:val="24"/>
      <w:szCs w:val="24"/>
    </w:rPr>
  </w:style>
  <w:style w:type="character" w:customStyle="1" w:styleId="Titre5Car">
    <w:name w:val="Titre 5 Car"/>
    <w:basedOn w:val="Policepardfaut"/>
    <w:link w:val="Titre5"/>
    <w:rPr>
      <w:rFonts w:ascii="Garamond" w:eastAsia="Garamond" w:hAnsi="Garamond" w:cs="Garamond"/>
      <w:color w:val="000000"/>
      <w:u w:val="single"/>
    </w:rPr>
  </w:style>
  <w:style w:type="character" w:customStyle="1" w:styleId="Titre6Car">
    <w:name w:val="Titre 6 Car"/>
    <w:basedOn w:val="Policepardfaut"/>
    <w:link w:val="Titre6"/>
    <w:rPr>
      <w:b/>
      <w:sz w:val="20"/>
      <w:szCs w:val="20"/>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pPr>
      <w:spacing w:after="0"/>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pPr>
      <w:spacing w:after="0"/>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pPr>
      <w:spacing w:after="0"/>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pPr>
      <w:spacing w:after="0"/>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TableauNormal"/>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TableauNormal"/>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TableauNormal"/>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TableauNormal"/>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TableauNormal"/>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3">
    <w:name w:val="Grid Table 3"/>
    <w:basedOn w:val="Tableau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TableauNormal"/>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TableauNormal"/>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TableauNormal"/>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TableauNormal"/>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TableauNormal"/>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4">
    <w:name w:val="Grid Table 4"/>
    <w:basedOn w:val="TableauNormal"/>
    <w:uiPriority w:val="59"/>
    <w:pPr>
      <w:spacing w:after="0"/>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TableauNormal"/>
    <w:uiPriority w:val="5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TableauNormal"/>
    <w:uiPriority w:val="5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TableauNormal"/>
    <w:uiPriority w:val="5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TableauNormal"/>
    <w:uiPriority w:val="5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TableauNormal"/>
    <w:uiPriority w:val="5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5Fonc">
    <w:name w:val="Grid Table 5 Dark"/>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TableauGrille6Couleur">
    <w:name w:val="Grid Table 6 Colorful"/>
    <w:basedOn w:val="TableauNormal"/>
    <w:uiPriority w:val="99"/>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TableauListe2">
    <w:name w:val="List Table 2"/>
    <w:basedOn w:val="TableauNormal"/>
    <w:uiPriority w:val="99"/>
    <w:pPr>
      <w:spacing w:after="0"/>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pPr>
      <w:spacing w:after="0"/>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TableauNormal"/>
    <w:uiPriority w:val="99"/>
    <w:pPr>
      <w:spacing w:after="0"/>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TableauNormal"/>
    <w:uiPriority w:val="99"/>
    <w:pPr>
      <w:spacing w:after="0"/>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TableauNormal"/>
    <w:uiPriority w:val="99"/>
    <w:pPr>
      <w:spacing w:after="0"/>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TableauNormal"/>
    <w:uiPriority w:val="99"/>
    <w:pPr>
      <w:spacing w:after="0"/>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TableauNormal"/>
    <w:uiPriority w:val="99"/>
    <w:pPr>
      <w:spacing w:after="0"/>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leauListe3">
    <w:name w:val="List Table 3"/>
    <w:basedOn w:val="Tableau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TableauNormal"/>
    <w:uiPriority w:val="9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TableauNormal"/>
    <w:uiPriority w:val="9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TableauNormal"/>
    <w:uiPriority w:val="9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TableauNormal"/>
    <w:uiPriority w:val="9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TableauNormal"/>
    <w:uiPriority w:val="9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leauListe5Fonc">
    <w:name w:val="List Table 5 Dark"/>
    <w:basedOn w:val="TableauNormal"/>
    <w:uiPriority w:val="99"/>
    <w:pPr>
      <w:spacing w:after="0"/>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pPr>
      <w:spacing w:after="0"/>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TableauNormal"/>
    <w:uiPriority w:val="99"/>
    <w:pPr>
      <w:spacing w:after="0"/>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TableauNormal"/>
    <w:uiPriority w:val="99"/>
    <w:pPr>
      <w:spacing w:after="0"/>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TableauNormal"/>
    <w:uiPriority w:val="99"/>
    <w:pPr>
      <w:spacing w:after="0"/>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TableauNormal"/>
    <w:uiPriority w:val="99"/>
    <w:pPr>
      <w:spacing w:after="0"/>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TableauNormal"/>
    <w:uiPriority w:val="99"/>
    <w:pPr>
      <w:spacing w:after="0"/>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TableauListe6Couleur">
    <w:name w:val="List Table 6 Colorful"/>
    <w:basedOn w:val="TableauNormal"/>
    <w:uiPriority w:val="9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TableauNormal"/>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TableauNormal"/>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TableauNormal"/>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TableauNormal"/>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TableauNormal"/>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TableauNormal"/>
    <w:uiPriority w:val="99"/>
    <w:pPr>
      <w:spacing w:after="0"/>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pPr>
      <w:spacing w:after="0"/>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TableauNormal"/>
    <w:uiPriority w:val="99"/>
    <w:pPr>
      <w:spacing w:after="0"/>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TableauNormal"/>
    <w:uiPriority w:val="99"/>
    <w:pPr>
      <w:spacing w:after="0"/>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TableauNormal"/>
    <w:uiPriority w:val="99"/>
    <w:pPr>
      <w:spacing w:after="0"/>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TableauNormal"/>
    <w:uiPriority w:val="99"/>
    <w:pPr>
      <w:spacing w:after="0"/>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TableauNormal"/>
    <w:uiPriority w:val="99"/>
    <w:pPr>
      <w:spacing w:after="0"/>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TableauNormal"/>
    <w:uiPriority w:val="99"/>
    <w:pPr>
      <w:spacing w:after="0"/>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pPr>
      <w:keepNext/>
      <w:spacing w:before="240" w:after="120"/>
    </w:pPr>
    <w:rPr>
      <w:rFonts w:ascii="Liberation Sans" w:eastAsia="Liberation Sans" w:hAnsi="Liberation Sans" w:cs="Liberation Sans"/>
      <w:sz w:val="28"/>
      <w:szCs w:val="28"/>
    </w:rPr>
  </w:style>
  <w:style w:type="paragraph" w:styleId="Sous-titre">
    <w:name w:val="Subtitle"/>
    <w:basedOn w:val="Normal"/>
    <w:next w:val="Normal"/>
    <w:link w:val="Sous-titreCar"/>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103" w:type="dxa"/>
        <w:right w:w="115" w:type="dxa"/>
      </w:tblCellMar>
    </w:tblPr>
  </w:style>
  <w:style w:type="table" w:customStyle="1" w:styleId="StGen1">
    <w:name w:val="StGen1"/>
    <w:basedOn w:val="TableNormal"/>
    <w:rPr>
      <w:color w:val="000000"/>
    </w:rPr>
    <w:tblPr>
      <w:tblStyleRowBandSize w:val="1"/>
      <w:tblStyleColBandSize w:val="1"/>
      <w:tblCellMar>
        <w:left w:w="57" w:type="dxa"/>
        <w:right w:w="57" w:type="dxa"/>
      </w:tblCellMar>
    </w:tblPr>
    <w:tblStylePr w:type="firstRow">
      <w:rPr>
        <w:b/>
        <w:smallCaps/>
      </w:rPr>
      <w:tblPr/>
      <w:tcPr>
        <w:tcBorders>
          <w:bottom w:val="single" w:sz="4" w:space="0" w:color="7F7F7F"/>
        </w:tcBorders>
      </w:tcPr>
    </w:tblStylePr>
    <w:tblStylePr w:type="lastRow">
      <w:rPr>
        <w:b/>
        <w:smallCaps/>
      </w:rPr>
      <w:tblPr/>
      <w:tcPr>
        <w:tcBorders>
          <w:top w:val="none" w:sz="4" w:space="0" w:color="000000"/>
        </w:tcBorders>
      </w:tcPr>
    </w:tblStylePr>
    <w:tblStylePr w:type="firstCol">
      <w:rPr>
        <w:b/>
        <w:smallCaps/>
      </w:rPr>
      <w:tblPr/>
      <w:tcPr>
        <w:tcBorders>
          <w:right w:val="single" w:sz="4" w:space="0" w:color="7F7F7F"/>
        </w:tcBorders>
      </w:tcPr>
    </w:tblStylePr>
    <w:tblStylePr w:type="lastCol">
      <w:rPr>
        <w:b/>
        <w:smallCaps/>
      </w:rPr>
      <w:tblPr/>
      <w:tcPr>
        <w:tcBorders>
          <w:left w:val="none" w:sz="4" w:space="0" w:color="000000"/>
        </w:tcBorders>
      </w:tcPr>
    </w:tblStylePr>
    <w:tblStylePr w:type="band1Vert">
      <w:tblPr/>
      <w:tcPr>
        <w:shd w:val="clear" w:color="F2F2F2" w:fill="F2F2F2"/>
      </w:tcPr>
    </w:tblStylePr>
    <w:tblStylePr w:type="band1Horz">
      <w:tblPr/>
      <w:tcPr>
        <w:shd w:val="clear" w:color="F2F2F2" w:fill="F2F2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StGen2">
    <w:name w:val="StGen2"/>
    <w:basedOn w:val="TableNormal"/>
    <w:rPr>
      <w:color w:val="000000"/>
    </w:rPr>
    <w:tblPr>
      <w:tblStyleRowBandSize w:val="1"/>
      <w:tblStyleColBandSize w:val="1"/>
      <w:tblCellMar>
        <w:left w:w="57" w:type="dxa"/>
        <w:right w:w="57"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one" w:sz="4" w:space="0" w:color="000000"/>
          <w:insideV w:val="none" w:sz="4" w:space="0" w:color="000000"/>
        </w:tcBorders>
        <w:shd w:val="clear" w:color="000000"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CCCCCC" w:fill="CCCCCC"/>
      </w:tcPr>
    </w:tblStylePr>
    <w:tblStylePr w:type="band1Horz">
      <w:tblPr/>
      <w:tcPr>
        <w:shd w:val="clear" w:color="CCCCCC" w:fill="CCCCCC"/>
      </w:tcPr>
    </w:tblStylePr>
  </w:style>
  <w:style w:type="table" w:customStyle="1" w:styleId="StGen3">
    <w:name w:val="StGen3"/>
    <w:basedOn w:val="TableNormal"/>
    <w:rPr>
      <w:color w:val="000000"/>
    </w:rPr>
    <w:tblPr>
      <w:tblStyleRowBandSize w:val="1"/>
      <w:tblStyleColBandSize w:val="1"/>
      <w:tblCellMar>
        <w:left w:w="57" w:type="dxa"/>
        <w:right w:w="57" w:type="dxa"/>
      </w:tblCellMar>
    </w:tblPr>
    <w:tblStylePr w:type="firstRow">
      <w:rPr>
        <w:b/>
        <w:smallCaps/>
      </w:rPr>
      <w:tblPr/>
      <w:tcPr>
        <w:tcBorders>
          <w:bottom w:val="single" w:sz="4" w:space="0" w:color="7F7F7F"/>
        </w:tcBorders>
      </w:tcPr>
    </w:tblStylePr>
    <w:tblStylePr w:type="lastRow">
      <w:rPr>
        <w:b/>
        <w:smallCaps/>
      </w:rPr>
      <w:tblPr/>
      <w:tcPr>
        <w:tcBorders>
          <w:top w:val="none" w:sz="4" w:space="0" w:color="000000"/>
        </w:tcBorders>
      </w:tcPr>
    </w:tblStylePr>
    <w:tblStylePr w:type="firstCol">
      <w:rPr>
        <w:b/>
        <w:smallCaps/>
      </w:rPr>
      <w:tblPr/>
      <w:tcPr>
        <w:tcBorders>
          <w:right w:val="single" w:sz="4" w:space="0" w:color="7F7F7F"/>
        </w:tcBorders>
      </w:tcPr>
    </w:tblStylePr>
    <w:tblStylePr w:type="lastCol">
      <w:rPr>
        <w:b/>
        <w:smallCaps/>
      </w:rPr>
      <w:tblPr/>
      <w:tcPr>
        <w:tcBorders>
          <w:left w:val="none" w:sz="4" w:space="0" w:color="000000"/>
        </w:tcBorders>
      </w:tcPr>
    </w:tblStylePr>
    <w:tblStylePr w:type="band1Vert">
      <w:tblPr/>
      <w:tcPr>
        <w:shd w:val="clear" w:color="F2F2F2" w:fill="F2F2F2"/>
      </w:tcPr>
    </w:tblStylePr>
    <w:tblStylePr w:type="band1Horz">
      <w:tblPr/>
      <w:tcPr>
        <w:shd w:val="clear" w:color="F2F2F2" w:fill="F2F2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StGen4">
    <w:name w:val="StGen4"/>
    <w:basedOn w:val="TableNormal"/>
    <w:rPr>
      <w:color w:val="000000"/>
    </w:rPr>
    <w:tblPr>
      <w:tblStyleRowBandSize w:val="1"/>
      <w:tblStyleColBandSize w:val="1"/>
      <w:tblCellMar>
        <w:left w:w="57" w:type="dxa"/>
        <w:right w:w="57" w:type="dxa"/>
      </w:tblCellMar>
    </w:tblPr>
    <w:tblStylePr w:type="firstRow">
      <w:rPr>
        <w:b/>
        <w:smallCaps/>
      </w:rPr>
      <w:tblPr/>
      <w:tcPr>
        <w:tcBorders>
          <w:bottom w:val="single" w:sz="4" w:space="0" w:color="7F7F7F"/>
        </w:tcBorders>
      </w:tcPr>
    </w:tblStylePr>
    <w:tblStylePr w:type="lastRow">
      <w:rPr>
        <w:b/>
        <w:smallCaps/>
      </w:rPr>
      <w:tblPr/>
      <w:tcPr>
        <w:tcBorders>
          <w:top w:val="none" w:sz="4" w:space="0" w:color="000000"/>
        </w:tcBorders>
      </w:tcPr>
    </w:tblStylePr>
    <w:tblStylePr w:type="firstCol">
      <w:rPr>
        <w:b/>
        <w:smallCaps/>
      </w:rPr>
      <w:tblPr/>
      <w:tcPr>
        <w:tcBorders>
          <w:right w:val="single" w:sz="4" w:space="0" w:color="7F7F7F"/>
        </w:tcBorders>
      </w:tcPr>
    </w:tblStylePr>
    <w:tblStylePr w:type="lastCol">
      <w:rPr>
        <w:b/>
        <w:smallCaps/>
      </w:rPr>
      <w:tblPr/>
      <w:tcPr>
        <w:tcBorders>
          <w:left w:val="none" w:sz="4" w:space="0" w:color="000000"/>
        </w:tcBorders>
      </w:tcPr>
    </w:tblStylePr>
    <w:tblStylePr w:type="band1Vert">
      <w:tblPr/>
      <w:tcPr>
        <w:shd w:val="clear" w:color="F2F2F2" w:fill="F2F2F2"/>
      </w:tcPr>
    </w:tblStylePr>
    <w:tblStylePr w:type="band1Horz">
      <w:tblPr/>
      <w:tcPr>
        <w:shd w:val="clear" w:color="F2F2F2" w:fill="F2F2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StGen5">
    <w:name w:val="StGen5"/>
    <w:basedOn w:val="TableNormal"/>
    <w:rPr>
      <w:color w:val="000000"/>
    </w:rPr>
    <w:tblPr>
      <w:tblStyleRowBandSize w:val="1"/>
      <w:tblStyleColBandSize w:val="1"/>
      <w:tblCellMar>
        <w:left w:w="57" w:type="dxa"/>
        <w:right w:w="57" w:type="dxa"/>
      </w:tblCellMar>
    </w:tblPr>
    <w:tblStylePr w:type="firstRow">
      <w:rPr>
        <w:b/>
        <w:smallCaps/>
      </w:rPr>
      <w:tblPr/>
      <w:tcPr>
        <w:tcBorders>
          <w:bottom w:val="single" w:sz="4" w:space="0" w:color="7F7F7F"/>
        </w:tcBorders>
      </w:tcPr>
    </w:tblStylePr>
    <w:tblStylePr w:type="lastRow">
      <w:rPr>
        <w:b/>
        <w:smallCaps/>
      </w:rPr>
      <w:tblPr/>
      <w:tcPr>
        <w:tcBorders>
          <w:top w:val="none" w:sz="4" w:space="0" w:color="000000"/>
        </w:tcBorders>
      </w:tcPr>
    </w:tblStylePr>
    <w:tblStylePr w:type="firstCol">
      <w:rPr>
        <w:b/>
        <w:smallCaps/>
      </w:rPr>
      <w:tblPr/>
      <w:tcPr>
        <w:tcBorders>
          <w:right w:val="single" w:sz="4" w:space="0" w:color="7F7F7F"/>
        </w:tcBorders>
      </w:tcPr>
    </w:tblStylePr>
    <w:tblStylePr w:type="lastCol">
      <w:rPr>
        <w:b/>
        <w:smallCaps/>
      </w:rPr>
      <w:tblPr/>
      <w:tcPr>
        <w:tcBorders>
          <w:left w:val="none" w:sz="4" w:space="0" w:color="000000"/>
        </w:tcBorders>
      </w:tcPr>
    </w:tblStylePr>
    <w:tblStylePr w:type="band1Vert">
      <w:tblPr/>
      <w:tcPr>
        <w:shd w:val="clear" w:color="F2F2F2" w:fill="F2F2F2"/>
      </w:tcPr>
    </w:tblStylePr>
    <w:tblStylePr w:type="band1Horz">
      <w:tblPr/>
      <w:tcPr>
        <w:shd w:val="clear" w:color="F2F2F2" w:fill="F2F2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StGen6">
    <w:name w:val="StGen6"/>
    <w:basedOn w:val="TableNormal"/>
    <w:tblPr>
      <w:tblStyleRowBandSize w:val="1"/>
      <w:tblStyleColBandSize w:val="1"/>
      <w:tblCellMar>
        <w:left w:w="115" w:type="dxa"/>
        <w:right w:w="115" w:type="dxa"/>
      </w:tblCellMar>
    </w:tblPr>
  </w:style>
  <w:style w:type="paragraph" w:styleId="Commentaire">
    <w:name w:val="annotation text"/>
    <w:basedOn w:val="Normal"/>
    <w:link w:val="CommentaireCar"/>
    <w:uiPriority w:val="99"/>
    <w:unhideWhenUsed/>
    <w:qFormat/>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nhideWhenUsed/>
    <w:qFormat/>
    <w:rPr>
      <w:sz w:val="16"/>
      <w:szCs w:val="16"/>
    </w:rPr>
  </w:style>
  <w:style w:type="paragraph" w:styleId="Textedebulles">
    <w:name w:val="Balloon Text"/>
    <w:basedOn w:val="Normal"/>
    <w:link w:val="TextedebullesCar"/>
    <w:uiPriority w:val="99"/>
    <w:semiHidden/>
    <w:unhideWhenUse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Paragraphedeliste">
    <w:name w:val="List Paragraph"/>
    <w:aliases w:val="Paragraphe EI,EC,Colorful List Accent 1,Paragraphe de liste11,Liste couleur - Accent 11,List Paragraph (numbered (a)),List_Paragraph,Multilevel para_II,List Paragraph1,Rec para,Dot pt,F5 List Paragraph,Puce,L,No Spacing1,Listes,3"/>
    <w:basedOn w:val="Normal"/>
    <w:link w:val="ParagraphedelisteCar"/>
    <w:qFormat/>
    <w:pPr>
      <w:ind w:left="720"/>
      <w:contextualSpacing/>
    </w:pPr>
  </w:style>
  <w:style w:type="paragraph" w:customStyle="1" w:styleId="Default">
    <w:name w:val="Default"/>
    <w:pPr>
      <w:spacing w:after="0"/>
      <w:jc w:val="left"/>
    </w:pPr>
    <w:rPr>
      <w:color w:val="000000"/>
      <w:sz w:val="24"/>
      <w:szCs w:val="24"/>
    </w:rPr>
  </w:style>
  <w:style w:type="paragraph" w:styleId="Notedebasdepage">
    <w:name w:val="footnote text"/>
    <w:basedOn w:val="Normal"/>
    <w:link w:val="NotedebasdepageCar"/>
    <w:uiPriority w:val="99"/>
    <w:unhideWhenUsed/>
    <w:qFormat/>
    <w:pPr>
      <w:spacing w:after="0"/>
    </w:pPr>
    <w:rPr>
      <w:sz w:val="20"/>
      <w:szCs w:val="20"/>
    </w:rPr>
  </w:style>
  <w:style w:type="character" w:customStyle="1" w:styleId="NotedebasdepageCar">
    <w:name w:val="Note de bas de page Car"/>
    <w:basedOn w:val="Policepardfaut"/>
    <w:link w:val="Notedebasdepage"/>
    <w:uiPriority w:val="99"/>
    <w:qFormat/>
    <w:rPr>
      <w:sz w:val="20"/>
      <w:szCs w:val="20"/>
    </w:rPr>
  </w:style>
  <w:style w:type="character" w:styleId="Appelnotedebasdep">
    <w:name w:val="footnote reference"/>
    <w:aliases w:val="fr,ftref,BVI fnr,Footnote Reference Number,Error-Fußnotenzeichen5,Error-Fußnotenzeichen6,Error-Fußnotenzeichen3,Footnote Reference1,Error-Fu?notenzeichen5,Error-Fu?notenzeichen6,Error-Fu?notenzeichen3,referencia nota al pie,Nota"/>
    <w:basedOn w:val="Policepardfaut"/>
    <w:uiPriority w:val="99"/>
    <w:unhideWhenUsed/>
    <w:qFormat/>
    <w:rPr>
      <w:vertAlign w:val="superscript"/>
    </w:rPr>
  </w:style>
  <w:style w:type="paragraph" w:styleId="Pieddepage">
    <w:name w:val="footer"/>
    <w:basedOn w:val="Normal"/>
    <w:link w:val="PieddepageCar"/>
    <w:uiPriority w:val="99"/>
    <w:unhideWhenUsed/>
    <w:pPr>
      <w:tabs>
        <w:tab w:val="center" w:pos="4536"/>
        <w:tab w:val="right" w:pos="9072"/>
      </w:tabs>
      <w:spacing w:after="0"/>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Pr>
      <w:color w:val="0000FF" w:themeColor="hyperlink"/>
      <w:u w:val="single"/>
    </w:rPr>
  </w:style>
  <w:style w:type="paragraph" w:styleId="En-tte">
    <w:name w:val="header"/>
    <w:basedOn w:val="Normal"/>
    <w:link w:val="En-tteCar"/>
    <w:unhideWhenUsed/>
    <w:pPr>
      <w:tabs>
        <w:tab w:val="center" w:pos="4536"/>
        <w:tab w:val="right" w:pos="9072"/>
      </w:tabs>
      <w:spacing w:after="0"/>
    </w:pPr>
  </w:style>
  <w:style w:type="character" w:customStyle="1" w:styleId="En-tteCar">
    <w:name w:val="En-tête Car"/>
    <w:basedOn w:val="Policepardfaut"/>
    <w:link w:val="En-tte"/>
  </w:style>
  <w:style w:type="paragraph" w:styleId="TM1">
    <w:name w:val="toc 1"/>
    <w:basedOn w:val="Normal"/>
    <w:next w:val="Normal"/>
    <w:uiPriority w:val="39"/>
    <w:unhideWhenUsed/>
    <w:pPr>
      <w:tabs>
        <w:tab w:val="left" w:pos="440"/>
        <w:tab w:val="right" w:leader="dot" w:pos="9060"/>
      </w:tabs>
      <w:spacing w:after="100"/>
    </w:pPr>
    <w:rPr>
      <w:rFonts w:ascii="Marianne" w:hAnsi="Marianne"/>
      <w:b/>
    </w:rPr>
  </w:style>
  <w:style w:type="paragraph" w:styleId="TM2">
    <w:name w:val="toc 2"/>
    <w:basedOn w:val="Normal"/>
    <w:next w:val="Normal"/>
    <w:uiPriority w:val="39"/>
    <w:unhideWhenUsed/>
    <w:pPr>
      <w:tabs>
        <w:tab w:val="left" w:pos="880"/>
        <w:tab w:val="right" w:leader="dot" w:pos="9060"/>
      </w:tabs>
      <w:spacing w:after="100"/>
      <w:ind w:left="220"/>
    </w:pPr>
  </w:style>
  <w:style w:type="paragraph" w:styleId="TM3">
    <w:name w:val="toc 3"/>
    <w:basedOn w:val="Normal"/>
    <w:next w:val="Normal"/>
    <w:uiPriority w:val="39"/>
    <w:unhideWhenUsed/>
    <w:pPr>
      <w:spacing w:after="100"/>
      <w:ind w:left="440"/>
    </w:pPr>
  </w:style>
  <w:style w:type="character" w:styleId="lev">
    <w:name w:val="Strong"/>
    <w:basedOn w:val="Policepardfaut"/>
    <w:uiPriority w:val="22"/>
    <w:qFormat/>
    <w:rPr>
      <w:b/>
      <w:bCs/>
    </w:rPr>
  </w:style>
  <w:style w:type="character" w:styleId="Lienhypertextesuivivisit">
    <w:name w:val="FollowedHyperlink"/>
    <w:basedOn w:val="Policepardfaut"/>
    <w:uiPriority w:val="99"/>
    <w:semiHidden/>
    <w:unhideWhenUsed/>
    <w:rPr>
      <w:color w:val="800080" w:themeColor="followedHyperlink"/>
      <w:u w:val="single"/>
    </w:rPr>
  </w:style>
  <w:style w:type="paragraph" w:styleId="Rvision">
    <w:name w:val="Revision"/>
    <w:hidden/>
    <w:uiPriority w:val="99"/>
    <w:semiHidden/>
    <w:pPr>
      <w:spacing w:after="0"/>
      <w:jc w:val="left"/>
    </w:pPr>
  </w:style>
  <w:style w:type="table" w:styleId="Grilledutableau">
    <w:name w:val="Table Grid"/>
    <w:aliases w:val="Tableau CISI"/>
    <w:basedOn w:val="TableauNormal"/>
    <w:pPr>
      <w:spacing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aireCar1">
    <w:name w:val="Commentaire Car1"/>
    <w:uiPriority w:val="99"/>
    <w:qFormat/>
    <w:rPr>
      <w:rFonts w:ascii="Arial" w:hAnsi="Arial" w:cs="Arial"/>
      <w:lang w:eastAsia="ar-SA"/>
    </w:rPr>
  </w:style>
  <w:style w:type="paragraph" w:customStyle="1" w:styleId="titre10">
    <w:name w:val="_titre 1"/>
    <w:basedOn w:val="Normal"/>
    <w:qFormat/>
    <w:pPr>
      <w:spacing w:after="840"/>
      <w:jc w:val="left"/>
    </w:pPr>
    <w:rPr>
      <w:rFonts w:eastAsia="Cambria"/>
      <w:b/>
      <w:bCs/>
      <w:color w:val="000000" w:themeColor="text1"/>
      <w:sz w:val="60"/>
      <w:szCs w:val="60"/>
      <w:lang w:eastAsia="en-US"/>
    </w:rPr>
  </w:style>
  <w:style w:type="paragraph" w:customStyle="1" w:styleId="textecourant">
    <w:name w:val="_texte courant"/>
    <w:basedOn w:val="Normal"/>
    <w:qFormat/>
    <w:pPr>
      <w:spacing w:after="120" w:line="290" w:lineRule="exact"/>
      <w:jc w:val="left"/>
    </w:pPr>
    <w:rPr>
      <w:rFonts w:eastAsia="Times New Roman"/>
    </w:rPr>
  </w:style>
  <w:style w:type="paragraph" w:customStyle="1" w:styleId="inter2">
    <w:name w:val="_inter 2"/>
    <w:basedOn w:val="NormalWeb"/>
    <w:link w:val="inter2Car"/>
    <w:qFormat/>
    <w:pPr>
      <w:spacing w:after="120" w:line="300" w:lineRule="exact"/>
      <w:jc w:val="left"/>
    </w:pPr>
    <w:rPr>
      <w:rFonts w:ascii="Arial" w:eastAsia="Times New Roman" w:hAnsi="Arial" w:cs="Arial"/>
      <w:color w:val="00AC8C"/>
      <w:sz w:val="26"/>
      <w:szCs w:val="26"/>
    </w:rPr>
  </w:style>
  <w:style w:type="paragraph" w:customStyle="1" w:styleId="inter">
    <w:name w:val="_inter"/>
    <w:basedOn w:val="textecourant"/>
    <w:qFormat/>
    <w:pPr>
      <w:spacing w:before="240" w:line="370" w:lineRule="exact"/>
    </w:pPr>
    <w:rPr>
      <w:color w:val="5770BE"/>
      <w:sz w:val="30"/>
      <w:szCs w:val="30"/>
    </w:rPr>
  </w:style>
  <w:style w:type="character" w:customStyle="1" w:styleId="inter2Car">
    <w:name w:val="_inter 2 Car"/>
    <w:basedOn w:val="Policepardfaut"/>
    <w:link w:val="inter2"/>
    <w:rPr>
      <w:rFonts w:eastAsia="Times New Roman"/>
      <w:color w:val="00AC8C"/>
      <w:sz w:val="26"/>
      <w:szCs w:val="26"/>
    </w:rPr>
  </w:style>
  <w:style w:type="character" w:customStyle="1" w:styleId="bold">
    <w:name w:val="bold"/>
    <w:basedOn w:val="Policepardfaut"/>
    <w:uiPriority w:val="99"/>
  </w:style>
  <w:style w:type="paragraph" w:styleId="NormalWeb">
    <w:name w:val="Normal (Web)"/>
    <w:basedOn w:val="Normal"/>
    <w:uiPriority w:val="99"/>
    <w:semiHidden/>
    <w:unhideWhenUsed/>
    <w:rPr>
      <w:rFonts w:ascii="Times New Roman" w:hAnsi="Times New Roman" w:cs="Times New Roman"/>
      <w:sz w:val="24"/>
      <w:szCs w:val="24"/>
    </w:rPr>
  </w:style>
  <w:style w:type="paragraph" w:customStyle="1" w:styleId="Paragraphedeliste1">
    <w:name w:val="Paragraphe de liste1"/>
    <w:basedOn w:val="Normal"/>
    <w:qFormat/>
    <w:pPr>
      <w:ind w:left="708"/>
      <w:jc w:val="left"/>
    </w:pPr>
    <w:rPr>
      <w:rFonts w:eastAsia="Times New Roman"/>
      <w:sz w:val="20"/>
      <w:szCs w:val="20"/>
      <w:lang w:eastAsia="ar-SA"/>
    </w:rPr>
  </w:style>
  <w:style w:type="paragraph" w:styleId="Sansinterligne">
    <w:name w:val="No Spacing"/>
    <w:uiPriority w:val="1"/>
    <w:qFormat/>
    <w:pPr>
      <w:spacing w:after="0"/>
    </w:pPr>
  </w:style>
  <w:style w:type="paragraph" w:customStyle="1" w:styleId="Normal11">
    <w:name w:val="Normal11"/>
    <w:qFormat/>
    <w:pPr>
      <w:jc w:val="left"/>
    </w:pPr>
    <w:rPr>
      <w:rFonts w:eastAsia="SimSun"/>
      <w:color w:val="000000"/>
      <w:sz w:val="24"/>
      <w:szCs w:val="24"/>
      <w:lang w:eastAsia="ar-SA" w:bidi="hi-IN"/>
    </w:rPr>
  </w:style>
  <w:style w:type="character" w:customStyle="1" w:styleId="LienInternet">
    <w:name w:val="Lien Internet"/>
    <w:basedOn w:val="Policepardfaut"/>
    <w:uiPriority w:val="99"/>
    <w:unhideWhenUsed/>
    <w:rPr>
      <w:color w:val="0000FF" w:themeColor="hyperlink"/>
      <w:u w:val="single"/>
    </w:rPr>
  </w:style>
  <w:style w:type="paragraph" w:customStyle="1" w:styleId="Puces3">
    <w:name w:val="Puces 3"/>
    <w:basedOn w:val="Normal"/>
    <w:uiPriority w:val="99"/>
    <w:pPr>
      <w:tabs>
        <w:tab w:val="left" w:pos="1701"/>
      </w:tabs>
      <w:spacing w:before="60"/>
    </w:pPr>
    <w:rPr>
      <w:rFonts w:ascii="Cambria" w:eastAsia="Times New Roman" w:hAnsi="Cambria" w:cs="Times New Roman"/>
      <w:color w:val="00000A"/>
      <w:sz w:val="20"/>
      <w:szCs w:val="20"/>
    </w:rPr>
  </w:style>
  <w:style w:type="character" w:customStyle="1" w:styleId="Mentionnonrsolue1">
    <w:name w:val="Mention non résolue1"/>
    <w:basedOn w:val="Policepardfaut"/>
    <w:uiPriority w:val="99"/>
    <w:semiHidden/>
    <w:unhideWhenUsed/>
    <w:rPr>
      <w:color w:val="605E5C"/>
      <w:shd w:val="clear" w:color="E1DFDD" w:fill="E1DFDD"/>
    </w:rPr>
  </w:style>
  <w:style w:type="character" w:customStyle="1" w:styleId="Mentionnonrsolue2">
    <w:name w:val="Mention non résolue2"/>
    <w:basedOn w:val="Policepardfaut"/>
    <w:uiPriority w:val="99"/>
    <w:semiHidden/>
    <w:unhideWhenUsed/>
    <w:rPr>
      <w:color w:val="605E5C"/>
      <w:shd w:val="clear" w:color="E1DFDD" w:fill="E1DFDD"/>
    </w:rPr>
  </w:style>
  <w:style w:type="character" w:customStyle="1" w:styleId="Titre7Car">
    <w:name w:val="Titre 7 Car"/>
    <w:basedOn w:val="Policepardfaut"/>
    <w:link w:val="Titre7"/>
    <w:uiPriority w:val="9"/>
    <w:semiHidden/>
    <w:rPr>
      <w:rFonts w:ascii="Calibri" w:eastAsia="Calibri" w:hAnsi="Calibri" w:cs="Calibri"/>
      <w:i/>
      <w:iCs/>
      <w:color w:val="243F60" w:themeColor="accent1" w:themeShade="7F"/>
    </w:rPr>
  </w:style>
  <w:style w:type="character" w:customStyle="1" w:styleId="Titre8Car">
    <w:name w:val="Titre 8 Car"/>
    <w:basedOn w:val="Policepardfaut"/>
    <w:link w:val="Titre8"/>
    <w:uiPriority w:val="9"/>
    <w:semiHidden/>
    <w:rPr>
      <w:rFonts w:ascii="Calibri" w:eastAsia="Calibri" w:hAnsi="Calibri" w:cs="Calibri"/>
      <w:color w:val="272727" w:themeColor="text1" w:themeTint="D8"/>
      <w:sz w:val="21"/>
      <w:szCs w:val="21"/>
    </w:rPr>
  </w:style>
  <w:style w:type="character" w:customStyle="1" w:styleId="Titre9Car">
    <w:name w:val="Titre 9 Car"/>
    <w:basedOn w:val="Policepardfaut"/>
    <w:link w:val="Titre9"/>
    <w:uiPriority w:val="9"/>
    <w:semiHidden/>
    <w:rPr>
      <w:rFonts w:ascii="Calibri" w:eastAsia="Calibri" w:hAnsi="Calibri" w:cs="Calibri"/>
      <w:i/>
      <w:iCs/>
      <w:color w:val="272727" w:themeColor="text1" w:themeTint="D8"/>
      <w:sz w:val="21"/>
      <w:szCs w:val="21"/>
    </w:rPr>
  </w:style>
  <w:style w:type="character" w:customStyle="1" w:styleId="Titre3Car">
    <w:name w:val="Titre 3 Car"/>
    <w:basedOn w:val="Policepardfaut"/>
    <w:link w:val="Titre3"/>
    <w:rPr>
      <w:rFonts w:ascii="Cambria" w:eastAsia="Cambria" w:hAnsi="Cambria" w:cs="Cambria"/>
      <w:color w:val="243F61"/>
      <w:sz w:val="24"/>
      <w:szCs w:val="24"/>
    </w:rPr>
  </w:style>
  <w:style w:type="character" w:customStyle="1" w:styleId="Mentionnonrsolue3">
    <w:name w:val="Mention non résolue3"/>
    <w:basedOn w:val="Policepardfaut"/>
    <w:uiPriority w:val="99"/>
    <w:semiHidden/>
    <w:unhideWhenUsed/>
    <w:rPr>
      <w:color w:val="605E5C"/>
      <w:shd w:val="clear" w:color="E1DFDD" w:fill="E1DFDD"/>
    </w:rPr>
  </w:style>
  <w:style w:type="character" w:customStyle="1" w:styleId="ParagraphedelisteCar">
    <w:name w:val="Paragraphe de liste Car"/>
    <w:aliases w:val="Paragraphe EI Car,EC Car,Colorful List Accent 1 Car,Paragraphe de liste11 Car,Liste couleur - Accent 11 Car,List Paragraph (numbered (a)) Car,List_Paragraph Car,Multilevel para_II Car,List Paragraph1 Car,Rec para Car,Dot pt Car"/>
    <w:basedOn w:val="Policepardfaut"/>
    <w:link w:val="Paragraphedeliste"/>
    <w:qFormat/>
  </w:style>
  <w:style w:type="character" w:customStyle="1" w:styleId="Ancredenotedebasdepage">
    <w:name w:val="Ancre de note de bas de page"/>
    <w:rPr>
      <w:rFonts w:cs="Times New Roman"/>
      <w:vertAlign w:val="superscript"/>
    </w:rPr>
  </w:style>
  <w:style w:type="character" w:customStyle="1" w:styleId="NotedebasdepageCar1">
    <w:name w:val="Note de bas de page Car1"/>
    <w:basedOn w:val="Policepardfaut"/>
    <w:uiPriority w:val="99"/>
    <w:qFormat/>
    <w:locked/>
    <w:rsid w:val="00300028"/>
    <w:rPr>
      <w:rFonts w:ascii="Arial" w:hAnsi="Arial" w:cs="Arial"/>
      <w:color w:val="00000A"/>
      <w:sz w:val="22"/>
      <w:lang w:eastAsia="ar-SA"/>
    </w:rPr>
  </w:style>
  <w:style w:type="paragraph" w:customStyle="1" w:styleId="Normal1">
    <w:name w:val="Normal1"/>
    <w:qFormat/>
    <w:rsid w:val="0031087D"/>
    <w:pPr>
      <w:widowControl w:val="0"/>
      <w:suppressAutoHyphens/>
      <w:spacing w:after="0"/>
      <w:jc w:val="left"/>
    </w:pPr>
    <w:rPr>
      <w:rFonts w:ascii="Liberation Serif" w:eastAsia="SimSun" w:hAnsi="Liberation Serif" w:cs="Mangal"/>
      <w:color w:val="00000A"/>
      <w:sz w:val="24"/>
      <w:szCs w:val="24"/>
      <w:lang w:eastAsia="zh-CN" w:bidi="hi-IN"/>
    </w:rPr>
  </w:style>
  <w:style w:type="character" w:styleId="Rfrenceintense">
    <w:name w:val="Intense Reference"/>
    <w:basedOn w:val="Policepardfaut"/>
    <w:uiPriority w:val="32"/>
    <w:qFormat/>
    <w:rsid w:val="006A5AD4"/>
    <w:rPr>
      <w:b/>
      <w:bCs/>
      <w:smallCaps/>
      <w:color w:val="4F81BD" w:themeColor="accent1"/>
      <w:spacing w:val="5"/>
    </w:rPr>
  </w:style>
  <w:style w:type="character" w:styleId="Textedelespacerserv">
    <w:name w:val="Placeholder Text"/>
    <w:basedOn w:val="Policepardfaut"/>
    <w:uiPriority w:val="99"/>
    <w:semiHidden/>
    <w:rsid w:val="00CB53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9" Type="http://schemas.openxmlformats.org/officeDocument/2006/relationships/footer" Target="footer2.xml"/><Relationship Id="rId51" Type="http://schemas.onlyoffice.com/commentsIdsDocument" Target="commentsIdsDocument.xml"/><Relationship Id="rId3" Type="http://schemas.openxmlformats.org/officeDocument/2006/relationships/styles" Target="styles.xml"/><Relationship Id="rId34" Type="http://schemas.openxmlformats.org/officeDocument/2006/relationships/hyperlink" Target="https://agirpourlatransition.ademe.fr/" TargetMode="External"/><Relationship Id="rId42" Type="http://schemas.openxmlformats.org/officeDocument/2006/relationships/header" Target="header5.xml"/><Relationship Id="rId47" Type="http://schemas.openxmlformats.org/officeDocument/2006/relationships/theme" Target="theme/theme1.xml"/><Relationship Id="rId50" Type="http://schemas.onlyoffice.com/peopleDocument" Target="peopleDocument.xml"/><Relationship Id="rId55" Type="http://schemas.onlyoffice.com/commentsDocument" Target="commentsDocument.xml"/><Relationship Id="rId7" Type="http://schemas.openxmlformats.org/officeDocument/2006/relationships/endnotes" Target="endnotes.xml"/><Relationship Id="rId33" Type="http://schemas.openxmlformats.org/officeDocument/2006/relationships/hyperlink" Target="mailto:aap.tase@ademe.fr" TargetMode="External"/><Relationship Id="rId38" Type="http://schemas.openxmlformats.org/officeDocument/2006/relationships/header" Target="header3.xml"/><Relationship Id="rId46" Type="http://schemas.openxmlformats.org/officeDocument/2006/relationships/fontTable" Target="fontTable.xml"/><Relationship Id="rId2" Type="http://schemas.openxmlformats.org/officeDocument/2006/relationships/numbering" Target="numbering.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openxmlformats.org/officeDocument/2006/relationships/image" Target="media/image7.emf"/><Relationship Id="rId37" Type="http://schemas.openxmlformats.org/officeDocument/2006/relationships/footer" Target="footer1.xml"/><Relationship Id="rId40" Type="http://schemas.openxmlformats.org/officeDocument/2006/relationships/hyperlink" Target="https://www.ademe.fr/sites/default/files/assets/documents/faq_ia_ademe.pdf" TargetMode="External"/><Relationship Id="rId45" Type="http://schemas.openxmlformats.org/officeDocument/2006/relationships/footer" Target="footer4.xml"/><Relationship Id="rId53" Type="http://schemas.onlyoffice.com/commentsExtensibleDocument" Target="commentsExtensibleDocument.xml"/><Relationship Id="rId5" Type="http://schemas.openxmlformats.org/officeDocument/2006/relationships/webSettings" Target="webSettings.xml"/><Relationship Id="rId36" Type="http://schemas.openxmlformats.org/officeDocument/2006/relationships/header" Target="header2.xml"/><Relationship Id="rId10" Type="http://schemas.openxmlformats.org/officeDocument/2006/relationships/image" Target="media/image3.png"/><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35" Type="http://schemas.openxmlformats.org/officeDocument/2006/relationships/header" Target="header1.xml"/><Relationship Id="rId43" Type="http://schemas.openxmlformats.org/officeDocument/2006/relationships/footer" Target="footer3.xml"/><Relationship Id="rId56" Type="http://schemas.onlyoffice.com/commentsExtendedDocument" Target="commentsExtendedDocument.xml"/></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7.jpg"/></Relationships>
</file>

<file path=word/_rels/footnotes.xml.rels><?xml version="1.0" encoding="UTF-8" standalone="yes"?>
<Relationships xmlns="http://schemas.openxmlformats.org/package/2006/relationships"><Relationship Id="rId2" Type="http://schemas.openxmlformats.org/officeDocument/2006/relationships/hyperlink" Target="https://www.legifrance.gouv.fr/affichTexte.do?cidTexte=JORFTEXT000019961059" TargetMode="External"/><Relationship Id="rId1" Type="http://schemas.openxmlformats.org/officeDocument/2006/relationships/hyperlink" Target="https://op.europa.eu/fr/publication-detail/-/publication/79c0ce87-f4dc-11e6-8a35-01aa75ed71a1"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10.png"/><Relationship Id="rId1" Type="http://schemas.openxmlformats.org/officeDocument/2006/relationships/image" Target="media/image5.pn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F3325-BDAD-4FC7-85BD-76EF1E6A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4764</Words>
  <Characters>26202</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ABECASSIS Geoffrey</dc:creator>
  <cp:lastModifiedBy>FRANCOIS-MARTIN Olivier</cp:lastModifiedBy>
  <cp:revision>5</cp:revision>
  <cp:lastPrinted>2022-09-12T08:53:00Z</cp:lastPrinted>
  <dcterms:created xsi:type="dcterms:W3CDTF">2022-02-10T11:37:00Z</dcterms:created>
  <dcterms:modified xsi:type="dcterms:W3CDTF">2023-05-11T12:11:00Z</dcterms:modified>
</cp:coreProperties>
</file>