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0066" w14:textId="25EB7D5C" w:rsidR="00116CE1" w:rsidRPr="007E3E3A" w:rsidRDefault="001E6EF6" w:rsidP="006107C4">
      <w:pPr>
        <w:jc w:val="center"/>
        <w:rPr>
          <w:b/>
          <w:sz w:val="28"/>
          <w:highlight w:val="yellow"/>
        </w:rPr>
      </w:pPr>
      <w:r w:rsidRPr="001E6EF6">
        <w:rPr>
          <w:b/>
          <w:sz w:val="28"/>
        </w:rPr>
        <w:t>DECLARATION DES AIDES D'ETAT DANS LE CADRE</w:t>
      </w:r>
      <w:r w:rsidR="006107C4">
        <w:rPr>
          <w:b/>
          <w:sz w:val="28"/>
        </w:rPr>
        <w:t xml:space="preserve"> DES </w:t>
      </w:r>
      <w:r w:rsidR="006107C4" w:rsidRPr="007E3E3A">
        <w:rPr>
          <w:b/>
          <w:sz w:val="28"/>
        </w:rPr>
        <w:t>CONDITIONS DE L’ART. 14 RGEC</w:t>
      </w:r>
    </w:p>
    <w:p w14:paraId="2F33276E" w14:textId="77777777" w:rsidR="007E3E3A" w:rsidRDefault="007E3E3A" w:rsidP="00C77839">
      <w:pPr>
        <w:rPr>
          <w:highlight w:val="yellow"/>
        </w:rPr>
      </w:pPr>
    </w:p>
    <w:p w14:paraId="4994D57F" w14:textId="2BD54134" w:rsidR="006107C4" w:rsidRDefault="007E3E3A" w:rsidP="00C77839">
      <w:r w:rsidRPr="007E3E3A">
        <w:rPr>
          <w:highlight w:val="yellow"/>
        </w:rPr>
        <w:t>CODE NACE :</w:t>
      </w:r>
      <w:r>
        <w:t xml:space="preserve"> </w:t>
      </w:r>
    </w:p>
    <w:p w14:paraId="3B940813" w14:textId="77777777" w:rsidR="007E3E3A" w:rsidRDefault="007E3E3A" w:rsidP="00C77839"/>
    <w:p w14:paraId="42E82520" w14:textId="587C81FF" w:rsidR="00C77839" w:rsidRPr="001E6EF6" w:rsidRDefault="00C77839" w:rsidP="00C77839">
      <w:r w:rsidRPr="001E6EF6">
        <w:t>Je soussigné,</w:t>
      </w:r>
      <w:r w:rsidR="0031120A">
        <w:t xml:space="preserve"> </w:t>
      </w:r>
      <w:r w:rsidR="0031120A" w:rsidRPr="0031120A">
        <w:rPr>
          <w:highlight w:val="yellow"/>
        </w:rPr>
        <w:t>&lt;</w:t>
      </w:r>
      <w:proofErr w:type="spellStart"/>
      <w:r w:rsidR="0031120A" w:rsidRPr="0031120A">
        <w:rPr>
          <w:highlight w:val="yellow"/>
        </w:rPr>
        <w:t>nom_du_signataire</w:t>
      </w:r>
      <w:proofErr w:type="spellEnd"/>
      <w:r w:rsidR="0031120A" w:rsidRPr="0031120A">
        <w:rPr>
          <w:highlight w:val="yellow"/>
        </w:rPr>
        <w:t>&gt;</w:t>
      </w:r>
      <w:r w:rsidR="0031120A">
        <w:t xml:space="preserve"> </w:t>
      </w:r>
      <w:r w:rsidRPr="001E6EF6">
        <w:t xml:space="preserve">représentant légal ou dûment habilité de </w:t>
      </w:r>
      <w:r w:rsidR="0031120A">
        <w:rPr>
          <w:highlight w:val="yellow"/>
        </w:rPr>
        <w:t>&lt;</w:t>
      </w:r>
      <w:proofErr w:type="spellStart"/>
      <w:r w:rsidR="0031120A">
        <w:rPr>
          <w:highlight w:val="yellow"/>
        </w:rPr>
        <w:t>nom_de_l’entreprise</w:t>
      </w:r>
      <w:proofErr w:type="spellEnd"/>
      <w:r w:rsidR="0031120A" w:rsidRPr="0031120A">
        <w:rPr>
          <w:highlight w:val="yellow"/>
        </w:rPr>
        <w:t xml:space="preserve"> &gt;</w:t>
      </w:r>
      <w:r w:rsidRPr="001E6EF6">
        <w:tab/>
      </w:r>
      <w:r w:rsidRPr="001E6EF6">
        <w:tab/>
      </w:r>
    </w:p>
    <w:p w14:paraId="5EE52500" w14:textId="74EA1EBA" w:rsidR="00C77839" w:rsidRPr="001E6EF6" w:rsidRDefault="00C77839" w:rsidP="00C77839">
      <w:proofErr w:type="gramStart"/>
      <w:r w:rsidRPr="002E1BDC">
        <w:rPr>
          <w:b/>
          <w:u w:val="single"/>
        </w:rPr>
        <w:t>entreprise</w:t>
      </w:r>
      <w:proofErr w:type="gramEnd"/>
      <w:r w:rsidRPr="002E1BDC">
        <w:rPr>
          <w:b/>
          <w:u w:val="single"/>
        </w:rPr>
        <w:t xml:space="preserve"> unique</w:t>
      </w:r>
      <w:r w:rsidRPr="001E6EF6">
        <w:t xml:space="preserve"> au sens de la définition figurant à l'article 2.2 du règlement (UE) n°1407/2013 de la Commission du 18 décembre 2013 relatif à l'application des articles 107 et 108 sur le fonctionnement de l'Union européenne aux aides de </w:t>
      </w:r>
      <w:r w:rsidRPr="00771085">
        <w:t>minimis (1),</w:t>
      </w:r>
      <w:r w:rsidRPr="001E6EF6">
        <w:t xml:space="preserve"> </w:t>
      </w:r>
      <w:r w:rsidRPr="007E3E3A">
        <w:rPr>
          <w:highlight w:val="yellow"/>
        </w:rPr>
        <w:t>certifie</w:t>
      </w:r>
      <w:r w:rsidR="006107C4" w:rsidRPr="007E3E3A">
        <w:rPr>
          <w:highlight w:val="yellow"/>
        </w:rPr>
        <w:t xml:space="preserve"> que</w:t>
      </w:r>
      <w:r w:rsidRPr="001E6EF6">
        <w:t xml:space="preserve"> :</w:t>
      </w:r>
      <w:r w:rsidRPr="001E6EF6">
        <w:tab/>
      </w:r>
      <w:r w:rsidRPr="001E6EF6">
        <w:tab/>
      </w:r>
      <w:r w:rsidRPr="001E6EF6">
        <w:tab/>
      </w:r>
      <w:r w:rsidRPr="001E6EF6">
        <w:tab/>
      </w:r>
    </w:p>
    <w:p w14:paraId="675E6B6C" w14:textId="699D8D3C" w:rsidR="006107C4" w:rsidRDefault="001E6EF6" w:rsidP="006107C4">
      <w:r>
        <w:sym w:font="Symbol" w:char="F07F"/>
      </w:r>
      <w:r w:rsidR="006107C4">
        <w:t xml:space="preserve"> Si votre projet concerne un changement fondamental dans le processus de production, les coûts admissibles excèdent l’amortissement des actifs liés à l’activité à moderniser au cours des trois exercices précédents.</w:t>
      </w:r>
    </w:p>
    <w:p w14:paraId="2C4BF6FC" w14:textId="4771AA1F" w:rsidR="006107C4" w:rsidRDefault="006107C4" w:rsidP="006107C4">
      <w:r>
        <w:sym w:font="Symbol" w:char="F07F"/>
      </w:r>
      <w:r>
        <w:t xml:space="preserve"> Si votre projet concerne la diversification des activités d’un établissement existant, les coûts admissibles excèdent d’au moins 200 % la valeur comptable des actifs réutilisés, telle qu’enregistrée au cours de l’exercice précédant le début des travaux. </w:t>
      </w:r>
    </w:p>
    <w:p w14:paraId="794EF8D6" w14:textId="4FC4B8D0" w:rsidR="006107C4" w:rsidRDefault="006107C4" w:rsidP="006107C4">
      <w:r>
        <w:sym w:font="Symbol" w:char="F07F"/>
      </w:r>
      <w:r>
        <w:t xml:space="preserve"> L’investissement est maintenu dans la zone bénéficiaire pendant un minimum de cinq ans. Cette condition n’empêche pas le remplacement d’une installation ou d’un équipement devenus obsolètes ou endommagés, pour autant que l’activité économique soit maintenue dans la zone considérée pendant la période minimale susmentionnée. </w:t>
      </w:r>
    </w:p>
    <w:p w14:paraId="65AD1B08" w14:textId="7D2D09A7" w:rsidR="006107C4" w:rsidRDefault="006107C4" w:rsidP="006107C4">
      <w:r>
        <w:sym w:font="Symbol" w:char="F07F"/>
      </w:r>
      <w:r>
        <w:t xml:space="preserve"> Vous n’avez pas procédé à une délocalisation vers l’établissement dans lequel doit avoir lieu l’investissement initial pour lequel l’aide est demandée, dans les deux années précédant la demande d’aide </w:t>
      </w:r>
    </w:p>
    <w:p w14:paraId="20A1ABEA" w14:textId="77777777" w:rsidR="007E3E3A" w:rsidRDefault="006107C4" w:rsidP="006107C4">
      <w:r>
        <w:sym w:font="Symbol" w:char="F07F"/>
      </w:r>
      <w:r>
        <w:t xml:space="preserve"> Vous vous engagez à ne pas le faire dans les deux ans à compter de l’achèvement de l’investissement initial pour lequel l’aide est demandée. En ce qui concerne les engagements pris avant le 31 décembre 2019, toute perte d’emploi, dans une activité identique ou similaire dans un des établissements initiaux du bénéficiaire dans l’EEE, intervenant entre le 1er janvier 2020 et le 30 juin 2021, n’est pas considérée comme un transfert au sens de l’annexe I du présent régime.</w:t>
      </w:r>
    </w:p>
    <w:p w14:paraId="4E6284A6" w14:textId="77777777" w:rsidR="007E3E3A" w:rsidRDefault="007E3E3A" w:rsidP="007E3E3A">
      <w:pPr>
        <w:suppressAutoHyphens w:val="0"/>
        <w:spacing w:before="0" w:after="160" w:line="259" w:lineRule="auto"/>
        <w:jc w:val="left"/>
        <w:rPr>
          <w:b/>
          <w:sz w:val="18"/>
        </w:rPr>
      </w:pPr>
    </w:p>
    <w:p w14:paraId="754D02E0" w14:textId="3E1F539B" w:rsidR="007E3E3A" w:rsidRDefault="007E3E3A" w:rsidP="007E3E3A">
      <w:pPr>
        <w:suppressAutoHyphens w:val="0"/>
        <w:spacing w:before="0" w:after="160" w:line="259" w:lineRule="auto"/>
        <w:jc w:val="left"/>
        <w:rPr>
          <w:sz w:val="18"/>
        </w:rPr>
      </w:pPr>
      <w:r>
        <w:rPr>
          <w:b/>
          <w:sz w:val="18"/>
        </w:rPr>
        <w:t xml:space="preserve">Fait à </w:t>
      </w:r>
      <w:sdt>
        <w:sdtPr>
          <w:rPr>
            <w:b/>
            <w:sz w:val="18"/>
          </w:rPr>
          <w:id w:val="493148432"/>
          <w:placeholder>
            <w:docPart w:val="06F050DC6EDC490FA99FBE864B6E447B"/>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449465464"/>
          <w:placeholder>
            <w:docPart w:val="06F050DC6EDC490FA99FBE864B6E447B"/>
          </w:placeholder>
        </w:sdtPr>
        <w:sdtEndPr>
          <w:rPr>
            <w:b w:val="0"/>
          </w:rPr>
        </w:sdtEndPr>
        <w:sdtContent>
          <w:r>
            <w:rPr>
              <w:sz w:val="18"/>
            </w:rPr>
            <w:t>………………</w:t>
          </w:r>
        </w:sdtContent>
      </w:sdt>
      <w:r>
        <w:rPr>
          <w:sz w:val="18"/>
        </w:rPr>
        <w:t>,</w:t>
      </w:r>
    </w:p>
    <w:p w14:paraId="52D740B1" w14:textId="77777777" w:rsidR="001E7242" w:rsidRDefault="001E7242" w:rsidP="007E3E3A">
      <w:pPr>
        <w:suppressAutoHyphens w:val="0"/>
        <w:spacing w:before="0" w:after="160" w:line="259" w:lineRule="auto"/>
        <w:jc w:val="left"/>
        <w:rPr>
          <w:sz w:val="18"/>
        </w:rPr>
      </w:pPr>
    </w:p>
    <w:p w14:paraId="26744788" w14:textId="5B2E9AC9" w:rsidR="007E3E3A" w:rsidRDefault="001E7242" w:rsidP="007E3E3A">
      <w:pPr>
        <w:suppressAutoHyphens w:val="0"/>
        <w:spacing w:before="0" w:after="160" w:line="259" w:lineRule="auto"/>
        <w:jc w:val="left"/>
        <w:rPr>
          <w:b/>
          <w:bCs/>
          <w:sz w:val="18"/>
        </w:rPr>
      </w:pPr>
      <w:r w:rsidRPr="001E7242">
        <w:rPr>
          <w:b/>
          <w:bCs/>
          <w:sz w:val="18"/>
        </w:rPr>
        <w:t>Signature et cachet de l’entreprise :</w:t>
      </w:r>
    </w:p>
    <w:p w14:paraId="25F4E7F0" w14:textId="3F72B0A3" w:rsidR="001E7242" w:rsidRDefault="001E7242" w:rsidP="007E3E3A">
      <w:pPr>
        <w:suppressAutoHyphens w:val="0"/>
        <w:spacing w:before="0" w:after="160" w:line="259" w:lineRule="auto"/>
        <w:jc w:val="left"/>
        <w:rPr>
          <w:b/>
          <w:bCs/>
          <w:sz w:val="18"/>
        </w:rPr>
      </w:pPr>
    </w:p>
    <w:p w14:paraId="2DEF3DE0" w14:textId="4E2579FD" w:rsidR="001E7242" w:rsidRDefault="001E7242" w:rsidP="007E3E3A">
      <w:pPr>
        <w:suppressAutoHyphens w:val="0"/>
        <w:spacing w:before="0" w:after="160" w:line="259" w:lineRule="auto"/>
        <w:jc w:val="left"/>
        <w:rPr>
          <w:b/>
          <w:bCs/>
          <w:sz w:val="18"/>
        </w:rPr>
      </w:pPr>
    </w:p>
    <w:p w14:paraId="0EC5C0EB" w14:textId="5386C153" w:rsidR="001E7242" w:rsidRDefault="001E7242" w:rsidP="007E3E3A">
      <w:pPr>
        <w:suppressAutoHyphens w:val="0"/>
        <w:spacing w:before="0" w:after="160" w:line="259" w:lineRule="auto"/>
        <w:jc w:val="left"/>
        <w:rPr>
          <w:b/>
          <w:bCs/>
          <w:sz w:val="18"/>
        </w:rPr>
      </w:pPr>
    </w:p>
    <w:p w14:paraId="73B371B4" w14:textId="461DFD74" w:rsidR="001E7242" w:rsidRDefault="001E7242" w:rsidP="007E3E3A">
      <w:pPr>
        <w:suppressAutoHyphens w:val="0"/>
        <w:spacing w:before="0" w:after="160" w:line="259" w:lineRule="auto"/>
        <w:jc w:val="left"/>
        <w:rPr>
          <w:b/>
          <w:bCs/>
          <w:sz w:val="18"/>
        </w:rPr>
      </w:pPr>
    </w:p>
    <w:p w14:paraId="079116BF" w14:textId="64225B6D" w:rsidR="001E7242" w:rsidRDefault="001E7242" w:rsidP="007E3E3A">
      <w:pPr>
        <w:suppressAutoHyphens w:val="0"/>
        <w:spacing w:before="0" w:after="160" w:line="259" w:lineRule="auto"/>
        <w:jc w:val="left"/>
        <w:rPr>
          <w:b/>
          <w:bCs/>
          <w:sz w:val="18"/>
        </w:rPr>
      </w:pPr>
    </w:p>
    <w:p w14:paraId="151A4DBA" w14:textId="2D2485FA" w:rsidR="001E7242" w:rsidRDefault="001E7242" w:rsidP="007E3E3A">
      <w:pPr>
        <w:suppressAutoHyphens w:val="0"/>
        <w:spacing w:before="0" w:after="160" w:line="259" w:lineRule="auto"/>
        <w:jc w:val="left"/>
        <w:rPr>
          <w:b/>
          <w:bCs/>
          <w:sz w:val="18"/>
        </w:rPr>
      </w:pPr>
    </w:p>
    <w:p w14:paraId="6D34A481" w14:textId="1797DD28" w:rsidR="001E7242" w:rsidRDefault="001E7242" w:rsidP="007E3E3A">
      <w:pPr>
        <w:suppressAutoHyphens w:val="0"/>
        <w:spacing w:before="0" w:after="160" w:line="259" w:lineRule="auto"/>
        <w:jc w:val="left"/>
        <w:rPr>
          <w:b/>
          <w:bCs/>
          <w:sz w:val="18"/>
        </w:rPr>
      </w:pPr>
    </w:p>
    <w:p w14:paraId="380BF769" w14:textId="77777777" w:rsidR="001E7242" w:rsidRPr="007E3E3A" w:rsidRDefault="001E7242" w:rsidP="007E3E3A">
      <w:pPr>
        <w:suppressAutoHyphens w:val="0"/>
        <w:spacing w:before="0" w:after="160" w:line="259" w:lineRule="auto"/>
        <w:jc w:val="left"/>
        <w:rPr>
          <w:noProof/>
          <w:sz w:val="18"/>
          <w:szCs w:val="20"/>
          <w:highlight w:val="yellow"/>
        </w:rPr>
      </w:pPr>
    </w:p>
    <w:p w14:paraId="55E9057F" w14:textId="77777777" w:rsidR="007E3E3A" w:rsidRPr="007E3E3A" w:rsidRDefault="007E3E3A" w:rsidP="007E3E3A">
      <w:pPr>
        <w:pStyle w:val="Paragraphedeliste"/>
        <w:numPr>
          <w:ilvl w:val="0"/>
          <w:numId w:val="10"/>
        </w:numPr>
        <w:suppressAutoHyphens w:val="0"/>
        <w:spacing w:before="0" w:after="160" w:line="259" w:lineRule="auto"/>
        <w:jc w:val="left"/>
        <w:rPr>
          <w:i/>
          <w:noProof/>
          <w:sz w:val="18"/>
          <w:szCs w:val="20"/>
        </w:rPr>
      </w:pPr>
      <w:r w:rsidRPr="007E3E3A">
        <w:rPr>
          <w:b/>
          <w:i/>
          <w:noProof/>
          <w:sz w:val="18"/>
          <w:szCs w:val="20"/>
          <w:u w:val="single"/>
        </w:rPr>
        <w:lastRenderedPageBreak/>
        <w:t>« entreprise unique »</w:t>
      </w:r>
      <w:r w:rsidRPr="007E3E3A">
        <w:rPr>
          <w:i/>
          <w:noProof/>
          <w:sz w:val="18"/>
          <w:szCs w:val="20"/>
        </w:rPr>
        <w:t> au sens de la définition figurant à l'article 2.2 du règlement (UE) n°1407/2013 de la Commission du 18 décembre 2013 relatif à l'application des articles 107 et 108 sur le fonctionnement de l'Union européenne aux aides de minimis : Une « entreprise unique » se compose de toutes les entreprise qui entretiennent entre elles au moins l’une des relations suivantes :</w:t>
      </w:r>
    </w:p>
    <w:p w14:paraId="6784B1DA"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la majorité des droits de vote des actionnaires ou associés d’une autre entreprise ;</w:t>
      </w:r>
    </w:p>
    <w:p w14:paraId="68A7D46E"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 nommer ou de révoquer la majorité de membres de l’organe d’administration, de direction ou de surveillane d’une autres entreprise ;</w:t>
      </w:r>
    </w:p>
    <w:p w14:paraId="098D70CE"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d’exercer une influence dominante sur une autres entreprise en vertu d’un contrat conclu avec celle-ci ou en vertu d’une clause des statuts de celle-ci ;</w:t>
      </w:r>
    </w:p>
    <w:p w14:paraId="122D5772"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actionnaire ou associée d’une autre entreprise contôle seule, en vertu d’un accord conclu avec d’autres actionnaires ou associés de cette autre entreprise, la majorité des droits de vote des actionnaires ou associés de celle-ci.</w:t>
      </w:r>
    </w:p>
    <w:p w14:paraId="57FF87D5" w14:textId="1FC39673" w:rsidR="00C77839" w:rsidRPr="007E3E3A" w:rsidRDefault="007E3E3A" w:rsidP="007E3E3A">
      <w:pPr>
        <w:suppressAutoHyphens w:val="0"/>
        <w:spacing w:before="0" w:after="160" w:line="259" w:lineRule="auto"/>
        <w:ind w:left="420"/>
        <w:jc w:val="left"/>
        <w:rPr>
          <w:i/>
          <w:noProof/>
          <w:sz w:val="18"/>
          <w:szCs w:val="20"/>
        </w:rPr>
      </w:pPr>
      <w:r w:rsidRPr="007E3E3A">
        <w:rPr>
          <w:i/>
          <w:noProof/>
          <w:sz w:val="18"/>
          <w:szCs w:val="20"/>
        </w:rPr>
        <w:t>Les entreprises qui entretiennent au moins une des relations visées au premier alinéa, points a) à d) à travers une ou plusieurs autres entreprises sont également considérées comme une entreprise unique.</w:t>
      </w:r>
    </w:p>
    <w:p w14:paraId="2AF9E21D" w14:textId="77777777" w:rsidR="00173CD5" w:rsidRDefault="00173CD5" w:rsidP="006107C4">
      <w:pPr>
        <w:rPr>
          <w:b/>
          <w:bCs/>
        </w:rPr>
      </w:pPr>
    </w:p>
    <w:p w14:paraId="4D09D45B" w14:textId="49217DE6" w:rsidR="006107C4" w:rsidRDefault="00173CD5" w:rsidP="006107C4">
      <w:pPr>
        <w:rPr>
          <w:b/>
          <w:bCs/>
        </w:rPr>
      </w:pPr>
      <w:r>
        <w:rPr>
          <w:b/>
          <w:bCs/>
        </w:rPr>
        <w:t>A</w:t>
      </w:r>
      <w:r w:rsidR="006107C4">
        <w:rPr>
          <w:b/>
          <w:bCs/>
        </w:rPr>
        <w:t xml:space="preserve">nnexe 1 – Définitions </w:t>
      </w:r>
    </w:p>
    <w:p w14:paraId="24E7B154" w14:textId="77777777" w:rsidR="00173CD5" w:rsidRDefault="00173CD5" w:rsidP="006107C4">
      <w:pPr>
        <w:rPr>
          <w:rFonts w:asciiTheme="minorHAnsi" w:hAnsiTheme="minorHAnsi"/>
          <w:b/>
          <w:bCs/>
        </w:rPr>
      </w:pPr>
    </w:p>
    <w:p w14:paraId="4E7FD18F" w14:textId="77777777" w:rsidR="006107C4" w:rsidRDefault="006107C4" w:rsidP="006107C4">
      <w:proofErr w:type="gramStart"/>
      <w:r>
        <w:t>«investissement</w:t>
      </w:r>
      <w:proofErr w:type="gramEnd"/>
      <w:r>
        <w:t xml:space="preserve"> initial»: </w:t>
      </w:r>
    </w:p>
    <w:p w14:paraId="18974174" w14:textId="77777777" w:rsidR="006107C4" w:rsidRDefault="006107C4" w:rsidP="006107C4">
      <w:pPr>
        <w:ind w:left="708"/>
      </w:pPr>
      <w:r>
        <w:t xml:space="preserve">a) tout investissement dans des actifs corporels et incorporels se rapportant à la création d'un établissement, à l'extension des capacités d'un établissement existant, à la diversification de la production d'un établissement vers des produits qu'il ne produisait pas auparavant ou à un changement fondamental de l'ensemble du processus de production d'un établissement existant, </w:t>
      </w:r>
      <w:proofErr w:type="gramStart"/>
      <w:r>
        <w:t>ou</w:t>
      </w:r>
      <w:proofErr w:type="gramEnd"/>
      <w:r>
        <w:t xml:space="preserve"> </w:t>
      </w:r>
    </w:p>
    <w:p w14:paraId="7DB6C532" w14:textId="4F643D8A" w:rsidR="006107C4" w:rsidRDefault="006107C4" w:rsidP="006107C4">
      <w:pPr>
        <w:ind w:left="708"/>
      </w:pPr>
      <w:r>
        <w:t xml:space="preserve">b) toute acquisition d'actifs appartenant à un établissement qui a fermé, ou aurait fermé sans cette acquisition, et qui est racheté par un investisseur non lié au vendeur, à l'exclusion de la simple acquisition des parts d'une </w:t>
      </w:r>
      <w:proofErr w:type="gramStart"/>
      <w:r>
        <w:t>entreprise;</w:t>
      </w:r>
      <w:proofErr w:type="gramEnd"/>
    </w:p>
    <w:p w14:paraId="5399AA27" w14:textId="77777777" w:rsidR="00173CD5" w:rsidRDefault="00173CD5" w:rsidP="006107C4">
      <w:pPr>
        <w:ind w:left="708"/>
      </w:pPr>
    </w:p>
    <w:p w14:paraId="1A3E05F7" w14:textId="77777777" w:rsidR="006107C4" w:rsidRDefault="006107C4" w:rsidP="006107C4">
      <w:proofErr w:type="gramStart"/>
      <w:r>
        <w:t>«investissement</w:t>
      </w:r>
      <w:proofErr w:type="gramEnd"/>
      <w:r>
        <w:t xml:space="preserve"> initial en faveur d'une nouvelle activité économique»: </w:t>
      </w:r>
    </w:p>
    <w:p w14:paraId="58779AB6" w14:textId="77777777" w:rsidR="006107C4" w:rsidRDefault="006107C4" w:rsidP="006107C4">
      <w:pPr>
        <w:ind w:left="708"/>
      </w:pPr>
      <w:r>
        <w:t xml:space="preserve">a) tout investissement dans des actifs corporels et incorporels se rapportant à la création d'un établissement ou à la diversification de l'activité d'un établissement, à la condition que la nouvelle activité ne soit pas identique ni similaire à celle exercée précédemment au sein de l'établissement, </w:t>
      </w:r>
    </w:p>
    <w:p w14:paraId="7F772AFB" w14:textId="77777777" w:rsidR="006107C4" w:rsidRDefault="006107C4" w:rsidP="006107C4">
      <w:pPr>
        <w:ind w:left="708"/>
      </w:pPr>
      <w:r>
        <w:t xml:space="preserve">b) l'acquisition des actifs appartenant à un établissement qui a fermé, ou aurait fermé sans cette acquisition, et qui est racheté par un investisseur non lié au vendeur, à la condition que la nouvelle activité exercée grâce aux actifs acquis ne soit pas identique ni similaire à celle exercée au sein de l'établissement avant </w:t>
      </w:r>
      <w:proofErr w:type="gramStart"/>
      <w:r>
        <w:t>l'acquisition;</w:t>
      </w:r>
      <w:proofErr w:type="gramEnd"/>
    </w:p>
    <w:p w14:paraId="19B8CA7C" w14:textId="77777777" w:rsidR="006107C4" w:rsidRDefault="006107C4" w:rsidP="006107C4">
      <w:pPr>
        <w:ind w:left="708"/>
      </w:pPr>
    </w:p>
    <w:p w14:paraId="613CAEB8" w14:textId="77777777" w:rsidR="006107C4" w:rsidRDefault="006107C4" w:rsidP="006107C4">
      <w:proofErr w:type="gramStart"/>
      <w:r>
        <w:t>«activité</w:t>
      </w:r>
      <w:proofErr w:type="gramEnd"/>
      <w:r>
        <w:t xml:space="preserve"> identique ou similaire»: </w:t>
      </w:r>
    </w:p>
    <w:p w14:paraId="7007A11B" w14:textId="26D9A8E9" w:rsidR="006107C4" w:rsidRDefault="006107C4" w:rsidP="006107C4">
      <w:pPr>
        <w:ind w:left="708"/>
      </w:pPr>
      <w:proofErr w:type="gramStart"/>
      <w:r>
        <w:t>toute</w:t>
      </w:r>
      <w:proofErr w:type="gramEnd"/>
      <w:r>
        <w:t xml:space="preserve"> activité relevant de la même catégorie (code à quatre chiffres) de la NACE Rév. </w:t>
      </w:r>
      <w:proofErr w:type="gramStart"/>
      <w:r>
        <w:t>2:</w:t>
      </w:r>
      <w:proofErr w:type="gramEnd"/>
      <w:r>
        <w:t xml:space="preserve"> nomenclature statistique des activités économiques, conformément au règlement (CE) no 1893/2006 du Parlement européen et du Conseil du 20 décembre 2006 établissant la nomenclature statistique des activités économiques NACE Rév. 2 et modifiant le règlement (CEE) no 3037/90 du Conseil ainsi que certains règlements (CE) relatifs à des domaines statistiques spécifiques (1</w:t>
      </w:r>
      <w:proofErr w:type="gramStart"/>
      <w:r>
        <w:t>);</w:t>
      </w:r>
      <w:proofErr w:type="gramEnd"/>
    </w:p>
    <w:p w14:paraId="0731A79F" w14:textId="16F8425A" w:rsidR="001E7242" w:rsidRDefault="001E7242" w:rsidP="006107C4">
      <w:pPr>
        <w:ind w:left="708"/>
      </w:pPr>
    </w:p>
    <w:p w14:paraId="2EB8CBA6" w14:textId="77777777" w:rsidR="006107C4" w:rsidRDefault="006107C4" w:rsidP="00173CD5"/>
    <w:sectPr w:rsidR="006107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E8" w14:textId="77777777" w:rsidR="00AC19DC" w:rsidRDefault="00AC19DC" w:rsidP="001840C3">
      <w:pPr>
        <w:spacing w:before="0" w:after="0"/>
      </w:pPr>
      <w:r>
        <w:separator/>
      </w:r>
    </w:p>
  </w:endnote>
  <w:endnote w:type="continuationSeparator" w:id="0">
    <w:p w14:paraId="7424996C"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7D" w14:textId="099B1E11" w:rsidR="00504AB4" w:rsidRDefault="00504AB4" w:rsidP="00C55EE3">
    <w:pPr>
      <w:pStyle w:val="Pieddepage"/>
      <w:jc w:val="right"/>
    </w:pPr>
    <w:r>
      <w:rPr>
        <w:i/>
        <w:sz w:val="16"/>
        <w:szCs w:val="16"/>
      </w:rPr>
      <w:t>Parapher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98FC" w14:textId="77777777" w:rsidR="00AC19DC" w:rsidRDefault="00AC19DC" w:rsidP="001840C3">
      <w:pPr>
        <w:spacing w:before="0" w:after="0"/>
      </w:pPr>
      <w:r>
        <w:separator/>
      </w:r>
    </w:p>
  </w:footnote>
  <w:footnote w:type="continuationSeparator" w:id="0">
    <w:p w14:paraId="3207D8E0" w14:textId="77777777" w:rsidR="00AC19DC" w:rsidRDefault="00AC19DC" w:rsidP="001840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50C" w14:textId="77777777" w:rsidR="007E3E3A" w:rsidRDefault="007E3E3A" w:rsidP="007E3E3A">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5FD8A817" wp14:editId="15B5686E">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73F0EA" wp14:editId="59EE409C">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24318767" wp14:editId="1B242F05">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2A560ABB" w14:textId="06E36A4A" w:rsidR="007E3E3A" w:rsidRDefault="007E3E3A">
    <w:pPr>
      <w:pStyle w:val="En-tte"/>
    </w:pPr>
  </w:p>
  <w:p w14:paraId="741DE836" w14:textId="77777777" w:rsidR="007E3E3A" w:rsidRDefault="007E3E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33155"/>
    <w:multiLevelType w:val="hybridMultilevel"/>
    <w:tmpl w:val="19042B2C"/>
    <w:lvl w:ilvl="0" w:tplc="8A96011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8313D9A"/>
    <w:multiLevelType w:val="hybridMultilevel"/>
    <w:tmpl w:val="92CC1CC6"/>
    <w:lvl w:ilvl="0" w:tplc="FC2E1E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607780">
    <w:abstractNumId w:val="10"/>
  </w:num>
  <w:num w:numId="2" w16cid:durableId="546452351">
    <w:abstractNumId w:val="7"/>
  </w:num>
  <w:num w:numId="3" w16cid:durableId="1534687645">
    <w:abstractNumId w:val="3"/>
  </w:num>
  <w:num w:numId="4" w16cid:durableId="920408545">
    <w:abstractNumId w:val="4"/>
  </w:num>
  <w:num w:numId="5" w16cid:durableId="481048522">
    <w:abstractNumId w:val="6"/>
  </w:num>
  <w:num w:numId="6" w16cid:durableId="1292246852">
    <w:abstractNumId w:val="9"/>
  </w:num>
  <w:num w:numId="7" w16cid:durableId="1722438636">
    <w:abstractNumId w:val="8"/>
  </w:num>
  <w:num w:numId="8" w16cid:durableId="1409574142">
    <w:abstractNumId w:val="0"/>
  </w:num>
  <w:num w:numId="9" w16cid:durableId="1925454456">
    <w:abstractNumId w:val="5"/>
  </w:num>
  <w:num w:numId="10" w16cid:durableId="19403385">
    <w:abstractNumId w:val="2"/>
  </w:num>
  <w:num w:numId="11" w16cid:durableId="1653560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64F66"/>
    <w:rsid w:val="00065273"/>
    <w:rsid w:val="000A56CE"/>
    <w:rsid w:val="00116CE1"/>
    <w:rsid w:val="00146BA8"/>
    <w:rsid w:val="0016304D"/>
    <w:rsid w:val="00173CD5"/>
    <w:rsid w:val="001840C3"/>
    <w:rsid w:val="001D6B5B"/>
    <w:rsid w:val="001E5CEA"/>
    <w:rsid w:val="001E6EF6"/>
    <w:rsid w:val="001E7242"/>
    <w:rsid w:val="00233A9E"/>
    <w:rsid w:val="002506F4"/>
    <w:rsid w:val="00294AA8"/>
    <w:rsid w:val="002B2440"/>
    <w:rsid w:val="002E1BDC"/>
    <w:rsid w:val="002E358D"/>
    <w:rsid w:val="0031120A"/>
    <w:rsid w:val="003F24D6"/>
    <w:rsid w:val="003F4D86"/>
    <w:rsid w:val="004040D2"/>
    <w:rsid w:val="00504AB4"/>
    <w:rsid w:val="00517635"/>
    <w:rsid w:val="005D07E0"/>
    <w:rsid w:val="006049DF"/>
    <w:rsid w:val="006107C4"/>
    <w:rsid w:val="0069002B"/>
    <w:rsid w:val="006A66C8"/>
    <w:rsid w:val="00771085"/>
    <w:rsid w:val="007E3E3A"/>
    <w:rsid w:val="008001DB"/>
    <w:rsid w:val="008139E3"/>
    <w:rsid w:val="0087467D"/>
    <w:rsid w:val="008A29E7"/>
    <w:rsid w:val="008F6EA7"/>
    <w:rsid w:val="00942F69"/>
    <w:rsid w:val="00A3214B"/>
    <w:rsid w:val="00A755AC"/>
    <w:rsid w:val="00A759A5"/>
    <w:rsid w:val="00A97B09"/>
    <w:rsid w:val="00AB05F2"/>
    <w:rsid w:val="00AC19DC"/>
    <w:rsid w:val="00AD3AE3"/>
    <w:rsid w:val="00B25BAC"/>
    <w:rsid w:val="00B51BCA"/>
    <w:rsid w:val="00BB3D6B"/>
    <w:rsid w:val="00BC14EB"/>
    <w:rsid w:val="00BE566C"/>
    <w:rsid w:val="00C16265"/>
    <w:rsid w:val="00C37A4D"/>
    <w:rsid w:val="00C40BC8"/>
    <w:rsid w:val="00C55EE3"/>
    <w:rsid w:val="00C77839"/>
    <w:rsid w:val="00C8376D"/>
    <w:rsid w:val="00CB0C3F"/>
    <w:rsid w:val="00CB2A1E"/>
    <w:rsid w:val="00CD408C"/>
    <w:rsid w:val="00D002C8"/>
    <w:rsid w:val="00D11389"/>
    <w:rsid w:val="00D81401"/>
    <w:rsid w:val="00D829A5"/>
    <w:rsid w:val="00DA6B76"/>
    <w:rsid w:val="00DB6553"/>
    <w:rsid w:val="00DE4794"/>
    <w:rsid w:val="00E62B39"/>
    <w:rsid w:val="00F4424B"/>
    <w:rsid w:val="00F44C00"/>
    <w:rsid w:val="00F7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50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CB2A1E"/>
    <w:rPr>
      <w:sz w:val="16"/>
      <w:szCs w:val="16"/>
    </w:rPr>
  </w:style>
  <w:style w:type="paragraph" w:styleId="Commentaire">
    <w:name w:val="annotation text"/>
    <w:basedOn w:val="Normal"/>
    <w:link w:val="CommentaireCar"/>
    <w:uiPriority w:val="99"/>
    <w:semiHidden/>
    <w:unhideWhenUsed/>
    <w:rsid w:val="00CB2A1E"/>
    <w:rPr>
      <w:szCs w:val="20"/>
    </w:rPr>
  </w:style>
  <w:style w:type="character" w:customStyle="1" w:styleId="CommentaireCar">
    <w:name w:val="Commentaire Car"/>
    <w:basedOn w:val="Policepardfaut"/>
    <w:link w:val="Commentaire"/>
    <w:uiPriority w:val="99"/>
    <w:semiHidden/>
    <w:rsid w:val="00CB2A1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2A1E"/>
    <w:rPr>
      <w:b/>
      <w:bCs/>
    </w:rPr>
  </w:style>
  <w:style w:type="character" w:customStyle="1" w:styleId="ObjetducommentaireCar">
    <w:name w:val="Objet du commentaire Car"/>
    <w:basedOn w:val="CommentaireCar"/>
    <w:link w:val="Objetducommentaire"/>
    <w:uiPriority w:val="99"/>
    <w:semiHidden/>
    <w:rsid w:val="00CB2A1E"/>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2580733">
      <w:bodyDiv w:val="1"/>
      <w:marLeft w:val="0"/>
      <w:marRight w:val="0"/>
      <w:marTop w:val="0"/>
      <w:marBottom w:val="0"/>
      <w:divBdr>
        <w:top w:val="none" w:sz="0" w:space="0" w:color="auto"/>
        <w:left w:val="none" w:sz="0" w:space="0" w:color="auto"/>
        <w:bottom w:val="none" w:sz="0" w:space="0" w:color="auto"/>
        <w:right w:val="none" w:sz="0" w:space="0" w:color="auto"/>
      </w:divBdr>
    </w:div>
    <w:div w:id="808521378">
      <w:bodyDiv w:val="1"/>
      <w:marLeft w:val="0"/>
      <w:marRight w:val="0"/>
      <w:marTop w:val="0"/>
      <w:marBottom w:val="0"/>
      <w:divBdr>
        <w:top w:val="none" w:sz="0" w:space="0" w:color="auto"/>
        <w:left w:val="none" w:sz="0" w:space="0" w:color="auto"/>
        <w:bottom w:val="none" w:sz="0" w:space="0" w:color="auto"/>
        <w:right w:val="none" w:sz="0" w:space="0" w:color="auto"/>
      </w:divBdr>
    </w:div>
    <w:div w:id="1849053976">
      <w:bodyDiv w:val="1"/>
      <w:marLeft w:val="0"/>
      <w:marRight w:val="0"/>
      <w:marTop w:val="0"/>
      <w:marBottom w:val="0"/>
      <w:divBdr>
        <w:top w:val="none" w:sz="0" w:space="0" w:color="auto"/>
        <w:left w:val="none" w:sz="0" w:space="0" w:color="auto"/>
        <w:bottom w:val="none" w:sz="0" w:space="0" w:color="auto"/>
        <w:right w:val="none" w:sz="0" w:space="0" w:color="auto"/>
      </w:divBdr>
    </w:div>
    <w:div w:id="1942299338">
      <w:bodyDiv w:val="1"/>
      <w:marLeft w:val="0"/>
      <w:marRight w:val="0"/>
      <w:marTop w:val="0"/>
      <w:marBottom w:val="0"/>
      <w:divBdr>
        <w:top w:val="none" w:sz="0" w:space="0" w:color="auto"/>
        <w:left w:val="none" w:sz="0" w:space="0" w:color="auto"/>
        <w:bottom w:val="none" w:sz="0" w:space="0" w:color="auto"/>
        <w:right w:val="none" w:sz="0" w:space="0" w:color="auto"/>
      </w:divBdr>
    </w:div>
    <w:div w:id="1975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050DC6EDC490FA99FBE864B6E447B"/>
        <w:category>
          <w:name w:val="Général"/>
          <w:gallery w:val="placeholder"/>
        </w:category>
        <w:types>
          <w:type w:val="bbPlcHdr"/>
        </w:types>
        <w:behaviors>
          <w:behavior w:val="content"/>
        </w:behaviors>
        <w:guid w:val="{05D55DEE-B5CC-4918-ADE8-BD2F315A4B83}"/>
      </w:docPartPr>
      <w:docPartBody>
        <w:p w:rsidR="00765B04" w:rsidRDefault="00D6227D" w:rsidP="00D6227D">
          <w:pPr>
            <w:pStyle w:val="06F050DC6EDC490FA99FBE864B6E447B"/>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36CCF"/>
    <w:rsid w:val="0028590D"/>
    <w:rsid w:val="002F1BBA"/>
    <w:rsid w:val="00765B04"/>
    <w:rsid w:val="007A1B47"/>
    <w:rsid w:val="009B69B3"/>
    <w:rsid w:val="00B86039"/>
    <w:rsid w:val="00CA261B"/>
    <w:rsid w:val="00D6227D"/>
    <w:rsid w:val="00E659E0"/>
    <w:rsid w:val="00F6332B"/>
    <w:rsid w:val="00FA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227D"/>
    <w:rPr>
      <w:color w:val="808080"/>
    </w:rPr>
  </w:style>
  <w:style w:type="paragraph" w:customStyle="1" w:styleId="06F050DC6EDC490FA99FBE864B6E447B">
    <w:name w:val="06F050DC6EDC490FA99FBE864B6E447B"/>
    <w:rsid w:val="00D6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369-8E57-48EA-B540-AFC63E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15</cp:revision>
  <dcterms:created xsi:type="dcterms:W3CDTF">2020-12-18T10:46:00Z</dcterms:created>
  <dcterms:modified xsi:type="dcterms:W3CDTF">2022-06-14T15:29:00Z</dcterms:modified>
</cp:coreProperties>
</file>