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0A81" w14:textId="26E7B78D" w:rsidR="001B6DBB" w:rsidRPr="001B6DBB" w:rsidRDefault="001B6DBB" w:rsidP="001B6DBB">
      <w:pPr>
        <w:pStyle w:val="Titre1"/>
        <w:keepLines w:val="0"/>
        <w:numPr>
          <w:ilvl w:val="0"/>
          <w:numId w:val="0"/>
        </w:numPr>
        <w:spacing w:after="120"/>
        <w:ind w:left="1134" w:hanging="567"/>
        <w:jc w:val="center"/>
        <w:rPr>
          <w:b/>
        </w:rPr>
      </w:pPr>
      <w:r w:rsidRPr="001B6DBB">
        <w:rPr>
          <w:b/>
        </w:rPr>
        <w:t>Annexe</w:t>
      </w:r>
      <w:r w:rsidRPr="001B6DBB">
        <w:rPr>
          <w:rFonts w:ascii="Calibri" w:hAnsi="Calibri" w:cs="Calibri"/>
          <w:b/>
        </w:rPr>
        <w:t> </w:t>
      </w:r>
      <w:r w:rsidRPr="001B6DBB">
        <w:rPr>
          <w:b/>
        </w:rPr>
        <w:t>: Contributions attendues au bien commun</w:t>
      </w:r>
    </w:p>
    <w:p w14:paraId="27DFA432" w14:textId="77777777" w:rsidR="001B6DBB" w:rsidRDefault="001B6DBB" w:rsidP="001B6DBB">
      <w:pPr>
        <w:jc w:val="center"/>
        <w:rPr>
          <w:rFonts w:ascii="Marianne" w:hAnsi="Marianne"/>
        </w:rPr>
      </w:pPr>
    </w:p>
    <w:p w14:paraId="49AAE7E2" w14:textId="77777777" w:rsidR="001B6DBB" w:rsidRDefault="001B6DBB" w:rsidP="001B6DBB">
      <w:pPr>
        <w:spacing w:after="120"/>
        <w:rPr>
          <w:rFonts w:ascii="Marianne" w:hAnsi="Marianne" w:cs="Marianne"/>
          <w:bCs/>
          <w:i/>
        </w:rPr>
      </w:pPr>
      <w:r>
        <w:rPr>
          <w:rFonts w:ascii="Marianne" w:hAnsi="Marianne" w:cs="Marianne"/>
          <w:bCs/>
          <w:i/>
        </w:rPr>
        <w:t>Cette annexe doit présenter les contributions que les porteurs de projet envisagent d’apporter au bien commun sur la thématique de l’appel à projets.</w:t>
      </w:r>
    </w:p>
    <w:p w14:paraId="3C8E9B26" w14:textId="77777777" w:rsidR="001B6DBB" w:rsidRPr="001B6DBB" w:rsidRDefault="001B6DBB" w:rsidP="001B6DBB">
      <w:pPr>
        <w:spacing w:after="120"/>
        <w:rPr>
          <w:rFonts w:ascii="Marianne" w:hAnsi="Marianne" w:cs="Marianne"/>
          <w:bCs/>
          <w:i/>
          <w:sz w:val="10"/>
          <w:szCs w:val="10"/>
        </w:rPr>
      </w:pPr>
    </w:p>
    <w:p w14:paraId="45E2D6AC" w14:textId="77777777" w:rsidR="001B6DBB" w:rsidRDefault="001B6DBB" w:rsidP="001B6DBB">
      <w:pPr>
        <w:rPr>
          <w:rFonts w:ascii="Marianne" w:hAnsi="Marianne"/>
        </w:rPr>
      </w:pPr>
      <w:r>
        <w:rPr>
          <w:rFonts w:ascii="Marianne" w:hAnsi="Marianne"/>
        </w:rPr>
        <w:t xml:space="preserve">Un certain nombre de sujets, s’inscrivant dans un principe de participation des projets sélectionnés à la </w:t>
      </w:r>
      <w:r>
        <w:rPr>
          <w:rFonts w:ascii="Marianne" w:hAnsi="Marianne"/>
          <w:b/>
        </w:rPr>
        <w:t>constitution de «</w:t>
      </w:r>
      <w:r>
        <w:rPr>
          <w:rFonts w:ascii="Calibri" w:hAnsi="Calibri"/>
          <w:b/>
        </w:rPr>
        <w:t> </w:t>
      </w:r>
      <w:r>
        <w:rPr>
          <w:rFonts w:ascii="Marianne" w:hAnsi="Marianne"/>
          <w:b/>
        </w:rPr>
        <w:t>biens communs</w:t>
      </w:r>
      <w:r>
        <w:rPr>
          <w:rFonts w:ascii="Calibri" w:hAnsi="Calibri"/>
          <w:b/>
        </w:rPr>
        <w:t> </w:t>
      </w:r>
      <w:r>
        <w:rPr>
          <w:rFonts w:ascii="Marianne" w:hAnsi="Marianne" w:cs="Marianne"/>
          <w:b/>
        </w:rPr>
        <w:t>»</w:t>
      </w:r>
      <w:r>
        <w:rPr>
          <w:rFonts w:ascii="Marianne" w:hAnsi="Marianne"/>
        </w:rPr>
        <w:t>, feront l’objet d’une attention particulière en phase d’instruction détaillée des projets, puis dans leur suivi. La participation effective proposée des projets à la constitution de biens communs sera prise en compte dans l’évaluation.</w:t>
      </w:r>
    </w:p>
    <w:p w14:paraId="2A526478" w14:textId="77777777" w:rsidR="001B6DBB" w:rsidRDefault="001B6DBB" w:rsidP="001B6DBB">
      <w:pPr>
        <w:spacing w:after="0"/>
        <w:rPr>
          <w:rFonts w:ascii="Marianne" w:hAnsi="Marianne"/>
          <w:iCs/>
        </w:rPr>
      </w:pPr>
      <w:r>
        <w:rPr>
          <w:rFonts w:ascii="Marianne" w:hAnsi="Marianne"/>
        </w:rPr>
        <w:t xml:space="preserve">Les sujets </w:t>
      </w:r>
      <w:r>
        <w:rPr>
          <w:rFonts w:ascii="Marianne" w:hAnsi="Marianne"/>
          <w:iCs/>
        </w:rPr>
        <w:t xml:space="preserve">principaux dans lesquels les porteurs de projets seront invités à partager les connaissances sont listés ci-après. Il n’est pas nécessairement attendu des porteurs de projets que leur réponse couvre l’intégralité des sujets énumérés au sein de ce document, qui constitue davantage un guide de réponse et d’évaluation à adapter à la nature et à la typologie du projet. Certaines réponses sont toutefois obligatoires. </w:t>
      </w:r>
      <w:r>
        <w:rPr>
          <w:rFonts w:ascii="Calibri" w:hAnsi="Calibri"/>
          <w:iCs/>
        </w:rPr>
        <w:t xml:space="preserve"> </w:t>
      </w:r>
      <w:r>
        <w:rPr>
          <w:rFonts w:ascii="Marianne" w:hAnsi="Marianne"/>
          <w:iCs/>
        </w:rPr>
        <w:t>L’ajout d’autres types de bien communs non décrits ci-après est possible et encouragée.</w:t>
      </w:r>
    </w:p>
    <w:p w14:paraId="319ECE14" w14:textId="77777777" w:rsidR="001B6DBB" w:rsidRDefault="001B6DBB" w:rsidP="001B6DBB">
      <w:pPr>
        <w:rPr>
          <w:rFonts w:ascii="Marianne" w:hAnsi="Marianne"/>
        </w:rPr>
      </w:pPr>
    </w:p>
    <w:p w14:paraId="34549BD9" w14:textId="77777777" w:rsidR="001B6DBB" w:rsidRPr="004553D8" w:rsidRDefault="001B6DBB" w:rsidP="001B6DBB">
      <w:pPr>
        <w:pStyle w:val="Standard"/>
        <w:jc w:val="both"/>
        <w:rPr>
          <w:rFonts w:ascii="Marianne" w:hAnsi="Marianne"/>
          <w:b/>
          <w:sz w:val="22"/>
          <w:szCs w:val="22"/>
        </w:rPr>
      </w:pPr>
      <w:r w:rsidRPr="004553D8">
        <w:rPr>
          <w:rFonts w:ascii="Marianne" w:hAnsi="Marianne"/>
          <w:b/>
          <w:sz w:val="22"/>
          <w:szCs w:val="22"/>
        </w:rPr>
        <w:t xml:space="preserve">Dissémination des résultats du projet </w:t>
      </w:r>
      <w:r>
        <w:rPr>
          <w:rFonts w:ascii="Marianne" w:hAnsi="Marianne"/>
          <w:b/>
          <w:sz w:val="22"/>
          <w:szCs w:val="22"/>
        </w:rPr>
        <w:t>(obligatoire)</w:t>
      </w:r>
    </w:p>
    <w:p w14:paraId="2CEBB1B8" w14:textId="77777777" w:rsidR="001B6DBB" w:rsidRDefault="001B6DBB" w:rsidP="001B6DBB">
      <w:pPr>
        <w:rPr>
          <w:rFonts w:ascii="Marianne" w:hAnsi="Marianne"/>
        </w:rPr>
      </w:pPr>
    </w:p>
    <w:p w14:paraId="690DAA2C" w14:textId="77777777" w:rsidR="001B6DBB" w:rsidRDefault="001B6DBB" w:rsidP="001B6DBB">
      <w:pPr>
        <w:rPr>
          <w:rFonts w:ascii="Marianne" w:hAnsi="Marianne"/>
        </w:rPr>
      </w:pPr>
      <w:r>
        <w:rPr>
          <w:rFonts w:ascii="Marianne" w:hAnsi="Marianne"/>
        </w:rPr>
        <w:t>Le porteur précisera son plan de dissémination, de publication, de partage de connaissance et de communication.</w:t>
      </w:r>
    </w:p>
    <w:p w14:paraId="3D52EAE9" w14:textId="77777777" w:rsidR="001B6DBB" w:rsidRPr="001B6DBB" w:rsidRDefault="001B6DBB" w:rsidP="001B6DBB">
      <w:pPr>
        <w:rPr>
          <w:rFonts w:ascii="Marianne" w:hAnsi="Marianne"/>
          <w:i/>
          <w:iCs/>
          <w:sz w:val="20"/>
          <w:szCs w:val="20"/>
        </w:rPr>
      </w:pPr>
      <w:r w:rsidRPr="001B6DBB">
        <w:rPr>
          <w:rFonts w:ascii="Marianne" w:hAnsi="Marianne"/>
          <w:i/>
          <w:iCs/>
          <w:sz w:val="20"/>
          <w:szCs w:val="20"/>
        </w:rPr>
        <w:t>Ex</w:t>
      </w:r>
      <w:r w:rsidRPr="001B6DBB">
        <w:rPr>
          <w:rFonts w:ascii="Calibri" w:hAnsi="Calibri" w:cs="Calibri"/>
          <w:i/>
          <w:iCs/>
          <w:sz w:val="20"/>
          <w:szCs w:val="20"/>
        </w:rPr>
        <w:t> </w:t>
      </w:r>
      <w:r w:rsidRPr="001B6DBB">
        <w:rPr>
          <w:rFonts w:ascii="Marianne" w:hAnsi="Marianne"/>
          <w:i/>
          <w:iCs/>
          <w:sz w:val="20"/>
          <w:szCs w:val="20"/>
        </w:rPr>
        <w:t>: Site web, Vid</w:t>
      </w:r>
      <w:r w:rsidRPr="001B6DBB">
        <w:rPr>
          <w:rFonts w:ascii="Marianne" w:hAnsi="Marianne" w:cs="Marianne"/>
          <w:i/>
          <w:iCs/>
          <w:sz w:val="20"/>
          <w:szCs w:val="20"/>
        </w:rPr>
        <w:t>é</w:t>
      </w:r>
      <w:r w:rsidRPr="001B6DBB">
        <w:rPr>
          <w:rFonts w:ascii="Marianne" w:hAnsi="Marianne"/>
          <w:i/>
          <w:iCs/>
          <w:sz w:val="20"/>
          <w:szCs w:val="20"/>
        </w:rPr>
        <w:t xml:space="preserve">o, Brochures, Participation </w:t>
      </w:r>
      <w:r w:rsidRPr="001B6DBB">
        <w:rPr>
          <w:rFonts w:ascii="Marianne" w:hAnsi="Marianne" w:cs="Marianne"/>
          <w:i/>
          <w:iCs/>
          <w:sz w:val="20"/>
          <w:szCs w:val="20"/>
        </w:rPr>
        <w:t>à</w:t>
      </w:r>
      <w:r w:rsidRPr="001B6DBB">
        <w:rPr>
          <w:rFonts w:ascii="Marianne" w:hAnsi="Marianne"/>
          <w:i/>
          <w:iCs/>
          <w:sz w:val="20"/>
          <w:szCs w:val="20"/>
        </w:rPr>
        <w:t xml:space="preserve"> des conf</w:t>
      </w:r>
      <w:r w:rsidRPr="001B6DBB">
        <w:rPr>
          <w:rFonts w:ascii="Marianne" w:hAnsi="Marianne" w:cs="Marianne"/>
          <w:i/>
          <w:iCs/>
          <w:sz w:val="20"/>
          <w:szCs w:val="20"/>
        </w:rPr>
        <w:t>é</w:t>
      </w:r>
      <w:r w:rsidRPr="001B6DBB">
        <w:rPr>
          <w:rFonts w:ascii="Marianne" w:hAnsi="Marianne"/>
          <w:i/>
          <w:iCs/>
          <w:sz w:val="20"/>
          <w:szCs w:val="20"/>
        </w:rPr>
        <w:t>rences, communiqu</w:t>
      </w:r>
      <w:r w:rsidRPr="001B6DBB">
        <w:rPr>
          <w:rFonts w:ascii="Marianne" w:hAnsi="Marianne" w:cs="Marianne"/>
          <w:i/>
          <w:iCs/>
          <w:sz w:val="20"/>
          <w:szCs w:val="20"/>
        </w:rPr>
        <w:t>é</w:t>
      </w:r>
      <w:r w:rsidRPr="001B6DBB">
        <w:rPr>
          <w:rFonts w:ascii="Marianne" w:hAnsi="Marianne"/>
          <w:i/>
          <w:iCs/>
          <w:sz w:val="20"/>
          <w:szCs w:val="20"/>
        </w:rPr>
        <w:t>s, Publication dans des revues sp</w:t>
      </w:r>
      <w:r w:rsidRPr="001B6DBB">
        <w:rPr>
          <w:rFonts w:ascii="Marianne" w:hAnsi="Marianne" w:cs="Marianne"/>
          <w:i/>
          <w:iCs/>
          <w:sz w:val="20"/>
          <w:szCs w:val="20"/>
        </w:rPr>
        <w:t>é</w:t>
      </w:r>
      <w:r w:rsidRPr="001B6DBB">
        <w:rPr>
          <w:rFonts w:ascii="Marianne" w:hAnsi="Marianne"/>
          <w:i/>
          <w:iCs/>
          <w:sz w:val="20"/>
          <w:szCs w:val="20"/>
        </w:rPr>
        <w:t>cialis</w:t>
      </w:r>
      <w:r w:rsidRPr="001B6DBB">
        <w:rPr>
          <w:rFonts w:ascii="Marianne" w:hAnsi="Marianne" w:cs="Marianne"/>
          <w:i/>
          <w:iCs/>
          <w:sz w:val="20"/>
          <w:szCs w:val="20"/>
        </w:rPr>
        <w:t>é</w:t>
      </w:r>
      <w:r w:rsidRPr="001B6DBB">
        <w:rPr>
          <w:rFonts w:ascii="Marianne" w:hAnsi="Marianne"/>
          <w:i/>
          <w:iCs/>
          <w:sz w:val="20"/>
          <w:szCs w:val="20"/>
        </w:rPr>
        <w:t xml:space="preserve">es </w:t>
      </w:r>
    </w:p>
    <w:p w14:paraId="310ABA0C" w14:textId="77777777" w:rsidR="001B6DBB" w:rsidRDefault="001B6DBB" w:rsidP="001B6DBB">
      <w:pPr>
        <w:rPr>
          <w:rFonts w:ascii="Marianne" w:hAnsi="Marianne"/>
        </w:rPr>
      </w:pPr>
    </w:p>
    <w:p w14:paraId="03902A31" w14:textId="77777777" w:rsidR="001B6DBB" w:rsidRDefault="001B6DBB" w:rsidP="001B6DBB">
      <w:pPr>
        <w:rPr>
          <w:rFonts w:ascii="Marianne" w:hAnsi="Marianne"/>
          <w:b/>
        </w:rPr>
      </w:pPr>
      <w:r w:rsidRPr="004553D8">
        <w:rPr>
          <w:rFonts w:ascii="Marianne" w:hAnsi="Marianne"/>
          <w:b/>
        </w:rPr>
        <w:t xml:space="preserve">Données de caractérisations </w:t>
      </w:r>
    </w:p>
    <w:p w14:paraId="7B2BFA5C" w14:textId="77777777" w:rsidR="001B6DBB" w:rsidRDefault="001B6DBB" w:rsidP="001B6DBB">
      <w:pPr>
        <w:pStyle w:val="Paragraphedeliste"/>
        <w:numPr>
          <w:ilvl w:val="0"/>
          <w:numId w:val="2"/>
        </w:numPr>
        <w:rPr>
          <w:rFonts w:ascii="Marianne" w:hAnsi="Marianne"/>
        </w:rPr>
      </w:pPr>
      <w:r>
        <w:rPr>
          <w:rFonts w:ascii="Marianne" w:hAnsi="Marianne"/>
        </w:rPr>
        <w:t>Description des essais, tests ou autres analyses menés</w:t>
      </w:r>
    </w:p>
    <w:p w14:paraId="613096AD" w14:textId="77777777" w:rsidR="001B6DBB" w:rsidRDefault="001B6DBB" w:rsidP="001B6DBB">
      <w:pPr>
        <w:pStyle w:val="Paragraphedeliste"/>
        <w:numPr>
          <w:ilvl w:val="0"/>
          <w:numId w:val="2"/>
        </w:numPr>
        <w:rPr>
          <w:rFonts w:ascii="Marianne" w:hAnsi="Marianne"/>
        </w:rPr>
      </w:pPr>
      <w:r>
        <w:rPr>
          <w:rFonts w:ascii="Marianne" w:hAnsi="Marianne"/>
        </w:rPr>
        <w:t>Méthodes et outils utilisés pour les essais, tests et analyses menés</w:t>
      </w:r>
    </w:p>
    <w:p w14:paraId="20116369" w14:textId="77777777" w:rsidR="001B6DBB" w:rsidRDefault="001B6DBB" w:rsidP="001B6DBB">
      <w:pPr>
        <w:pStyle w:val="Paragraphedeliste"/>
        <w:numPr>
          <w:ilvl w:val="0"/>
          <w:numId w:val="2"/>
        </w:numPr>
        <w:rPr>
          <w:rFonts w:ascii="Marianne" w:hAnsi="Marianne"/>
        </w:rPr>
      </w:pPr>
      <w:r>
        <w:rPr>
          <w:rFonts w:ascii="Marianne" w:hAnsi="Marianne"/>
        </w:rPr>
        <w:t>Résultats des essais, tests et analyses</w:t>
      </w:r>
    </w:p>
    <w:p w14:paraId="561F7096" w14:textId="77777777" w:rsidR="001B6DBB" w:rsidRDefault="001B6DBB" w:rsidP="001B6DBB">
      <w:pPr>
        <w:pStyle w:val="Paragraphedeliste"/>
        <w:numPr>
          <w:ilvl w:val="0"/>
          <w:numId w:val="2"/>
        </w:numPr>
        <w:rPr>
          <w:rFonts w:ascii="Marianne" w:hAnsi="Marianne"/>
        </w:rPr>
      </w:pPr>
      <w:r>
        <w:rPr>
          <w:rFonts w:ascii="Marianne" w:hAnsi="Marianne"/>
        </w:rPr>
        <w:t xml:space="preserve">Données de caractérisation </w:t>
      </w:r>
    </w:p>
    <w:p w14:paraId="0F2F023D" w14:textId="77777777" w:rsidR="001B6DBB" w:rsidRDefault="001B6DBB" w:rsidP="001B6DBB">
      <w:pPr>
        <w:pStyle w:val="Paragraphedeliste"/>
        <w:numPr>
          <w:ilvl w:val="0"/>
          <w:numId w:val="2"/>
        </w:numPr>
        <w:rPr>
          <w:rFonts w:ascii="Marianne" w:hAnsi="Marianne"/>
        </w:rPr>
      </w:pPr>
      <w:r>
        <w:rPr>
          <w:rFonts w:ascii="Marianne" w:hAnsi="Marianne"/>
        </w:rPr>
        <w:t>Modalité d’accès aux données et de leurs réutilisations pour des tiers, dans les conditions du marché, de manière loyale et non faussée (obligatoire)</w:t>
      </w:r>
    </w:p>
    <w:p w14:paraId="1975862D" w14:textId="77777777" w:rsidR="001B6DBB" w:rsidRDefault="001B6DBB" w:rsidP="001B6DBB">
      <w:pPr>
        <w:pStyle w:val="Paragraphedeliste"/>
        <w:numPr>
          <w:ilvl w:val="0"/>
          <w:numId w:val="2"/>
        </w:numPr>
        <w:rPr>
          <w:rFonts w:ascii="Marianne" w:hAnsi="Marianne"/>
        </w:rPr>
      </w:pPr>
      <w:r>
        <w:rPr>
          <w:rFonts w:ascii="Marianne" w:hAnsi="Marianne"/>
        </w:rPr>
        <w:t>Modalité d’accès aux données et de leurs réutilisations pour les organismes de recherche (obligatoire)</w:t>
      </w:r>
    </w:p>
    <w:p w14:paraId="0F30F396" w14:textId="77777777" w:rsidR="001B6DBB" w:rsidRPr="001B6DBB" w:rsidRDefault="001B6DBB" w:rsidP="001B6DBB">
      <w:pPr>
        <w:pStyle w:val="Paragraphedeliste"/>
        <w:numPr>
          <w:ilvl w:val="0"/>
          <w:numId w:val="2"/>
        </w:numPr>
        <w:rPr>
          <w:rFonts w:ascii="Marianne" w:hAnsi="Marianne"/>
        </w:rPr>
      </w:pPr>
      <w:r w:rsidRPr="001B6DBB">
        <w:rPr>
          <w:rFonts w:ascii="Marianne" w:hAnsi="Marianne"/>
        </w:rPr>
        <w:t>Evolutions règlementaires sous-jacentes ou de standard qui seraient nécessaires pour</w:t>
      </w:r>
      <w:r w:rsidRPr="001B6DBB">
        <w:rPr>
          <w:rFonts w:ascii="Calibri" w:hAnsi="Calibri" w:cs="Calibri"/>
        </w:rPr>
        <w:t> </w:t>
      </w:r>
      <w:r w:rsidRPr="001B6DBB">
        <w:rPr>
          <w:rFonts w:ascii="Marianne" w:hAnsi="Marianne"/>
        </w:rPr>
        <w:t>la mise en exploitation des systèmes et analyse des écarts par rapport à la règlementation ou de standard existant applicable</w:t>
      </w:r>
    </w:p>
    <w:p w14:paraId="63FD7CC2" w14:textId="77777777" w:rsidR="001B6DBB" w:rsidRPr="001B6DBB" w:rsidRDefault="001B6DBB" w:rsidP="001B6DBB">
      <w:pPr>
        <w:pStyle w:val="Paragraphedeliste"/>
        <w:numPr>
          <w:ilvl w:val="0"/>
          <w:numId w:val="2"/>
        </w:numPr>
        <w:rPr>
          <w:rFonts w:ascii="Marianne" w:hAnsi="Marianne"/>
        </w:rPr>
      </w:pPr>
      <w:r w:rsidRPr="001B6DBB">
        <w:rPr>
          <w:rFonts w:ascii="Marianne" w:hAnsi="Marianne"/>
        </w:rPr>
        <w:t xml:space="preserve">Analyses d'acceptabilité des acteurs concernées par à l’usage des matériaux concernés </w:t>
      </w:r>
    </w:p>
    <w:p w14:paraId="0EA81252" w14:textId="6E8480E1" w:rsidR="001B6DBB" w:rsidRDefault="001B6DBB" w:rsidP="001B6DBB">
      <w:pPr>
        <w:pStyle w:val="Paragraphedeliste"/>
        <w:numPr>
          <w:ilvl w:val="0"/>
          <w:numId w:val="2"/>
        </w:numPr>
        <w:rPr>
          <w:rFonts w:ascii="Marianne" w:hAnsi="Marianne"/>
        </w:rPr>
      </w:pPr>
      <w:r w:rsidRPr="004553D8">
        <w:rPr>
          <w:rFonts w:ascii="Marianne" w:hAnsi="Marianne"/>
        </w:rPr>
        <w:t>Analyses de l’adaptabilité des matériaux concernés aux usages et aux modes de mise en œuvre possibles</w:t>
      </w:r>
    </w:p>
    <w:p w14:paraId="6C51226F" w14:textId="77777777" w:rsidR="001B6DBB" w:rsidRPr="001B6DBB" w:rsidRDefault="001B6DBB" w:rsidP="001B6DBB">
      <w:pPr>
        <w:pStyle w:val="Paragraphedeliste"/>
        <w:ind w:left="1328"/>
        <w:rPr>
          <w:rFonts w:ascii="Marianne" w:hAnsi="Marianne"/>
        </w:rPr>
      </w:pPr>
    </w:p>
    <w:p w14:paraId="2CEAD988" w14:textId="77777777" w:rsidR="001B6DBB" w:rsidRPr="004553D8" w:rsidRDefault="001B6DBB" w:rsidP="001B6DBB">
      <w:pPr>
        <w:spacing w:after="160" w:line="256" w:lineRule="auto"/>
        <w:rPr>
          <w:rFonts w:ascii="Marianne" w:hAnsi="Marianne"/>
          <w:b/>
        </w:rPr>
      </w:pPr>
      <w:r w:rsidRPr="004553D8">
        <w:rPr>
          <w:rFonts w:ascii="Marianne" w:hAnsi="Marianne"/>
        </w:rPr>
        <w:t>Les porteurs pourront distinguer leurs contributions entre le bien commun à l’échelle des filières entre acteurs économiques et le partage avec l’Etat et ses établissements ou services.</w:t>
      </w:r>
    </w:p>
    <w:sectPr w:rsidR="001B6DBB" w:rsidRPr="004553D8" w:rsidSect="00BB2298">
      <w:footerReference w:type="default" r:id="rId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 Thin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34131"/>
      <w:docPartObj>
        <w:docPartGallery w:val="Page Numbers (Bottom of Page)"/>
        <w:docPartUnique/>
      </w:docPartObj>
    </w:sdtPr>
    <w:sdtEndPr/>
    <w:sdtContent>
      <w:p w14:paraId="73028CDE" w14:textId="77777777" w:rsidR="0037056B" w:rsidRDefault="001B6DBB" w:rsidP="00E9280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43E30487" w14:textId="77777777" w:rsidR="0037056B" w:rsidRDefault="001B6DBB" w:rsidP="00E03096"/>
  <w:p w14:paraId="77318DD3" w14:textId="77777777" w:rsidR="0037056B" w:rsidRDefault="001B6DBB" w:rsidP="00E03096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03BCC"/>
    <w:multiLevelType w:val="multilevel"/>
    <w:tmpl w:val="131ED666"/>
    <w:lvl w:ilvl="0">
      <w:numFmt w:val="bullet"/>
      <w:lvlText w:val="✔"/>
      <w:lvlJc w:val="left"/>
      <w:pPr>
        <w:ind w:left="1328" w:hanging="359"/>
      </w:pPr>
      <w:rPr>
        <w:rFonts w:ascii="Noto Sans Symbols" w:eastAsia="Noto Sans Symbols" w:hAnsi="Noto Sans Symbols" w:cs="Noto Sans Symbols"/>
        <w:color w:val="C00000"/>
        <w:sz w:val="20"/>
        <w:szCs w:val="20"/>
      </w:rPr>
    </w:lvl>
    <w:lvl w:ilvl="1">
      <w:numFmt w:val="bullet"/>
      <w:lvlText w:val="•"/>
      <w:lvlJc w:val="left"/>
      <w:pPr>
        <w:ind w:left="2268" w:hanging="360"/>
      </w:pPr>
    </w:lvl>
    <w:lvl w:ilvl="2">
      <w:numFmt w:val="bullet"/>
      <w:lvlText w:val="•"/>
      <w:lvlJc w:val="left"/>
      <w:pPr>
        <w:ind w:left="3217" w:hanging="360"/>
      </w:pPr>
    </w:lvl>
    <w:lvl w:ilvl="3">
      <w:numFmt w:val="bullet"/>
      <w:lvlText w:val="•"/>
      <w:lvlJc w:val="left"/>
      <w:pPr>
        <w:ind w:left="4165" w:hanging="360"/>
      </w:pPr>
    </w:lvl>
    <w:lvl w:ilvl="4">
      <w:numFmt w:val="bullet"/>
      <w:lvlText w:val="•"/>
      <w:lvlJc w:val="left"/>
      <w:pPr>
        <w:ind w:left="5114" w:hanging="360"/>
      </w:pPr>
    </w:lvl>
    <w:lvl w:ilvl="5">
      <w:numFmt w:val="bullet"/>
      <w:lvlText w:val="•"/>
      <w:lvlJc w:val="left"/>
      <w:pPr>
        <w:ind w:left="6063" w:hanging="360"/>
      </w:pPr>
    </w:lvl>
    <w:lvl w:ilvl="6">
      <w:numFmt w:val="bullet"/>
      <w:lvlText w:val="•"/>
      <w:lvlJc w:val="left"/>
      <w:pPr>
        <w:ind w:left="7011" w:hanging="360"/>
      </w:pPr>
    </w:lvl>
    <w:lvl w:ilvl="7">
      <w:numFmt w:val="bullet"/>
      <w:lvlText w:val="•"/>
      <w:lvlJc w:val="left"/>
      <w:pPr>
        <w:ind w:left="7960" w:hanging="360"/>
      </w:pPr>
    </w:lvl>
    <w:lvl w:ilvl="8">
      <w:numFmt w:val="bullet"/>
      <w:lvlText w:val="•"/>
      <w:lvlJc w:val="left"/>
      <w:pPr>
        <w:ind w:left="8909" w:hanging="360"/>
      </w:pPr>
    </w:lvl>
  </w:abstractNum>
  <w:abstractNum w:abstractNumId="1" w15:restartNumberingAfterBreak="0">
    <w:nsid w:val="700F3A6C"/>
    <w:multiLevelType w:val="multilevel"/>
    <w:tmpl w:val="131ED666"/>
    <w:lvl w:ilvl="0">
      <w:numFmt w:val="bullet"/>
      <w:lvlText w:val="✔"/>
      <w:lvlJc w:val="left"/>
      <w:pPr>
        <w:ind w:left="1328" w:hanging="359"/>
      </w:pPr>
      <w:rPr>
        <w:rFonts w:ascii="Noto Sans Symbols" w:eastAsia="Noto Sans Symbols" w:hAnsi="Noto Sans Symbols" w:cs="Noto Sans Symbols"/>
        <w:color w:val="C00000"/>
        <w:sz w:val="20"/>
        <w:szCs w:val="20"/>
      </w:rPr>
    </w:lvl>
    <w:lvl w:ilvl="1">
      <w:numFmt w:val="bullet"/>
      <w:lvlText w:val="•"/>
      <w:lvlJc w:val="left"/>
      <w:pPr>
        <w:ind w:left="2268" w:hanging="360"/>
      </w:pPr>
    </w:lvl>
    <w:lvl w:ilvl="2">
      <w:numFmt w:val="bullet"/>
      <w:lvlText w:val="•"/>
      <w:lvlJc w:val="left"/>
      <w:pPr>
        <w:ind w:left="3217" w:hanging="360"/>
      </w:pPr>
    </w:lvl>
    <w:lvl w:ilvl="3">
      <w:numFmt w:val="bullet"/>
      <w:lvlText w:val="•"/>
      <w:lvlJc w:val="left"/>
      <w:pPr>
        <w:ind w:left="4165" w:hanging="360"/>
      </w:pPr>
    </w:lvl>
    <w:lvl w:ilvl="4">
      <w:numFmt w:val="bullet"/>
      <w:lvlText w:val="•"/>
      <w:lvlJc w:val="left"/>
      <w:pPr>
        <w:ind w:left="5114" w:hanging="360"/>
      </w:pPr>
    </w:lvl>
    <w:lvl w:ilvl="5">
      <w:numFmt w:val="bullet"/>
      <w:lvlText w:val="•"/>
      <w:lvlJc w:val="left"/>
      <w:pPr>
        <w:ind w:left="6063" w:hanging="360"/>
      </w:pPr>
    </w:lvl>
    <w:lvl w:ilvl="6">
      <w:numFmt w:val="bullet"/>
      <w:lvlText w:val="•"/>
      <w:lvlJc w:val="left"/>
      <w:pPr>
        <w:ind w:left="7011" w:hanging="360"/>
      </w:pPr>
    </w:lvl>
    <w:lvl w:ilvl="7">
      <w:numFmt w:val="bullet"/>
      <w:lvlText w:val="•"/>
      <w:lvlJc w:val="left"/>
      <w:pPr>
        <w:ind w:left="7960" w:hanging="360"/>
      </w:pPr>
    </w:lvl>
    <w:lvl w:ilvl="8">
      <w:numFmt w:val="bullet"/>
      <w:lvlText w:val="•"/>
      <w:lvlJc w:val="left"/>
      <w:pPr>
        <w:ind w:left="8909" w:hanging="360"/>
      </w:pPr>
    </w:lvl>
  </w:abstractNum>
  <w:num w:numId="1" w16cid:durableId="1988894983">
    <w:abstractNumId w:val="1"/>
  </w:num>
  <w:num w:numId="2" w16cid:durableId="135149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BB"/>
    <w:rsid w:val="001B6DBB"/>
    <w:rsid w:val="003233A5"/>
    <w:rsid w:val="005800D0"/>
    <w:rsid w:val="0087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7DA1"/>
  <w15:chartTrackingRefBased/>
  <w15:docId w15:val="{DD249A2B-9530-40E7-A2E5-A9251D90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DBB"/>
    <w:pPr>
      <w:spacing w:after="80" w:line="240" w:lineRule="auto"/>
      <w:jc w:val="both"/>
    </w:pPr>
    <w:rPr>
      <w:rFonts w:ascii="Marianne Thin" w:hAnsi="Marianne Thin"/>
    </w:rPr>
  </w:style>
  <w:style w:type="paragraph" w:styleId="Titre1">
    <w:name w:val="heading 1"/>
    <w:basedOn w:val="Normal"/>
    <w:next w:val="Normal"/>
    <w:link w:val="Titre1Car"/>
    <w:uiPriority w:val="9"/>
    <w:qFormat/>
    <w:rsid w:val="001B6DBB"/>
    <w:pPr>
      <w:keepNext/>
      <w:keepLines/>
      <w:numPr>
        <w:numId w:val="1"/>
      </w:numPr>
      <w:ind w:left="2345" w:hanging="360"/>
      <w:outlineLvl w:val="0"/>
    </w:pPr>
    <w:rPr>
      <w:rFonts w:ascii="Marianne" w:eastAsiaTheme="majorEastAsia" w:hAnsi="Marianne" w:cstheme="majorBidi"/>
      <w:color w:val="2F5496" w:themeColor="accent1" w:themeShade="BF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ADEME Paragraphe de liste,EC,Paragraphe de liste11,Puce,Colorful List Accent 1,List Paragraph (numbered (a)),List_Paragraph,Multilevel para_II,List Paragraph1,Rec para,Dot pt,F5 List Paragraph,No Spacing1,L,Paragraphe EI,3"/>
    <w:basedOn w:val="Normal"/>
    <w:link w:val="ParagraphedelisteCar"/>
    <w:uiPriority w:val="34"/>
    <w:qFormat/>
    <w:rsid w:val="001B6DB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B6D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6DBB"/>
    <w:rPr>
      <w:rFonts w:ascii="Marianne Thin" w:hAnsi="Marianne Thin"/>
    </w:rPr>
  </w:style>
  <w:style w:type="character" w:customStyle="1" w:styleId="ParagraphedelisteCar">
    <w:name w:val="Paragraphe de liste Car"/>
    <w:aliases w:val="ADEME Paragraphe de liste Car,EC Car,Paragraphe de liste11 Car,Puce Car,Colorful List Accent 1 Car,List Paragraph (numbered (a)) Car,List_Paragraph Car,Multilevel para_II Car,List Paragraph1 Car,Rec para Car,Dot pt Car,L Car"/>
    <w:link w:val="Paragraphedeliste"/>
    <w:uiPriority w:val="34"/>
    <w:qFormat/>
    <w:locked/>
    <w:rsid w:val="001B6DBB"/>
    <w:rPr>
      <w:rFonts w:ascii="Marianne Thin" w:hAnsi="Marianne Thin"/>
    </w:rPr>
  </w:style>
  <w:style w:type="paragraph" w:customStyle="1" w:styleId="Standard">
    <w:name w:val="Standard"/>
    <w:qFormat/>
    <w:rsid w:val="001B6DB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1B6DBB"/>
    <w:rPr>
      <w:rFonts w:ascii="Marianne" w:eastAsiaTheme="majorEastAsia" w:hAnsi="Marianne" w:cstheme="majorBidi"/>
      <w:color w:val="2F5496" w:themeColor="accent1" w:themeShade="BF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2066</Characters>
  <Application>Microsoft Office Word</Application>
  <DocSecurity>0</DocSecurity>
  <Lines>17</Lines>
  <Paragraphs>4</Paragraphs>
  <ScaleCrop>false</ScaleCrop>
  <Company>ADEME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SENTIS Valentine</dc:creator>
  <cp:keywords/>
  <dc:description/>
  <cp:lastModifiedBy>SENTIS Valentine</cp:lastModifiedBy>
  <cp:revision>1</cp:revision>
  <dcterms:created xsi:type="dcterms:W3CDTF">2022-07-20T08:39:00Z</dcterms:created>
  <dcterms:modified xsi:type="dcterms:W3CDTF">2022-07-20T08:41:00Z</dcterms:modified>
</cp:coreProperties>
</file>