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100C87" w14:paraId="1CB659E6" w14:textId="77777777">
        <w:tc>
          <w:tcPr>
            <w:tcW w:w="9572" w:type="dxa"/>
          </w:tcPr>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3516"/>
              <w:gridCol w:w="2906"/>
            </w:tblGrid>
            <w:tr w:rsidR="00100C87" w14:paraId="6066BE41" w14:textId="77777777">
              <w:tc>
                <w:tcPr>
                  <w:tcW w:w="2934" w:type="dxa"/>
                </w:tcPr>
                <w:p w14:paraId="6E2F6EE8" w14:textId="77777777" w:rsidR="00100C87" w:rsidRDefault="00316DA2">
                  <w:pPr>
                    <w:spacing w:after="120"/>
                    <w:rPr>
                      <w:rFonts w:ascii="Arial" w:hAnsi="Arial" w:cs="Arial"/>
                      <w:b/>
                      <w:color w:val="3CB6EC"/>
                      <w:sz w:val="40"/>
                      <w:szCs w:val="40"/>
                    </w:rPr>
                  </w:pPr>
                  <w:r>
                    <w:rPr>
                      <w:noProof/>
                    </w:rPr>
                    <w:drawing>
                      <wp:anchor distT="0" distB="0" distL="114300" distR="114300" simplePos="0" relativeHeight="251658240" behindDoc="1" locked="0" layoutInCell="1" allowOverlap="1" wp14:anchorId="634381B0" wp14:editId="2FD31B6C">
                        <wp:simplePos x="0" y="0"/>
                        <wp:positionH relativeFrom="column">
                          <wp:posOffset>2540</wp:posOffset>
                        </wp:positionH>
                        <wp:positionV relativeFrom="paragraph">
                          <wp:posOffset>4445</wp:posOffset>
                        </wp:positionV>
                        <wp:extent cx="1647825" cy="914400"/>
                        <wp:effectExtent l="0" t="0" r="9525" b="0"/>
                        <wp:wrapNone/>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16" w:type="dxa"/>
                </w:tcPr>
                <w:p w14:paraId="2CBE9C24" w14:textId="77777777" w:rsidR="00100C87" w:rsidRDefault="00316DA2">
                  <w:pPr>
                    <w:spacing w:after="120"/>
                    <w:jc w:val="center"/>
                    <w:rPr>
                      <w:rFonts w:ascii="Arial" w:hAnsi="Arial" w:cs="Arial"/>
                      <w:b/>
                      <w:color w:val="3CB6EC"/>
                      <w:sz w:val="40"/>
                      <w:szCs w:val="40"/>
                    </w:rPr>
                  </w:pPr>
                  <w:r>
                    <w:rPr>
                      <w:noProof/>
                    </w:rPr>
                    <w:drawing>
                      <wp:inline distT="0" distB="0" distL="0" distR="0" wp14:anchorId="50CFD9F2" wp14:editId="50E8FF57">
                        <wp:extent cx="795655" cy="781050"/>
                        <wp:effectExtent l="0" t="0" r="4445" b="0"/>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5655" cy="781050"/>
                                </a:xfrm>
                                <a:prstGeom prst="rect">
                                  <a:avLst/>
                                </a:prstGeom>
                              </pic:spPr>
                            </pic:pic>
                          </a:graphicData>
                        </a:graphic>
                      </wp:inline>
                    </w:drawing>
                  </w:r>
                </w:p>
              </w:tc>
              <w:tc>
                <w:tcPr>
                  <w:tcW w:w="2906" w:type="dxa"/>
                </w:tcPr>
                <w:p w14:paraId="2778CD3F" w14:textId="77777777" w:rsidR="00100C87" w:rsidRDefault="00316DA2">
                  <w:pPr>
                    <w:spacing w:after="120"/>
                    <w:jc w:val="right"/>
                    <w:rPr>
                      <w:rFonts w:ascii="Arial" w:hAnsi="Arial" w:cs="Arial"/>
                      <w:b/>
                      <w:color w:val="3CB6EC"/>
                      <w:sz w:val="40"/>
                      <w:szCs w:val="40"/>
                    </w:rPr>
                  </w:pPr>
                  <w:r>
                    <w:rPr>
                      <w:noProof/>
                    </w:rPr>
                    <w:drawing>
                      <wp:inline distT="0" distB="0" distL="0" distR="0" wp14:anchorId="15989210" wp14:editId="41BDE36A">
                        <wp:extent cx="738505" cy="877025"/>
                        <wp:effectExtent l="0" t="0" r="4445" b="0"/>
                        <wp:docPr id="2" name="Image 2"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7664" cy="887902"/>
                                </a:xfrm>
                                <a:prstGeom prst="rect">
                                  <a:avLst/>
                                </a:prstGeom>
                                <a:noFill/>
                                <a:ln>
                                  <a:noFill/>
                                </a:ln>
                              </pic:spPr>
                            </pic:pic>
                          </a:graphicData>
                        </a:graphic>
                      </wp:inline>
                    </w:drawing>
                  </w:r>
                </w:p>
              </w:tc>
            </w:tr>
          </w:tbl>
          <w:p w14:paraId="609DB1AE" w14:textId="77777777" w:rsidR="00100C87" w:rsidRDefault="00100C87">
            <w:pPr>
              <w:spacing w:after="120"/>
              <w:rPr>
                <w:rFonts w:ascii="Arial" w:hAnsi="Arial" w:cs="Arial"/>
                <w:b/>
                <w:color w:val="3CB6EC"/>
                <w:sz w:val="40"/>
                <w:szCs w:val="40"/>
              </w:rPr>
            </w:pPr>
          </w:p>
        </w:tc>
      </w:tr>
    </w:tbl>
    <w:p w14:paraId="1AA37F6F" w14:textId="77777777" w:rsidR="00100C87" w:rsidRDefault="00316DA2">
      <w:pPr>
        <w:spacing w:after="120"/>
        <w:jc w:val="center"/>
        <w:rPr>
          <w:b/>
          <w:color w:val="3CB6EC"/>
          <w:sz w:val="40"/>
          <w:szCs w:val="40"/>
        </w:rPr>
      </w:pPr>
      <w:bookmarkStart w:id="0" w:name="gjdgxs" w:colFirst="0" w:colLast="0"/>
      <w:bookmarkEnd w:id="0"/>
      <w:r>
        <w:rPr>
          <w:b/>
          <w:noProof/>
          <w:color w:val="3CB6EC"/>
          <w:sz w:val="40"/>
          <w:szCs w:val="40"/>
        </w:rPr>
        <w:drawing>
          <wp:anchor distT="0" distB="0" distL="114300" distR="114300" simplePos="0" relativeHeight="251658241" behindDoc="0" locked="0" layoutInCell="1" allowOverlap="1" wp14:anchorId="3388636F" wp14:editId="125B7B42">
            <wp:simplePos x="0" y="0"/>
            <wp:positionH relativeFrom="column">
              <wp:posOffset>2192020</wp:posOffset>
            </wp:positionH>
            <wp:positionV relativeFrom="paragraph">
              <wp:posOffset>11678</wp:posOffset>
            </wp:positionV>
            <wp:extent cx="1609725" cy="40259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402590"/>
                    </a:xfrm>
                    <a:prstGeom prst="rect">
                      <a:avLst/>
                    </a:prstGeom>
                    <a:noFill/>
                  </pic:spPr>
                </pic:pic>
              </a:graphicData>
            </a:graphic>
          </wp:anchor>
        </w:drawing>
      </w:r>
    </w:p>
    <w:p w14:paraId="0D5C859E" w14:textId="77777777" w:rsidR="00100C87" w:rsidRDefault="00100C87">
      <w:pPr>
        <w:spacing w:after="120"/>
        <w:jc w:val="center"/>
        <w:rPr>
          <w:color w:val="3CB6EC"/>
          <w:sz w:val="32"/>
          <w:szCs w:val="40"/>
        </w:rPr>
      </w:pPr>
    </w:p>
    <w:p w14:paraId="317EAC08" w14:textId="77777777" w:rsidR="00100C87" w:rsidRDefault="00100C87">
      <w:pPr>
        <w:spacing w:after="120"/>
        <w:jc w:val="center"/>
        <w:rPr>
          <w:color w:val="3CB6EC"/>
          <w:sz w:val="32"/>
          <w:szCs w:val="40"/>
        </w:rPr>
      </w:pPr>
    </w:p>
    <w:p w14:paraId="639A7A22" w14:textId="77777777" w:rsidR="00100C87" w:rsidRDefault="00316DA2">
      <w:pPr>
        <w:spacing w:after="120"/>
        <w:jc w:val="center"/>
        <w:rPr>
          <w:color w:val="3CB6EC"/>
          <w:sz w:val="32"/>
          <w:szCs w:val="40"/>
        </w:rPr>
      </w:pPr>
      <w:r>
        <w:rPr>
          <w:color w:val="3CB6EC"/>
          <w:sz w:val="32"/>
          <w:szCs w:val="40"/>
        </w:rPr>
        <w:t>FRANCE 2030</w:t>
      </w:r>
    </w:p>
    <w:p w14:paraId="384C5247" w14:textId="77777777" w:rsidR="00100C87" w:rsidRDefault="00100C87">
      <w:pPr>
        <w:spacing w:after="120"/>
        <w:jc w:val="center"/>
        <w:rPr>
          <w:color w:val="3CB6EC"/>
          <w:sz w:val="32"/>
          <w:szCs w:val="40"/>
        </w:rPr>
      </w:pPr>
    </w:p>
    <w:p w14:paraId="62FD4528" w14:textId="77777777" w:rsidR="00100C87" w:rsidRDefault="00316DA2">
      <w:pPr>
        <w:spacing w:after="120"/>
        <w:jc w:val="center"/>
        <w:rPr>
          <w:color w:val="3CB6EC"/>
          <w:sz w:val="32"/>
          <w:szCs w:val="40"/>
        </w:rPr>
      </w:pPr>
      <w:r>
        <w:rPr>
          <w:color w:val="3CB6EC"/>
          <w:sz w:val="32"/>
          <w:szCs w:val="40"/>
        </w:rPr>
        <w:t>Appel à projets national :</w:t>
      </w:r>
      <w:r>
        <w:rPr>
          <w:color w:val="3CB6EC"/>
          <w:sz w:val="32"/>
          <w:szCs w:val="40"/>
        </w:rPr>
        <w:br/>
        <w:t xml:space="preserve"> « Développement d’une filière de production française </w:t>
      </w:r>
      <w:r>
        <w:rPr>
          <w:color w:val="3CB6EC"/>
          <w:sz w:val="32"/>
          <w:szCs w:val="40"/>
        </w:rPr>
        <w:br/>
        <w:t xml:space="preserve">de carburants aéronautiques durables </w:t>
      </w:r>
    </w:p>
    <w:p w14:paraId="295307CB" w14:textId="77777777" w:rsidR="00100C87" w:rsidRDefault="00100C87">
      <w:pPr>
        <w:pStyle w:val="Paragraphedeliste"/>
        <w:numPr>
          <w:ilvl w:val="0"/>
          <w:numId w:val="15"/>
        </w:numPr>
        <w:spacing w:after="120"/>
        <w:jc w:val="center"/>
        <w:rPr>
          <w:color w:val="3CB6EC"/>
          <w:sz w:val="32"/>
          <w:szCs w:val="40"/>
        </w:rPr>
      </w:pPr>
    </w:p>
    <w:p w14:paraId="715EBEAD" w14:textId="77777777" w:rsidR="00100C87" w:rsidRDefault="00316DA2">
      <w:pPr>
        <w:pStyle w:val="Paragraphedeliste"/>
        <w:spacing w:after="120"/>
        <w:rPr>
          <w:color w:val="3CB6EC"/>
          <w:sz w:val="32"/>
          <w:szCs w:val="40"/>
        </w:rPr>
      </w:pPr>
      <w:r>
        <w:rPr>
          <w:color w:val="3CB6EC"/>
          <w:sz w:val="32"/>
          <w:szCs w:val="40"/>
        </w:rPr>
        <w:t>Soutien aux études d’ingénierie d’avant-projet (FEED) »</w:t>
      </w:r>
    </w:p>
    <w:p w14:paraId="5AC5DB12" w14:textId="77777777" w:rsidR="00100C87" w:rsidRDefault="00100C87">
      <w:pPr>
        <w:spacing w:after="120"/>
        <w:jc w:val="center"/>
        <w:rPr>
          <w:b/>
          <w:color w:val="3CB6EC"/>
          <w:sz w:val="24"/>
          <w:szCs w:val="24"/>
        </w:rPr>
      </w:pPr>
    </w:p>
    <w:p w14:paraId="737234DA" w14:textId="77777777" w:rsidR="00100C87" w:rsidRDefault="00100C87">
      <w:pPr>
        <w:pStyle w:val="Default"/>
        <w:spacing w:after="120"/>
        <w:jc w:val="center"/>
        <w:rPr>
          <w:sz w:val="22"/>
          <w:szCs w:val="22"/>
        </w:rPr>
      </w:pPr>
    </w:p>
    <w:p w14:paraId="7F627DF0" w14:textId="77777777" w:rsidR="00100C87" w:rsidRDefault="00100C87">
      <w:pPr>
        <w:pStyle w:val="Default"/>
        <w:spacing w:after="120"/>
        <w:jc w:val="center"/>
        <w:rPr>
          <w:sz w:val="22"/>
          <w:szCs w:val="22"/>
        </w:rPr>
      </w:pPr>
    </w:p>
    <w:p w14:paraId="00864C03" w14:textId="631A940F" w:rsidR="00100C87" w:rsidRDefault="00316DA2">
      <w:pPr>
        <w:pStyle w:val="Default"/>
        <w:jc w:val="both"/>
        <w:rPr>
          <w:b/>
          <w:bCs/>
          <w:sz w:val="22"/>
          <w:szCs w:val="22"/>
        </w:rPr>
      </w:pPr>
      <w:r>
        <w:rPr>
          <w:b/>
          <w:bCs/>
          <w:sz w:val="22"/>
          <w:szCs w:val="22"/>
        </w:rPr>
        <w:t xml:space="preserve">Cet appel à projets (ci-après « l’AAP ») est ouvert à compter du </w:t>
      </w:r>
      <w:r>
        <w:rPr>
          <w:b/>
          <w:sz w:val="22"/>
          <w:szCs w:val="22"/>
        </w:rPr>
        <w:t>15/12/2023</w:t>
      </w:r>
      <w:r>
        <w:rPr>
          <w:b/>
          <w:bCs/>
          <w:sz w:val="22"/>
          <w:szCs w:val="22"/>
        </w:rPr>
        <w:t xml:space="preserve"> et se clôture le </w:t>
      </w:r>
      <w:r>
        <w:rPr>
          <w:b/>
          <w:sz w:val="22"/>
          <w:szCs w:val="22"/>
        </w:rPr>
        <w:t xml:space="preserve">28/06/2024 </w:t>
      </w:r>
      <w:r>
        <w:rPr>
          <w:b/>
          <w:bCs/>
          <w:sz w:val="22"/>
          <w:szCs w:val="22"/>
        </w:rPr>
        <w:t>à 12h00 (GMT +1)</w:t>
      </w:r>
      <w:r w:rsidR="00DE144F">
        <w:rPr>
          <w:rStyle w:val="Appelnotedebasdep"/>
          <w:b/>
          <w:bCs/>
          <w:sz w:val="22"/>
          <w:szCs w:val="22"/>
        </w:rPr>
        <w:footnoteReference w:id="2"/>
      </w:r>
      <w:r>
        <w:rPr>
          <w:b/>
          <w:bCs/>
          <w:sz w:val="22"/>
          <w:szCs w:val="22"/>
        </w:rPr>
        <w:t xml:space="preserve">. </w:t>
      </w:r>
    </w:p>
    <w:p w14:paraId="3B1ED141" w14:textId="77777777" w:rsidR="00100C87" w:rsidRDefault="00100C87">
      <w:pPr>
        <w:spacing w:after="120"/>
        <w:rPr>
          <w:b/>
          <w:bCs/>
        </w:rPr>
      </w:pPr>
    </w:p>
    <w:p w14:paraId="284E6D01" w14:textId="77777777" w:rsidR="00100C87" w:rsidRDefault="00100C87">
      <w:pPr>
        <w:tabs>
          <w:tab w:val="left" w:pos="7215"/>
        </w:tabs>
      </w:pPr>
    </w:p>
    <w:p w14:paraId="63B87BC1" w14:textId="77777777" w:rsidR="00100C87" w:rsidRDefault="00316DA2">
      <w:r>
        <w:t>Les modalités d’octroi et de versement des aides devront être conformes aux régimes cadres d’aides d’Etat en vigueur à échéance de la contractualisation ; l’ADEME se réserve donc la possibilité d’adapter les modalités de soutien des dossiers au regard de l’évolution des encadrements communautaires ou des régimes d’aides d’Etat applicables.</w:t>
      </w:r>
    </w:p>
    <w:p w14:paraId="37708463" w14:textId="77777777" w:rsidR="00100C87" w:rsidRDefault="00100C87"/>
    <w:p w14:paraId="262DB9EE" w14:textId="77777777" w:rsidR="00100C87" w:rsidRDefault="00100C87"/>
    <w:p w14:paraId="4342AE36" w14:textId="77777777" w:rsidR="00100C87" w:rsidRDefault="00100C87"/>
    <w:p w14:paraId="702223C8" w14:textId="77777777" w:rsidR="00100C87" w:rsidRDefault="00100C87">
      <w:pPr>
        <w:tabs>
          <w:tab w:val="left" w:pos="2599"/>
        </w:tabs>
      </w:pPr>
    </w:p>
    <w:p w14:paraId="68C3AB83" w14:textId="77777777" w:rsidR="00100C87" w:rsidRDefault="00316DA2">
      <w:pPr>
        <w:tabs>
          <w:tab w:val="left" w:pos="2599"/>
        </w:tabs>
        <w:sectPr w:rsidR="00100C87">
          <w:footerReference w:type="default" r:id="rId15"/>
          <w:footerReference w:type="first" r:id="rId16"/>
          <w:pgSz w:w="11906" w:h="16838"/>
          <w:pgMar w:top="1134" w:right="1418" w:bottom="1134" w:left="1418" w:header="567" w:footer="142" w:gutter="0"/>
          <w:cols w:space="720"/>
          <w:formProt w:val="0"/>
          <w:docGrid w:linePitch="312" w:charSpace="-2049"/>
        </w:sectPr>
      </w:pPr>
      <w:r>
        <w:tab/>
      </w:r>
    </w:p>
    <w:p w14:paraId="3597A42C" w14:textId="77777777" w:rsidR="00100C87" w:rsidRDefault="00316DA2">
      <w:pPr>
        <w:pStyle w:val="Titre1"/>
        <w:spacing w:before="0" w:after="120" w:line="240" w:lineRule="auto"/>
      </w:pPr>
      <w:bookmarkStart w:id="2" w:name="_Toc10651050"/>
      <w:bookmarkStart w:id="3" w:name="_Toc158208386"/>
      <w:r>
        <w:lastRenderedPageBreak/>
        <w:t xml:space="preserve">Fiche synthétique de l’appel </w:t>
      </w:r>
      <w:proofErr w:type="spellStart"/>
      <w:r>
        <w:t>a</w:t>
      </w:r>
      <w:proofErr w:type="spellEnd"/>
      <w:r>
        <w:t xml:space="preserve"> projets</w:t>
      </w:r>
      <w:bookmarkEnd w:id="3"/>
    </w:p>
    <w:p w14:paraId="1581EED3" w14:textId="77777777" w:rsidR="00100C87" w:rsidRDefault="00100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100C87" w14:paraId="12A9027A" w14:textId="77777777">
        <w:tc>
          <w:tcPr>
            <w:tcW w:w="2263" w:type="dxa"/>
          </w:tcPr>
          <w:p w14:paraId="34B3C907" w14:textId="77777777" w:rsidR="00100C87" w:rsidRDefault="00316DA2">
            <w:pPr>
              <w:jc w:val="left"/>
              <w:rPr>
                <w:rFonts w:ascii="Marianne" w:hAnsi="Marianne"/>
                <w:sz w:val="18"/>
                <w:szCs w:val="18"/>
              </w:rPr>
            </w:pPr>
            <w:r>
              <w:rPr>
                <w:rFonts w:ascii="Marianne" w:hAnsi="Marianne"/>
                <w:sz w:val="18"/>
                <w:szCs w:val="18"/>
              </w:rPr>
              <w:t>Nom de l’AAP</w:t>
            </w:r>
          </w:p>
        </w:tc>
        <w:tc>
          <w:tcPr>
            <w:tcW w:w="6797" w:type="dxa"/>
          </w:tcPr>
          <w:p w14:paraId="7033EA1B" w14:textId="77777777" w:rsidR="00100C87" w:rsidRDefault="00316DA2">
            <w:pPr>
              <w:jc w:val="left"/>
              <w:rPr>
                <w:rFonts w:ascii="Marianne" w:hAnsi="Marianne"/>
                <w:sz w:val="18"/>
                <w:szCs w:val="18"/>
              </w:rPr>
            </w:pPr>
            <w:r>
              <w:rPr>
                <w:rFonts w:ascii="Marianne" w:hAnsi="Marianne"/>
                <w:sz w:val="18"/>
                <w:szCs w:val="18"/>
              </w:rPr>
              <w:t>Développement d’une filière de production française de carburants aéronautiques durables – Soutien aux études d’ingénierie préliminaire (FEED)</w:t>
            </w:r>
          </w:p>
        </w:tc>
      </w:tr>
      <w:tr w:rsidR="00100C87" w14:paraId="3177EBB3" w14:textId="77777777">
        <w:tc>
          <w:tcPr>
            <w:tcW w:w="2263" w:type="dxa"/>
          </w:tcPr>
          <w:p w14:paraId="78D0AEC0" w14:textId="77777777" w:rsidR="00100C87" w:rsidRDefault="00316DA2">
            <w:pPr>
              <w:jc w:val="left"/>
              <w:rPr>
                <w:rFonts w:ascii="Marianne" w:hAnsi="Marianne"/>
                <w:sz w:val="18"/>
                <w:szCs w:val="18"/>
              </w:rPr>
            </w:pPr>
            <w:r>
              <w:rPr>
                <w:rFonts w:ascii="Marianne" w:hAnsi="Marianne"/>
                <w:sz w:val="18"/>
                <w:szCs w:val="18"/>
              </w:rPr>
              <w:t>Contact et dépôts</w:t>
            </w:r>
          </w:p>
        </w:tc>
        <w:tc>
          <w:tcPr>
            <w:tcW w:w="6797" w:type="dxa"/>
          </w:tcPr>
          <w:p w14:paraId="78CCF0EF" w14:textId="77777777" w:rsidR="00100C87" w:rsidRDefault="00316DA2">
            <w:pPr>
              <w:rPr>
                <w:rFonts w:ascii="Marianne" w:hAnsi="Marianne"/>
                <w:sz w:val="18"/>
                <w:szCs w:val="18"/>
              </w:rPr>
            </w:pPr>
            <w:r>
              <w:rPr>
                <w:rFonts w:ascii="Marianne" w:hAnsi="Marianne"/>
                <w:b/>
                <w:sz w:val="18"/>
                <w:szCs w:val="18"/>
              </w:rPr>
              <w:t>Dates de relève des dossiers</w:t>
            </w:r>
            <w:r>
              <w:rPr>
                <w:rFonts w:ascii="Calibri" w:hAnsi="Calibri" w:cs="Calibri"/>
                <w:sz w:val="18"/>
                <w:szCs w:val="18"/>
              </w:rPr>
              <w:t> </w:t>
            </w:r>
            <w:r>
              <w:rPr>
                <w:rFonts w:ascii="Marianne" w:hAnsi="Marianne"/>
                <w:sz w:val="18"/>
                <w:szCs w:val="18"/>
              </w:rPr>
              <w:t xml:space="preserve">: </w:t>
            </w:r>
          </w:p>
          <w:p w14:paraId="69440452" w14:textId="77777777" w:rsidR="00100C87" w:rsidRDefault="00316DA2">
            <w:pPr>
              <w:rPr>
                <w:rFonts w:ascii="Marianne" w:hAnsi="Marianne"/>
                <w:sz w:val="18"/>
                <w:szCs w:val="18"/>
              </w:rPr>
            </w:pPr>
            <w:r>
              <w:rPr>
                <w:rFonts w:ascii="Marianne" w:hAnsi="Marianne"/>
                <w:sz w:val="18"/>
                <w:szCs w:val="18"/>
              </w:rPr>
              <w:t>28 juin 2024</w:t>
            </w:r>
          </w:p>
          <w:p w14:paraId="7166B599" w14:textId="77777777" w:rsidR="00100C87" w:rsidRDefault="00316DA2">
            <w:pPr>
              <w:rPr>
                <w:rFonts w:ascii="Marianne" w:hAnsi="Marianne"/>
                <w:sz w:val="18"/>
                <w:szCs w:val="18"/>
              </w:rPr>
            </w:pPr>
            <w:r>
              <w:rPr>
                <w:rFonts w:ascii="Marianne" w:hAnsi="Marianne"/>
                <w:b/>
                <w:bCs/>
                <w:sz w:val="18"/>
                <w:szCs w:val="18"/>
              </w:rPr>
              <w:t>Le pré-dépôt (avec l’annexe 2) est obligatoire et à réaliser 1 mois avant le dépôt</w:t>
            </w:r>
            <w:r>
              <w:rPr>
                <w:rFonts w:ascii="Marianne" w:hAnsi="Marianne"/>
                <w:sz w:val="18"/>
                <w:szCs w:val="18"/>
              </w:rPr>
              <w:t>, en contactant l’adresse</w:t>
            </w:r>
            <w:r>
              <w:rPr>
                <w:rFonts w:ascii="Calibri" w:hAnsi="Calibri" w:cs="Calibri"/>
                <w:sz w:val="18"/>
                <w:szCs w:val="18"/>
              </w:rPr>
              <w:t> </w:t>
            </w:r>
            <w:r>
              <w:rPr>
                <w:rFonts w:ascii="Marianne" w:hAnsi="Marianne"/>
                <w:sz w:val="18"/>
                <w:szCs w:val="18"/>
              </w:rPr>
              <w:t>:</w:t>
            </w:r>
          </w:p>
          <w:p w14:paraId="0C51996F" w14:textId="77777777" w:rsidR="00100C87" w:rsidRDefault="00267F4F">
            <w:pPr>
              <w:rPr>
                <w:sz w:val="18"/>
                <w:szCs w:val="18"/>
              </w:rPr>
            </w:pPr>
            <w:hyperlink r:id="rId17" w:history="1">
              <w:r w:rsidR="00316DA2">
                <w:rPr>
                  <w:rStyle w:val="Lienhypertexte"/>
                  <w:sz w:val="18"/>
                  <w:szCs w:val="18"/>
                </w:rPr>
                <w:t>aap.biocarb@ademe.fr</w:t>
              </w:r>
            </w:hyperlink>
          </w:p>
        </w:tc>
      </w:tr>
      <w:tr w:rsidR="00100C87" w14:paraId="0A5D937E" w14:textId="77777777">
        <w:tc>
          <w:tcPr>
            <w:tcW w:w="2263" w:type="dxa"/>
          </w:tcPr>
          <w:p w14:paraId="609A0A97" w14:textId="77777777" w:rsidR="00100C87" w:rsidRDefault="00316DA2">
            <w:pPr>
              <w:jc w:val="left"/>
              <w:rPr>
                <w:rFonts w:ascii="Marianne" w:hAnsi="Marianne"/>
                <w:sz w:val="18"/>
                <w:szCs w:val="18"/>
              </w:rPr>
            </w:pPr>
            <w:r>
              <w:rPr>
                <w:rFonts w:ascii="Marianne" w:hAnsi="Marianne"/>
                <w:sz w:val="18"/>
                <w:szCs w:val="18"/>
              </w:rPr>
              <w:t>Objectifs</w:t>
            </w:r>
          </w:p>
        </w:tc>
        <w:tc>
          <w:tcPr>
            <w:tcW w:w="6797" w:type="dxa"/>
          </w:tcPr>
          <w:p w14:paraId="10953786" w14:textId="77777777" w:rsidR="00100C87" w:rsidRDefault="00316DA2">
            <w:pPr>
              <w:rPr>
                <w:rFonts w:ascii="Marianne" w:hAnsi="Marianne"/>
                <w:sz w:val="18"/>
                <w:szCs w:val="18"/>
              </w:rPr>
            </w:pPr>
            <w:r>
              <w:rPr>
                <w:rFonts w:ascii="Marianne" w:hAnsi="Marianne"/>
                <w:sz w:val="18"/>
                <w:szCs w:val="18"/>
              </w:rPr>
              <w:t>Développer la production de carburants aéronautiques durables, et plus particulièrement de biocarburants produits à partir de matières premières autorisées par la réglementation européenne (REDIII) ou de carburants de synthèse durables, sur le territoire national.</w:t>
            </w:r>
          </w:p>
          <w:p w14:paraId="477FBC0A" w14:textId="77777777" w:rsidR="00100C87" w:rsidRDefault="00316DA2">
            <w:pPr>
              <w:rPr>
                <w:rFonts w:ascii="Marianne" w:hAnsi="Marianne"/>
                <w:sz w:val="18"/>
                <w:szCs w:val="18"/>
              </w:rPr>
            </w:pPr>
            <w:r>
              <w:rPr>
                <w:rFonts w:ascii="Marianne" w:hAnsi="Marianne"/>
                <w:sz w:val="18"/>
                <w:szCs w:val="18"/>
              </w:rPr>
              <w:t>Soutenir les travaux d’ingénierie nécessaires pour engager un projet dans la phase de décision d’investissement industriel.</w:t>
            </w:r>
          </w:p>
        </w:tc>
      </w:tr>
      <w:tr w:rsidR="00100C87" w14:paraId="2A77CE4D" w14:textId="77777777">
        <w:tc>
          <w:tcPr>
            <w:tcW w:w="2263" w:type="dxa"/>
          </w:tcPr>
          <w:p w14:paraId="42F003AB" w14:textId="77777777" w:rsidR="00100C87" w:rsidRDefault="00316DA2">
            <w:pPr>
              <w:jc w:val="left"/>
              <w:rPr>
                <w:rFonts w:ascii="Marianne" w:hAnsi="Marianne"/>
                <w:sz w:val="18"/>
                <w:szCs w:val="18"/>
              </w:rPr>
            </w:pPr>
            <w:r>
              <w:rPr>
                <w:rFonts w:ascii="Marianne" w:hAnsi="Marianne"/>
                <w:sz w:val="18"/>
                <w:szCs w:val="18"/>
              </w:rPr>
              <w:t>Bénéficiaires cibles</w:t>
            </w:r>
          </w:p>
        </w:tc>
        <w:tc>
          <w:tcPr>
            <w:tcW w:w="6797" w:type="dxa"/>
          </w:tcPr>
          <w:p w14:paraId="0CC9881F" w14:textId="77777777" w:rsidR="00100C87" w:rsidRDefault="00316DA2">
            <w:pPr>
              <w:rPr>
                <w:rFonts w:ascii="Marianne" w:hAnsi="Marianne"/>
                <w:sz w:val="18"/>
                <w:szCs w:val="18"/>
              </w:rPr>
            </w:pPr>
            <w:r>
              <w:rPr>
                <w:rFonts w:ascii="Marianne" w:hAnsi="Marianne"/>
                <w:sz w:val="18"/>
                <w:szCs w:val="18"/>
              </w:rPr>
              <w:t>Entreprises ou consortium intégrant les acteurs clés de l’ensemble de la chaîne de valeur, de la production ou la collecte de biomasse ou autres intrants (H</w:t>
            </w:r>
            <w:r>
              <w:rPr>
                <w:rFonts w:ascii="Marianne" w:hAnsi="Marianne"/>
                <w:sz w:val="18"/>
                <w:szCs w:val="18"/>
                <w:vertAlign w:val="subscript"/>
              </w:rPr>
              <w:t>2</w:t>
            </w:r>
            <w:r>
              <w:rPr>
                <w:rFonts w:ascii="Marianne" w:hAnsi="Marianne"/>
                <w:sz w:val="18"/>
                <w:szCs w:val="18"/>
              </w:rPr>
              <w:t>, CO</w:t>
            </w:r>
            <w:r>
              <w:rPr>
                <w:rFonts w:ascii="Marianne" w:hAnsi="Marianne"/>
                <w:sz w:val="18"/>
                <w:szCs w:val="18"/>
                <w:vertAlign w:val="subscript"/>
              </w:rPr>
              <w:t>2</w:t>
            </w:r>
            <w:r>
              <w:rPr>
                <w:rFonts w:ascii="Marianne" w:hAnsi="Marianne"/>
                <w:sz w:val="18"/>
                <w:szCs w:val="18"/>
              </w:rPr>
              <w:t>) à l’utilisation des carburants durables en passant par la distribution sur les aéroports.</w:t>
            </w:r>
          </w:p>
        </w:tc>
      </w:tr>
      <w:tr w:rsidR="00100C87" w14:paraId="7FD292FD" w14:textId="77777777">
        <w:tc>
          <w:tcPr>
            <w:tcW w:w="2263" w:type="dxa"/>
          </w:tcPr>
          <w:p w14:paraId="51322CEC" w14:textId="77777777" w:rsidR="00100C87" w:rsidRDefault="00316DA2">
            <w:pPr>
              <w:jc w:val="left"/>
              <w:rPr>
                <w:rFonts w:ascii="Marianne" w:hAnsi="Marianne"/>
                <w:sz w:val="18"/>
                <w:szCs w:val="18"/>
              </w:rPr>
            </w:pPr>
            <w:r>
              <w:rPr>
                <w:rFonts w:ascii="Marianne" w:hAnsi="Marianne"/>
                <w:sz w:val="18"/>
                <w:szCs w:val="18"/>
              </w:rPr>
              <w:t xml:space="preserve">Eligibilité des projets </w:t>
            </w:r>
          </w:p>
        </w:tc>
        <w:tc>
          <w:tcPr>
            <w:tcW w:w="6797" w:type="dxa"/>
          </w:tcPr>
          <w:p w14:paraId="0CF2487B" w14:textId="155A2BFE" w:rsidR="00100C87" w:rsidRDefault="00316DA2">
            <w:pPr>
              <w:rPr>
                <w:rFonts w:ascii="Marianne" w:hAnsi="Marianne"/>
                <w:bCs/>
                <w:sz w:val="18"/>
                <w:szCs w:val="18"/>
              </w:rPr>
            </w:pPr>
            <w:r>
              <w:rPr>
                <w:rFonts w:ascii="Marianne" w:hAnsi="Marianne"/>
                <w:bCs/>
                <w:sz w:val="18"/>
                <w:szCs w:val="18"/>
              </w:rPr>
              <w:t>Coût total du projet (minimum)</w:t>
            </w:r>
            <w:r>
              <w:rPr>
                <w:rFonts w:ascii="Calibri" w:hAnsi="Calibri" w:cs="Calibri"/>
                <w:bCs/>
                <w:sz w:val="18"/>
                <w:szCs w:val="18"/>
              </w:rPr>
              <w:t> </w:t>
            </w:r>
            <w:r>
              <w:rPr>
                <w:rFonts w:ascii="Marianne" w:hAnsi="Marianne"/>
                <w:bCs/>
                <w:sz w:val="18"/>
                <w:szCs w:val="18"/>
              </w:rPr>
              <w:t>: 10</w:t>
            </w:r>
            <w:r>
              <w:rPr>
                <w:rFonts w:ascii="Marianne" w:hAnsi="Marianne"/>
                <w:sz w:val="18"/>
                <w:szCs w:val="18"/>
              </w:rPr>
              <w:t xml:space="preserve"> M EUR</w:t>
            </w:r>
            <w:r>
              <w:rPr>
                <w:rFonts w:ascii="Marianne" w:hAnsi="Marianne"/>
                <w:bCs/>
                <w:sz w:val="18"/>
                <w:szCs w:val="18"/>
              </w:rPr>
              <w:t xml:space="preserve"> </w:t>
            </w:r>
          </w:p>
          <w:p w14:paraId="45D35BFE" w14:textId="77777777" w:rsidR="00100C87" w:rsidRDefault="00316DA2">
            <w:pPr>
              <w:rPr>
                <w:rFonts w:ascii="Marianne" w:hAnsi="Marianne"/>
                <w:bCs/>
                <w:sz w:val="18"/>
                <w:szCs w:val="18"/>
              </w:rPr>
            </w:pPr>
            <w:r>
              <w:rPr>
                <w:rFonts w:ascii="Marianne" w:hAnsi="Marianne"/>
                <w:bCs/>
                <w:sz w:val="18"/>
                <w:szCs w:val="18"/>
              </w:rPr>
              <w:t>Volume de production cible (minimum)</w:t>
            </w:r>
            <w:r>
              <w:rPr>
                <w:rFonts w:ascii="Calibri" w:hAnsi="Calibri" w:cs="Calibri"/>
                <w:bCs/>
                <w:sz w:val="18"/>
                <w:szCs w:val="18"/>
              </w:rPr>
              <w:t> </w:t>
            </w:r>
            <w:r>
              <w:rPr>
                <w:rFonts w:ascii="Marianne" w:hAnsi="Marianne"/>
                <w:bCs/>
                <w:sz w:val="18"/>
                <w:szCs w:val="18"/>
              </w:rPr>
              <w:t>: 10 kt/an</w:t>
            </w:r>
          </w:p>
          <w:p w14:paraId="587CF9C9" w14:textId="77777777" w:rsidR="00100C87" w:rsidRDefault="00316DA2">
            <w:pPr>
              <w:rPr>
                <w:rFonts w:ascii="Marianne" w:hAnsi="Marianne"/>
                <w:sz w:val="18"/>
                <w:szCs w:val="18"/>
              </w:rPr>
            </w:pPr>
            <w:r>
              <w:rPr>
                <w:rFonts w:ascii="Marianne" w:hAnsi="Marianne"/>
                <w:bCs/>
                <w:sz w:val="18"/>
                <w:szCs w:val="18"/>
              </w:rPr>
              <w:t>Entreprises non qualifiées d’entreprises</w:t>
            </w:r>
            <w:r>
              <w:rPr>
                <w:rFonts w:ascii="Marianne" w:hAnsi="Marianne"/>
                <w:sz w:val="18"/>
                <w:szCs w:val="18"/>
              </w:rPr>
              <w:t xml:space="preserve"> en difficulté au sens du droit européen, et non soumises à une injonction de récupération d’une aide déclarée incompatible par la Commission.</w:t>
            </w:r>
          </w:p>
          <w:p w14:paraId="4D877E0B" w14:textId="77777777" w:rsidR="00100C87" w:rsidRDefault="00316DA2">
            <w:pPr>
              <w:rPr>
                <w:rFonts w:ascii="Marianne" w:hAnsi="Marianne"/>
                <w:sz w:val="18"/>
                <w:szCs w:val="18"/>
              </w:rPr>
            </w:pPr>
            <w:r>
              <w:rPr>
                <w:rFonts w:ascii="Marianne" w:hAnsi="Marianne"/>
                <w:sz w:val="18"/>
                <w:szCs w:val="18"/>
              </w:rPr>
              <w:t>Respect de l’objet de l’AAP et des délais.</w:t>
            </w:r>
          </w:p>
          <w:p w14:paraId="61FB46A8" w14:textId="77777777" w:rsidR="00100C87" w:rsidRDefault="00316DA2">
            <w:pPr>
              <w:rPr>
                <w:rFonts w:ascii="Marianne" w:hAnsi="Marianne"/>
                <w:sz w:val="18"/>
                <w:szCs w:val="18"/>
              </w:rPr>
            </w:pPr>
            <w:r>
              <w:rPr>
                <w:rFonts w:ascii="Marianne" w:hAnsi="Marianne"/>
                <w:sz w:val="18"/>
                <w:szCs w:val="18"/>
              </w:rPr>
              <w:t>Dans le cas d’un consortium, maximum 5 partenaires demandeurs d’aides.</w:t>
            </w:r>
          </w:p>
        </w:tc>
      </w:tr>
      <w:tr w:rsidR="00100C87" w14:paraId="041DA419" w14:textId="77777777">
        <w:tc>
          <w:tcPr>
            <w:tcW w:w="2263" w:type="dxa"/>
          </w:tcPr>
          <w:p w14:paraId="4C5DECB2" w14:textId="77777777" w:rsidR="00100C87" w:rsidRDefault="00316DA2">
            <w:pPr>
              <w:jc w:val="left"/>
              <w:rPr>
                <w:rFonts w:ascii="Marianne" w:hAnsi="Marianne"/>
                <w:sz w:val="18"/>
                <w:szCs w:val="18"/>
              </w:rPr>
            </w:pPr>
            <w:r>
              <w:rPr>
                <w:rFonts w:ascii="Marianne" w:hAnsi="Marianne"/>
                <w:sz w:val="18"/>
                <w:szCs w:val="18"/>
              </w:rPr>
              <w:t>Critères de sélection</w:t>
            </w:r>
          </w:p>
        </w:tc>
        <w:tc>
          <w:tcPr>
            <w:tcW w:w="6797" w:type="dxa"/>
          </w:tcPr>
          <w:p w14:paraId="4A4E3B03" w14:textId="77777777" w:rsidR="00100C87" w:rsidRDefault="00316DA2">
            <w:pPr>
              <w:rPr>
                <w:rFonts w:ascii="Marianne" w:hAnsi="Marianne"/>
                <w:b/>
                <w:sz w:val="18"/>
                <w:szCs w:val="18"/>
              </w:rPr>
            </w:pPr>
            <w:r>
              <w:rPr>
                <w:rFonts w:ascii="Marianne" w:hAnsi="Marianne"/>
                <w:b/>
                <w:sz w:val="18"/>
                <w:szCs w:val="18"/>
              </w:rPr>
              <w:t>Priorité accordée aux projets avec études pré-FEED déjà réalisées.</w:t>
            </w:r>
          </w:p>
          <w:p w14:paraId="363AAD78" w14:textId="77777777" w:rsidR="00100C87" w:rsidRDefault="00316DA2">
            <w:pPr>
              <w:rPr>
                <w:rFonts w:ascii="Marianne" w:hAnsi="Marianne"/>
                <w:sz w:val="18"/>
                <w:szCs w:val="18"/>
              </w:rPr>
            </w:pPr>
            <w:r>
              <w:rPr>
                <w:rFonts w:ascii="Marianne" w:hAnsi="Marianne"/>
                <w:sz w:val="18"/>
                <w:szCs w:val="18"/>
              </w:rPr>
              <w:t>Qualité du montage du projet, pertinence et complémentarité du partenariat, plan de financement, coût de production du carburant et prix de vente cibles, plan d’approvisionnement en intrants, clé de répartition entre les produits en sortie de procédé, performance environnementale, caractère généralisable du procédé de production du carburant durable, stratégie de déploiement du procédé de production au niveau national et à l’international.</w:t>
            </w:r>
          </w:p>
        </w:tc>
      </w:tr>
      <w:tr w:rsidR="00100C87" w14:paraId="4D621FCA" w14:textId="77777777">
        <w:tc>
          <w:tcPr>
            <w:tcW w:w="2263" w:type="dxa"/>
          </w:tcPr>
          <w:p w14:paraId="002CFBD9" w14:textId="77777777" w:rsidR="00100C87" w:rsidRDefault="00316DA2">
            <w:pPr>
              <w:jc w:val="left"/>
              <w:rPr>
                <w:rFonts w:ascii="Marianne" w:hAnsi="Marianne"/>
                <w:sz w:val="18"/>
                <w:szCs w:val="18"/>
              </w:rPr>
            </w:pPr>
            <w:r>
              <w:rPr>
                <w:rFonts w:ascii="Marianne" w:hAnsi="Marianne"/>
                <w:sz w:val="18"/>
                <w:szCs w:val="18"/>
              </w:rPr>
              <w:t xml:space="preserve">Natures des aides </w:t>
            </w:r>
          </w:p>
        </w:tc>
        <w:tc>
          <w:tcPr>
            <w:tcW w:w="6797" w:type="dxa"/>
          </w:tcPr>
          <w:p w14:paraId="58C6601D" w14:textId="77777777" w:rsidR="00100C87" w:rsidRDefault="00316DA2">
            <w:pPr>
              <w:rPr>
                <w:rFonts w:ascii="Marianne" w:hAnsi="Marianne"/>
                <w:sz w:val="18"/>
                <w:szCs w:val="18"/>
              </w:rPr>
            </w:pPr>
            <w:r>
              <w:rPr>
                <w:rFonts w:ascii="Marianne" w:hAnsi="Marianne"/>
                <w:b/>
                <w:sz w:val="18"/>
                <w:szCs w:val="18"/>
              </w:rPr>
              <w:t>100% subvention.</w:t>
            </w:r>
          </w:p>
        </w:tc>
      </w:tr>
      <w:tr w:rsidR="00100C87" w14:paraId="483857BE" w14:textId="77777777">
        <w:tc>
          <w:tcPr>
            <w:tcW w:w="2263" w:type="dxa"/>
          </w:tcPr>
          <w:p w14:paraId="486A55C9" w14:textId="77777777" w:rsidR="00100C87" w:rsidRDefault="00316DA2">
            <w:pPr>
              <w:jc w:val="left"/>
              <w:rPr>
                <w:rFonts w:ascii="Marianne" w:hAnsi="Marianne"/>
                <w:sz w:val="18"/>
                <w:szCs w:val="18"/>
              </w:rPr>
            </w:pPr>
            <w:r>
              <w:rPr>
                <w:rFonts w:ascii="Marianne" w:hAnsi="Marianne"/>
                <w:sz w:val="18"/>
                <w:szCs w:val="18"/>
              </w:rPr>
              <w:t>Liste des pièces du dossier</w:t>
            </w:r>
          </w:p>
        </w:tc>
        <w:tc>
          <w:tcPr>
            <w:tcW w:w="6797" w:type="dxa"/>
          </w:tcPr>
          <w:p w14:paraId="3269CBD9" w14:textId="77777777" w:rsidR="00100C87" w:rsidRDefault="00316DA2">
            <w:pPr>
              <w:pStyle w:val="Paragraphedeliste"/>
              <w:numPr>
                <w:ilvl w:val="0"/>
                <w:numId w:val="17"/>
              </w:numPr>
              <w:spacing w:after="120"/>
              <w:rPr>
                <w:rFonts w:ascii="Marianne" w:hAnsi="Marianne"/>
                <w:b/>
                <w:sz w:val="18"/>
                <w:szCs w:val="18"/>
              </w:rPr>
            </w:pPr>
            <w:r>
              <w:rPr>
                <w:rFonts w:ascii="Marianne" w:hAnsi="Marianne"/>
                <w:b/>
                <w:sz w:val="18"/>
                <w:szCs w:val="18"/>
              </w:rPr>
              <w:t xml:space="preserve">Document unique renseigné par l’équipe projet : </w:t>
            </w:r>
          </w:p>
          <w:p w14:paraId="1FBE16C8"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3.a : </w:t>
            </w:r>
            <w:r>
              <w:rPr>
                <w:rFonts w:ascii="Marianne" w:hAnsi="Marianne"/>
                <w:sz w:val="18"/>
                <w:szCs w:val="18"/>
              </w:rPr>
              <w:tab/>
              <w:t>Descriptif détaillé du projet</w:t>
            </w:r>
          </w:p>
          <w:p w14:paraId="5A7CAD0E"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4 : </w:t>
            </w:r>
            <w:r>
              <w:rPr>
                <w:rFonts w:ascii="Marianne" w:hAnsi="Marianne"/>
                <w:sz w:val="18"/>
                <w:szCs w:val="18"/>
              </w:rPr>
              <w:tab/>
              <w:t>Base de données des coûts du projet</w:t>
            </w:r>
          </w:p>
          <w:p w14:paraId="7C07C6FA"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Annexe 5 :</w:t>
            </w:r>
            <w:r>
              <w:rPr>
                <w:rFonts w:ascii="Marianne" w:hAnsi="Marianne"/>
                <w:sz w:val="18"/>
                <w:szCs w:val="18"/>
              </w:rPr>
              <w:tab/>
              <w:t xml:space="preserve">Grille d’impacts </w:t>
            </w:r>
          </w:p>
          <w:p w14:paraId="51695D4E"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Annexe 8 :</w:t>
            </w:r>
            <w:r>
              <w:rPr>
                <w:rFonts w:ascii="Marianne" w:hAnsi="Marianne"/>
                <w:sz w:val="18"/>
                <w:szCs w:val="18"/>
              </w:rPr>
              <w:tab/>
              <w:t>Fiche Lauréat</w:t>
            </w:r>
          </w:p>
          <w:p w14:paraId="522D562C"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9 : </w:t>
            </w:r>
            <w:r>
              <w:rPr>
                <w:rFonts w:ascii="Marianne" w:hAnsi="Marianne"/>
                <w:sz w:val="18"/>
                <w:szCs w:val="18"/>
              </w:rPr>
              <w:tab/>
              <w:t>Plan d’approvisionnement biomasse</w:t>
            </w:r>
          </w:p>
          <w:p w14:paraId="304FB1D9"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10 : </w:t>
            </w:r>
            <w:r>
              <w:rPr>
                <w:rFonts w:ascii="Marianne" w:hAnsi="Marianne"/>
                <w:sz w:val="18"/>
                <w:szCs w:val="18"/>
              </w:rPr>
              <w:tab/>
              <w:t>Plan d’approvisionnement CO</w:t>
            </w:r>
            <w:r>
              <w:rPr>
                <w:rFonts w:ascii="Marianne" w:hAnsi="Marianne"/>
                <w:sz w:val="18"/>
                <w:szCs w:val="18"/>
                <w:vertAlign w:val="subscript"/>
              </w:rPr>
              <w:t>2</w:t>
            </w:r>
            <w:r>
              <w:rPr>
                <w:rFonts w:ascii="Marianne" w:hAnsi="Marianne"/>
                <w:sz w:val="18"/>
                <w:szCs w:val="18"/>
              </w:rPr>
              <w:t>, électricité, H</w:t>
            </w:r>
            <w:r>
              <w:rPr>
                <w:rFonts w:ascii="Marianne" w:hAnsi="Marianne"/>
                <w:sz w:val="18"/>
                <w:szCs w:val="18"/>
                <w:vertAlign w:val="subscript"/>
              </w:rPr>
              <w:t>2</w:t>
            </w:r>
            <w:r>
              <w:rPr>
                <w:rFonts w:ascii="Marianne" w:hAnsi="Marianne"/>
                <w:sz w:val="18"/>
                <w:szCs w:val="18"/>
              </w:rPr>
              <w:t>, eau</w:t>
            </w:r>
          </w:p>
          <w:p w14:paraId="429C4793" w14:textId="617432B8" w:rsidR="009768BF" w:rsidRDefault="009768BF" w:rsidP="009768BF">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11 : </w:t>
            </w:r>
            <w:r>
              <w:rPr>
                <w:rFonts w:ascii="Marianne" w:hAnsi="Marianne"/>
                <w:sz w:val="18"/>
                <w:szCs w:val="18"/>
              </w:rPr>
              <w:tab/>
              <w:t>Evaluation socioéconomique des grands projets</w:t>
            </w:r>
          </w:p>
          <w:p w14:paraId="7C669FD4" w14:textId="77777777" w:rsidR="00100C87" w:rsidRDefault="00316DA2">
            <w:pPr>
              <w:pStyle w:val="Paragraphedeliste"/>
              <w:numPr>
                <w:ilvl w:val="0"/>
                <w:numId w:val="17"/>
              </w:numPr>
              <w:spacing w:after="120"/>
              <w:rPr>
                <w:rFonts w:ascii="Marianne" w:hAnsi="Marianne"/>
                <w:b/>
                <w:sz w:val="18"/>
                <w:szCs w:val="18"/>
              </w:rPr>
            </w:pPr>
            <w:r>
              <w:rPr>
                <w:rFonts w:ascii="Marianne" w:hAnsi="Marianne"/>
                <w:b/>
                <w:sz w:val="18"/>
                <w:szCs w:val="18"/>
              </w:rPr>
              <w:t xml:space="preserve">Document à renseigner par chaque demandeur d’aide : </w:t>
            </w:r>
          </w:p>
          <w:p w14:paraId="080E8B98"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Annexe 1 :</w:t>
            </w:r>
            <w:r>
              <w:rPr>
                <w:rFonts w:ascii="Marianne" w:hAnsi="Marianne"/>
                <w:sz w:val="18"/>
                <w:szCs w:val="18"/>
              </w:rPr>
              <w:tab/>
              <w:t>Conditions Générales France 2030</w:t>
            </w:r>
          </w:p>
          <w:p w14:paraId="310DF832"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3.b : </w:t>
            </w:r>
            <w:r>
              <w:rPr>
                <w:rFonts w:ascii="Marianne" w:hAnsi="Marianne"/>
                <w:sz w:val="18"/>
                <w:szCs w:val="18"/>
              </w:rPr>
              <w:tab/>
              <w:t xml:space="preserve">Descriptif du partenaire </w:t>
            </w:r>
          </w:p>
          <w:p w14:paraId="7FF775EB" w14:textId="52697F6E"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Annexe 3.c :</w:t>
            </w:r>
            <w:r>
              <w:rPr>
                <w:rFonts w:ascii="Marianne" w:hAnsi="Marianne"/>
                <w:sz w:val="18"/>
                <w:szCs w:val="18"/>
              </w:rPr>
              <w:tab/>
              <w:t>Déclarations administratives</w:t>
            </w:r>
          </w:p>
          <w:p w14:paraId="5373BDD1"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Annexe 6 :</w:t>
            </w:r>
            <w:r>
              <w:rPr>
                <w:rFonts w:ascii="Marianne" w:hAnsi="Marianne"/>
                <w:sz w:val="18"/>
                <w:szCs w:val="18"/>
              </w:rPr>
              <w:tab/>
              <w:t>Eléments financiers</w:t>
            </w:r>
          </w:p>
          <w:p w14:paraId="1A45E819"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 xml:space="preserve">Annexe 7 : </w:t>
            </w:r>
            <w:r>
              <w:rPr>
                <w:rFonts w:ascii="Marianne" w:hAnsi="Marianne"/>
                <w:sz w:val="18"/>
                <w:szCs w:val="18"/>
              </w:rPr>
              <w:tab/>
              <w:t>Attestation de santé financière</w:t>
            </w:r>
          </w:p>
          <w:p w14:paraId="06E5D383"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KBIS</w:t>
            </w:r>
          </w:p>
          <w:p w14:paraId="39F0068E" w14:textId="77777777" w:rsidR="00100C87" w:rsidRDefault="00316DA2">
            <w:pPr>
              <w:pStyle w:val="Paragraphedeliste"/>
              <w:numPr>
                <w:ilvl w:val="1"/>
                <w:numId w:val="17"/>
              </w:numPr>
              <w:spacing w:before="120" w:after="180"/>
              <w:rPr>
                <w:rFonts w:ascii="Marianne" w:hAnsi="Marianne"/>
                <w:sz w:val="18"/>
                <w:szCs w:val="18"/>
              </w:rPr>
            </w:pPr>
            <w:r>
              <w:rPr>
                <w:rFonts w:ascii="Marianne" w:hAnsi="Marianne"/>
                <w:sz w:val="18"/>
                <w:szCs w:val="18"/>
              </w:rPr>
              <w:t>Trois dernières liasses fiscales de chacune des entreprises</w:t>
            </w:r>
          </w:p>
        </w:tc>
      </w:tr>
    </w:tbl>
    <w:p w14:paraId="348AEBEA" w14:textId="77777777" w:rsidR="00100C87" w:rsidRDefault="00100C87"/>
    <w:p w14:paraId="50894C52" w14:textId="77777777" w:rsidR="00100C87" w:rsidRDefault="00100C87">
      <w:pPr>
        <w:rPr>
          <w:b/>
          <w:smallCaps/>
          <w:color w:val="3CB6EC"/>
          <w:sz w:val="24"/>
          <w:szCs w:val="24"/>
        </w:rPr>
      </w:pPr>
    </w:p>
    <w:p w14:paraId="09C801E9" w14:textId="77777777" w:rsidR="00393889" w:rsidRDefault="00393889">
      <w:pPr>
        <w:rPr>
          <w:b/>
          <w:smallCaps/>
          <w:color w:val="3CB6EC"/>
          <w:sz w:val="24"/>
          <w:szCs w:val="24"/>
        </w:rPr>
      </w:pPr>
    </w:p>
    <w:p w14:paraId="31F3972A" w14:textId="77777777" w:rsidR="00393889" w:rsidRDefault="00393889">
      <w:pPr>
        <w:rPr>
          <w:b/>
          <w:smallCaps/>
          <w:color w:val="3CB6EC"/>
          <w:sz w:val="24"/>
          <w:szCs w:val="24"/>
        </w:rPr>
      </w:pPr>
    </w:p>
    <w:p w14:paraId="3E41B73D" w14:textId="77777777" w:rsidR="00100C87" w:rsidRDefault="00316DA2">
      <w:pPr>
        <w:pStyle w:val="Titre1"/>
        <w:spacing w:before="0" w:after="120" w:line="240" w:lineRule="auto"/>
      </w:pPr>
      <w:bookmarkStart w:id="4" w:name="_Toc158208387"/>
      <w:r>
        <w:t>Table des matières</w:t>
      </w:r>
      <w:bookmarkEnd w:id="2"/>
      <w:bookmarkEnd w:id="4"/>
    </w:p>
    <w:p w14:paraId="7A1F63A4" w14:textId="77777777" w:rsidR="00100C87" w:rsidRDefault="00100C87">
      <w:pPr>
        <w:spacing w:after="120"/>
        <w:rPr>
          <w:b/>
        </w:rPr>
      </w:pPr>
    </w:p>
    <w:p w14:paraId="34E220A3" w14:textId="4160D0C7" w:rsidR="00267F4F" w:rsidRDefault="00316DA2">
      <w:pPr>
        <w:pStyle w:val="TM1"/>
        <w:rPr>
          <w:rFonts w:asciiTheme="minorHAnsi" w:eastAsiaTheme="minorEastAsia" w:hAnsiTheme="minorHAnsi" w:cstheme="minorBidi"/>
          <w:b w:val="0"/>
          <w:kern w:val="2"/>
          <w14:ligatures w14:val="standardContextual"/>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158208386" w:history="1">
        <w:r w:rsidR="00267F4F" w:rsidRPr="00FC1AE2">
          <w:rPr>
            <w:rStyle w:val="Lienhypertexte"/>
          </w:rPr>
          <w:t>1</w:t>
        </w:r>
        <w:r w:rsidR="00267F4F">
          <w:rPr>
            <w:rFonts w:asciiTheme="minorHAnsi" w:eastAsiaTheme="minorEastAsia" w:hAnsiTheme="minorHAnsi" w:cstheme="minorBidi"/>
            <w:b w:val="0"/>
            <w:kern w:val="2"/>
            <w14:ligatures w14:val="standardContextual"/>
          </w:rPr>
          <w:tab/>
        </w:r>
        <w:r w:rsidR="00267F4F" w:rsidRPr="00FC1AE2">
          <w:rPr>
            <w:rStyle w:val="Lienhypertexte"/>
          </w:rPr>
          <w:t>Fiche synthétique de l’appel a projets</w:t>
        </w:r>
        <w:r w:rsidR="00267F4F">
          <w:rPr>
            <w:webHidden/>
          </w:rPr>
          <w:tab/>
        </w:r>
        <w:r w:rsidR="00267F4F">
          <w:rPr>
            <w:webHidden/>
          </w:rPr>
          <w:fldChar w:fldCharType="begin"/>
        </w:r>
        <w:r w:rsidR="00267F4F">
          <w:rPr>
            <w:webHidden/>
          </w:rPr>
          <w:instrText xml:space="preserve"> PAGEREF _Toc158208386 \h </w:instrText>
        </w:r>
        <w:r w:rsidR="00267F4F">
          <w:rPr>
            <w:webHidden/>
          </w:rPr>
        </w:r>
        <w:r w:rsidR="00267F4F">
          <w:rPr>
            <w:webHidden/>
          </w:rPr>
          <w:fldChar w:fldCharType="separate"/>
        </w:r>
        <w:r w:rsidR="00267F4F">
          <w:rPr>
            <w:webHidden/>
          </w:rPr>
          <w:t>2</w:t>
        </w:r>
        <w:r w:rsidR="00267F4F">
          <w:rPr>
            <w:webHidden/>
          </w:rPr>
          <w:fldChar w:fldCharType="end"/>
        </w:r>
      </w:hyperlink>
    </w:p>
    <w:p w14:paraId="620ACAA7" w14:textId="63517038" w:rsidR="00267F4F" w:rsidRDefault="00267F4F">
      <w:pPr>
        <w:pStyle w:val="TM1"/>
        <w:rPr>
          <w:rFonts w:asciiTheme="minorHAnsi" w:eastAsiaTheme="minorEastAsia" w:hAnsiTheme="minorHAnsi" w:cstheme="minorBidi"/>
          <w:b w:val="0"/>
          <w:kern w:val="2"/>
          <w14:ligatures w14:val="standardContextual"/>
        </w:rPr>
      </w:pPr>
      <w:hyperlink w:anchor="_Toc158208387" w:history="1">
        <w:r w:rsidRPr="00FC1AE2">
          <w:rPr>
            <w:rStyle w:val="Lienhypertexte"/>
          </w:rPr>
          <w:t>2</w:t>
        </w:r>
        <w:r>
          <w:rPr>
            <w:rFonts w:asciiTheme="minorHAnsi" w:eastAsiaTheme="minorEastAsia" w:hAnsiTheme="minorHAnsi" w:cstheme="minorBidi"/>
            <w:b w:val="0"/>
            <w:kern w:val="2"/>
            <w14:ligatures w14:val="standardContextual"/>
          </w:rPr>
          <w:tab/>
        </w:r>
        <w:r w:rsidRPr="00FC1AE2">
          <w:rPr>
            <w:rStyle w:val="Lienhypertexte"/>
          </w:rPr>
          <w:t>Table des matières</w:t>
        </w:r>
        <w:r>
          <w:rPr>
            <w:webHidden/>
          </w:rPr>
          <w:tab/>
        </w:r>
        <w:r>
          <w:rPr>
            <w:webHidden/>
          </w:rPr>
          <w:fldChar w:fldCharType="begin"/>
        </w:r>
        <w:r>
          <w:rPr>
            <w:webHidden/>
          </w:rPr>
          <w:instrText xml:space="preserve"> PAGEREF _Toc158208387 \h </w:instrText>
        </w:r>
        <w:r>
          <w:rPr>
            <w:webHidden/>
          </w:rPr>
        </w:r>
        <w:r>
          <w:rPr>
            <w:webHidden/>
          </w:rPr>
          <w:fldChar w:fldCharType="separate"/>
        </w:r>
        <w:r>
          <w:rPr>
            <w:webHidden/>
          </w:rPr>
          <w:t>3</w:t>
        </w:r>
        <w:r>
          <w:rPr>
            <w:webHidden/>
          </w:rPr>
          <w:fldChar w:fldCharType="end"/>
        </w:r>
      </w:hyperlink>
    </w:p>
    <w:p w14:paraId="530D66C5" w14:textId="314F9305" w:rsidR="00267F4F" w:rsidRDefault="00267F4F">
      <w:pPr>
        <w:pStyle w:val="TM1"/>
        <w:rPr>
          <w:rFonts w:asciiTheme="minorHAnsi" w:eastAsiaTheme="minorEastAsia" w:hAnsiTheme="minorHAnsi" w:cstheme="minorBidi"/>
          <w:b w:val="0"/>
          <w:kern w:val="2"/>
          <w14:ligatures w14:val="standardContextual"/>
        </w:rPr>
      </w:pPr>
      <w:hyperlink w:anchor="_Toc158208388" w:history="1">
        <w:r w:rsidRPr="00FC1AE2">
          <w:rPr>
            <w:rStyle w:val="Lienhypertexte"/>
          </w:rPr>
          <w:t>3</w:t>
        </w:r>
        <w:r>
          <w:rPr>
            <w:rFonts w:asciiTheme="minorHAnsi" w:eastAsiaTheme="minorEastAsia" w:hAnsiTheme="minorHAnsi" w:cstheme="minorBidi"/>
            <w:b w:val="0"/>
            <w:kern w:val="2"/>
            <w14:ligatures w14:val="standardContextual"/>
          </w:rPr>
          <w:tab/>
        </w:r>
        <w:r w:rsidRPr="00FC1AE2">
          <w:rPr>
            <w:rStyle w:val="Lienhypertexte"/>
          </w:rPr>
          <w:t>Liste des documents constitutifs d’un dossier</w:t>
        </w:r>
        <w:r>
          <w:rPr>
            <w:webHidden/>
          </w:rPr>
          <w:tab/>
        </w:r>
        <w:r>
          <w:rPr>
            <w:webHidden/>
          </w:rPr>
          <w:fldChar w:fldCharType="begin"/>
        </w:r>
        <w:r>
          <w:rPr>
            <w:webHidden/>
          </w:rPr>
          <w:instrText xml:space="preserve"> PAGEREF _Toc158208388 \h </w:instrText>
        </w:r>
        <w:r>
          <w:rPr>
            <w:webHidden/>
          </w:rPr>
        </w:r>
        <w:r>
          <w:rPr>
            <w:webHidden/>
          </w:rPr>
          <w:fldChar w:fldCharType="separate"/>
        </w:r>
        <w:r>
          <w:rPr>
            <w:webHidden/>
          </w:rPr>
          <w:t>4</w:t>
        </w:r>
        <w:r>
          <w:rPr>
            <w:webHidden/>
          </w:rPr>
          <w:fldChar w:fldCharType="end"/>
        </w:r>
      </w:hyperlink>
    </w:p>
    <w:p w14:paraId="442C884E" w14:textId="1214FCE7" w:rsidR="00267F4F" w:rsidRDefault="00267F4F">
      <w:pPr>
        <w:pStyle w:val="TM2"/>
        <w:rPr>
          <w:rFonts w:asciiTheme="minorHAnsi" w:eastAsiaTheme="minorEastAsia" w:hAnsiTheme="minorHAnsi" w:cstheme="minorBidi"/>
          <w:noProof/>
          <w:kern w:val="2"/>
          <w14:ligatures w14:val="standardContextual"/>
        </w:rPr>
      </w:pPr>
      <w:hyperlink w:anchor="_Toc158208389" w:history="1">
        <w:r w:rsidRPr="00FC1AE2">
          <w:rPr>
            <w:rStyle w:val="Lienhypertexte"/>
            <w:noProof/>
          </w:rPr>
          <w:t>3.1</w:t>
        </w:r>
        <w:r>
          <w:rPr>
            <w:rFonts w:asciiTheme="minorHAnsi" w:eastAsiaTheme="minorEastAsia" w:hAnsiTheme="minorHAnsi" w:cstheme="minorBidi"/>
            <w:noProof/>
            <w:kern w:val="2"/>
            <w14:ligatures w14:val="standardContextual"/>
          </w:rPr>
          <w:tab/>
        </w:r>
        <w:r w:rsidRPr="00FC1AE2">
          <w:rPr>
            <w:rStyle w:val="Lienhypertexte"/>
            <w:noProof/>
          </w:rPr>
          <w:t>Pour un pré-dépôt</w:t>
        </w:r>
        <w:r>
          <w:rPr>
            <w:noProof/>
            <w:webHidden/>
          </w:rPr>
          <w:tab/>
        </w:r>
        <w:r>
          <w:rPr>
            <w:noProof/>
            <w:webHidden/>
          </w:rPr>
          <w:fldChar w:fldCharType="begin"/>
        </w:r>
        <w:r>
          <w:rPr>
            <w:noProof/>
            <w:webHidden/>
          </w:rPr>
          <w:instrText xml:space="preserve"> PAGEREF _Toc158208389 \h </w:instrText>
        </w:r>
        <w:r>
          <w:rPr>
            <w:noProof/>
            <w:webHidden/>
          </w:rPr>
        </w:r>
        <w:r>
          <w:rPr>
            <w:noProof/>
            <w:webHidden/>
          </w:rPr>
          <w:fldChar w:fldCharType="separate"/>
        </w:r>
        <w:r>
          <w:rPr>
            <w:noProof/>
            <w:webHidden/>
          </w:rPr>
          <w:t>4</w:t>
        </w:r>
        <w:r>
          <w:rPr>
            <w:noProof/>
            <w:webHidden/>
          </w:rPr>
          <w:fldChar w:fldCharType="end"/>
        </w:r>
      </w:hyperlink>
    </w:p>
    <w:p w14:paraId="7B75F206" w14:textId="4BAFD9C0" w:rsidR="00267F4F" w:rsidRDefault="00267F4F">
      <w:pPr>
        <w:pStyle w:val="TM2"/>
        <w:rPr>
          <w:rFonts w:asciiTheme="minorHAnsi" w:eastAsiaTheme="minorEastAsia" w:hAnsiTheme="minorHAnsi" w:cstheme="minorBidi"/>
          <w:noProof/>
          <w:kern w:val="2"/>
          <w14:ligatures w14:val="standardContextual"/>
        </w:rPr>
      </w:pPr>
      <w:hyperlink w:anchor="_Toc158208390" w:history="1">
        <w:r w:rsidRPr="00FC1AE2">
          <w:rPr>
            <w:rStyle w:val="Lienhypertexte"/>
            <w:noProof/>
          </w:rPr>
          <w:t>3.2</w:t>
        </w:r>
        <w:r>
          <w:rPr>
            <w:rFonts w:asciiTheme="minorHAnsi" w:eastAsiaTheme="minorEastAsia" w:hAnsiTheme="minorHAnsi" w:cstheme="minorBidi"/>
            <w:noProof/>
            <w:kern w:val="2"/>
            <w14:ligatures w14:val="standardContextual"/>
          </w:rPr>
          <w:tab/>
        </w:r>
        <w:r w:rsidRPr="00FC1AE2">
          <w:rPr>
            <w:rStyle w:val="Lienhypertexte"/>
            <w:noProof/>
          </w:rPr>
          <w:t>Pour un dépôt complet</w:t>
        </w:r>
        <w:r>
          <w:rPr>
            <w:noProof/>
            <w:webHidden/>
          </w:rPr>
          <w:tab/>
        </w:r>
        <w:r>
          <w:rPr>
            <w:noProof/>
            <w:webHidden/>
          </w:rPr>
          <w:fldChar w:fldCharType="begin"/>
        </w:r>
        <w:r>
          <w:rPr>
            <w:noProof/>
            <w:webHidden/>
          </w:rPr>
          <w:instrText xml:space="preserve"> PAGEREF _Toc158208390 \h </w:instrText>
        </w:r>
        <w:r>
          <w:rPr>
            <w:noProof/>
            <w:webHidden/>
          </w:rPr>
        </w:r>
        <w:r>
          <w:rPr>
            <w:noProof/>
            <w:webHidden/>
          </w:rPr>
          <w:fldChar w:fldCharType="separate"/>
        </w:r>
        <w:r>
          <w:rPr>
            <w:noProof/>
            <w:webHidden/>
          </w:rPr>
          <w:t>4</w:t>
        </w:r>
        <w:r>
          <w:rPr>
            <w:noProof/>
            <w:webHidden/>
          </w:rPr>
          <w:fldChar w:fldCharType="end"/>
        </w:r>
      </w:hyperlink>
    </w:p>
    <w:p w14:paraId="76D2BA46" w14:textId="1003C349" w:rsidR="00267F4F" w:rsidRDefault="00267F4F">
      <w:pPr>
        <w:pStyle w:val="TM1"/>
        <w:rPr>
          <w:rFonts w:asciiTheme="minorHAnsi" w:eastAsiaTheme="minorEastAsia" w:hAnsiTheme="minorHAnsi" w:cstheme="minorBidi"/>
          <w:b w:val="0"/>
          <w:kern w:val="2"/>
          <w14:ligatures w14:val="standardContextual"/>
        </w:rPr>
      </w:pPr>
      <w:hyperlink w:anchor="_Toc158208391" w:history="1">
        <w:r w:rsidRPr="00FC1AE2">
          <w:rPr>
            <w:rStyle w:val="Lienhypertexte"/>
          </w:rPr>
          <w:t>4</w:t>
        </w:r>
        <w:r>
          <w:rPr>
            <w:rFonts w:asciiTheme="minorHAnsi" w:eastAsiaTheme="minorEastAsia" w:hAnsiTheme="minorHAnsi" w:cstheme="minorBidi"/>
            <w:b w:val="0"/>
            <w:kern w:val="2"/>
            <w14:ligatures w14:val="standardContextual"/>
          </w:rPr>
          <w:tab/>
        </w:r>
        <w:r w:rsidRPr="00FC1AE2">
          <w:rPr>
            <w:rStyle w:val="Lienhypertexte"/>
          </w:rPr>
          <w:t>Cadre général de l’app</w:t>
        </w:r>
        <w:r>
          <w:rPr>
            <w:webHidden/>
          </w:rPr>
          <w:tab/>
        </w:r>
        <w:r>
          <w:rPr>
            <w:webHidden/>
          </w:rPr>
          <w:fldChar w:fldCharType="begin"/>
        </w:r>
        <w:r>
          <w:rPr>
            <w:webHidden/>
          </w:rPr>
          <w:instrText xml:space="preserve"> PAGEREF _Toc158208391 \h </w:instrText>
        </w:r>
        <w:r>
          <w:rPr>
            <w:webHidden/>
          </w:rPr>
        </w:r>
        <w:r>
          <w:rPr>
            <w:webHidden/>
          </w:rPr>
          <w:fldChar w:fldCharType="separate"/>
        </w:r>
        <w:r>
          <w:rPr>
            <w:webHidden/>
          </w:rPr>
          <w:t>5</w:t>
        </w:r>
        <w:r>
          <w:rPr>
            <w:webHidden/>
          </w:rPr>
          <w:fldChar w:fldCharType="end"/>
        </w:r>
      </w:hyperlink>
    </w:p>
    <w:p w14:paraId="0D41176E" w14:textId="3DF47154" w:rsidR="00267F4F" w:rsidRDefault="00267F4F">
      <w:pPr>
        <w:pStyle w:val="TM2"/>
        <w:rPr>
          <w:rFonts w:asciiTheme="minorHAnsi" w:eastAsiaTheme="minorEastAsia" w:hAnsiTheme="minorHAnsi" w:cstheme="minorBidi"/>
          <w:noProof/>
          <w:kern w:val="2"/>
          <w14:ligatures w14:val="standardContextual"/>
        </w:rPr>
      </w:pPr>
      <w:hyperlink w:anchor="_Toc158208392" w:history="1">
        <w:r w:rsidRPr="00FC1AE2">
          <w:rPr>
            <w:rStyle w:val="Lienhypertexte"/>
            <w:noProof/>
          </w:rPr>
          <w:t>4.1</w:t>
        </w:r>
        <w:r>
          <w:rPr>
            <w:rFonts w:asciiTheme="minorHAnsi" w:eastAsiaTheme="minorEastAsia" w:hAnsiTheme="minorHAnsi" w:cstheme="minorBidi"/>
            <w:noProof/>
            <w:kern w:val="2"/>
            <w14:ligatures w14:val="standardContextual"/>
          </w:rPr>
          <w:tab/>
        </w:r>
        <w:r w:rsidRPr="00FC1AE2">
          <w:rPr>
            <w:rStyle w:val="Lienhypertexte"/>
            <w:noProof/>
          </w:rPr>
          <w:t>Contexte et objectifs de l’AAP</w:t>
        </w:r>
        <w:r>
          <w:rPr>
            <w:noProof/>
            <w:webHidden/>
          </w:rPr>
          <w:tab/>
        </w:r>
        <w:r>
          <w:rPr>
            <w:noProof/>
            <w:webHidden/>
          </w:rPr>
          <w:fldChar w:fldCharType="begin"/>
        </w:r>
        <w:r>
          <w:rPr>
            <w:noProof/>
            <w:webHidden/>
          </w:rPr>
          <w:instrText xml:space="preserve"> PAGEREF _Toc158208392 \h </w:instrText>
        </w:r>
        <w:r>
          <w:rPr>
            <w:noProof/>
            <w:webHidden/>
          </w:rPr>
        </w:r>
        <w:r>
          <w:rPr>
            <w:noProof/>
            <w:webHidden/>
          </w:rPr>
          <w:fldChar w:fldCharType="separate"/>
        </w:r>
        <w:r>
          <w:rPr>
            <w:noProof/>
            <w:webHidden/>
          </w:rPr>
          <w:t>5</w:t>
        </w:r>
        <w:r>
          <w:rPr>
            <w:noProof/>
            <w:webHidden/>
          </w:rPr>
          <w:fldChar w:fldCharType="end"/>
        </w:r>
      </w:hyperlink>
    </w:p>
    <w:p w14:paraId="152C7E27" w14:textId="0F635EF9" w:rsidR="00267F4F" w:rsidRDefault="00267F4F">
      <w:pPr>
        <w:pStyle w:val="TM2"/>
        <w:rPr>
          <w:rFonts w:asciiTheme="minorHAnsi" w:eastAsiaTheme="minorEastAsia" w:hAnsiTheme="minorHAnsi" w:cstheme="minorBidi"/>
          <w:noProof/>
          <w:kern w:val="2"/>
          <w14:ligatures w14:val="standardContextual"/>
        </w:rPr>
      </w:pPr>
      <w:hyperlink w:anchor="_Toc158208393" w:history="1">
        <w:r w:rsidRPr="00FC1AE2">
          <w:rPr>
            <w:rStyle w:val="Lienhypertexte"/>
            <w:noProof/>
          </w:rPr>
          <w:t>4.2</w:t>
        </w:r>
        <w:r>
          <w:rPr>
            <w:rFonts w:asciiTheme="minorHAnsi" w:eastAsiaTheme="minorEastAsia" w:hAnsiTheme="minorHAnsi" w:cstheme="minorBidi"/>
            <w:noProof/>
            <w:kern w:val="2"/>
            <w14:ligatures w14:val="standardContextual"/>
          </w:rPr>
          <w:tab/>
        </w:r>
        <w:r w:rsidRPr="00FC1AE2">
          <w:rPr>
            <w:rStyle w:val="Lienhypertexte"/>
            <w:noProof/>
          </w:rPr>
          <w:t>Priorité thématique et typologie des projets attendus</w:t>
        </w:r>
        <w:r>
          <w:rPr>
            <w:noProof/>
            <w:webHidden/>
          </w:rPr>
          <w:tab/>
        </w:r>
        <w:r>
          <w:rPr>
            <w:noProof/>
            <w:webHidden/>
          </w:rPr>
          <w:fldChar w:fldCharType="begin"/>
        </w:r>
        <w:r>
          <w:rPr>
            <w:noProof/>
            <w:webHidden/>
          </w:rPr>
          <w:instrText xml:space="preserve"> PAGEREF _Toc158208393 \h </w:instrText>
        </w:r>
        <w:r>
          <w:rPr>
            <w:noProof/>
            <w:webHidden/>
          </w:rPr>
        </w:r>
        <w:r>
          <w:rPr>
            <w:noProof/>
            <w:webHidden/>
          </w:rPr>
          <w:fldChar w:fldCharType="separate"/>
        </w:r>
        <w:r>
          <w:rPr>
            <w:noProof/>
            <w:webHidden/>
          </w:rPr>
          <w:t>7</w:t>
        </w:r>
        <w:r>
          <w:rPr>
            <w:noProof/>
            <w:webHidden/>
          </w:rPr>
          <w:fldChar w:fldCharType="end"/>
        </w:r>
      </w:hyperlink>
    </w:p>
    <w:p w14:paraId="66F05191" w14:textId="07A918B2" w:rsidR="00267F4F" w:rsidRDefault="00267F4F">
      <w:pPr>
        <w:pStyle w:val="TM2"/>
        <w:rPr>
          <w:rFonts w:asciiTheme="minorHAnsi" w:eastAsiaTheme="minorEastAsia" w:hAnsiTheme="minorHAnsi" w:cstheme="minorBidi"/>
          <w:noProof/>
          <w:kern w:val="2"/>
          <w14:ligatures w14:val="standardContextual"/>
        </w:rPr>
      </w:pPr>
      <w:hyperlink w:anchor="_Toc158208394" w:history="1">
        <w:r w:rsidRPr="00FC1AE2">
          <w:rPr>
            <w:rStyle w:val="Lienhypertexte"/>
            <w:noProof/>
          </w:rPr>
          <w:t>4.3</w:t>
        </w:r>
        <w:r>
          <w:rPr>
            <w:rFonts w:asciiTheme="minorHAnsi" w:eastAsiaTheme="minorEastAsia" w:hAnsiTheme="minorHAnsi" w:cstheme="minorBidi"/>
            <w:noProof/>
            <w:kern w:val="2"/>
            <w14:ligatures w14:val="standardContextual"/>
          </w:rPr>
          <w:tab/>
        </w:r>
        <w:r w:rsidRPr="00FC1AE2">
          <w:rPr>
            <w:rStyle w:val="Lienhypertexte"/>
            <w:noProof/>
          </w:rPr>
          <w:t>Thème et objet d’innovation couvert par l’AAP</w:t>
        </w:r>
        <w:r>
          <w:rPr>
            <w:noProof/>
            <w:webHidden/>
          </w:rPr>
          <w:tab/>
        </w:r>
        <w:r>
          <w:rPr>
            <w:noProof/>
            <w:webHidden/>
          </w:rPr>
          <w:fldChar w:fldCharType="begin"/>
        </w:r>
        <w:r>
          <w:rPr>
            <w:noProof/>
            <w:webHidden/>
          </w:rPr>
          <w:instrText xml:space="preserve"> PAGEREF _Toc158208394 \h </w:instrText>
        </w:r>
        <w:r>
          <w:rPr>
            <w:noProof/>
            <w:webHidden/>
          </w:rPr>
        </w:r>
        <w:r>
          <w:rPr>
            <w:noProof/>
            <w:webHidden/>
          </w:rPr>
          <w:fldChar w:fldCharType="separate"/>
        </w:r>
        <w:r>
          <w:rPr>
            <w:noProof/>
            <w:webHidden/>
          </w:rPr>
          <w:t>7</w:t>
        </w:r>
        <w:r>
          <w:rPr>
            <w:noProof/>
            <w:webHidden/>
          </w:rPr>
          <w:fldChar w:fldCharType="end"/>
        </w:r>
      </w:hyperlink>
    </w:p>
    <w:p w14:paraId="2C7618BE" w14:textId="496EAEE9" w:rsidR="00267F4F" w:rsidRDefault="00267F4F">
      <w:pPr>
        <w:pStyle w:val="TM1"/>
        <w:rPr>
          <w:rFonts w:asciiTheme="minorHAnsi" w:eastAsiaTheme="minorEastAsia" w:hAnsiTheme="minorHAnsi" w:cstheme="minorBidi"/>
          <w:b w:val="0"/>
          <w:kern w:val="2"/>
          <w14:ligatures w14:val="standardContextual"/>
        </w:rPr>
      </w:pPr>
      <w:hyperlink w:anchor="_Toc158208395" w:history="1">
        <w:r w:rsidRPr="00FC1AE2">
          <w:rPr>
            <w:rStyle w:val="Lienhypertexte"/>
          </w:rPr>
          <w:t>5</w:t>
        </w:r>
        <w:r>
          <w:rPr>
            <w:rFonts w:asciiTheme="minorHAnsi" w:eastAsiaTheme="minorEastAsia" w:hAnsiTheme="minorHAnsi" w:cstheme="minorBidi"/>
            <w:b w:val="0"/>
            <w:kern w:val="2"/>
            <w14:ligatures w14:val="standardContextual"/>
          </w:rPr>
          <w:tab/>
        </w:r>
        <w:r w:rsidRPr="00FC1AE2">
          <w:rPr>
            <w:rStyle w:val="Lienhypertexte"/>
          </w:rPr>
          <w:t>Processus global de l’AAP</w:t>
        </w:r>
        <w:r>
          <w:rPr>
            <w:webHidden/>
          </w:rPr>
          <w:tab/>
        </w:r>
        <w:r>
          <w:rPr>
            <w:webHidden/>
          </w:rPr>
          <w:fldChar w:fldCharType="begin"/>
        </w:r>
        <w:r>
          <w:rPr>
            <w:webHidden/>
          </w:rPr>
          <w:instrText xml:space="preserve"> PAGEREF _Toc158208395 \h </w:instrText>
        </w:r>
        <w:r>
          <w:rPr>
            <w:webHidden/>
          </w:rPr>
        </w:r>
        <w:r>
          <w:rPr>
            <w:webHidden/>
          </w:rPr>
          <w:fldChar w:fldCharType="separate"/>
        </w:r>
        <w:r>
          <w:rPr>
            <w:webHidden/>
          </w:rPr>
          <w:t>8</w:t>
        </w:r>
        <w:r>
          <w:rPr>
            <w:webHidden/>
          </w:rPr>
          <w:fldChar w:fldCharType="end"/>
        </w:r>
      </w:hyperlink>
    </w:p>
    <w:p w14:paraId="49A00E89" w14:textId="26575EF9" w:rsidR="00267F4F" w:rsidRDefault="00267F4F">
      <w:pPr>
        <w:pStyle w:val="TM2"/>
        <w:rPr>
          <w:rFonts w:asciiTheme="minorHAnsi" w:eastAsiaTheme="minorEastAsia" w:hAnsiTheme="minorHAnsi" w:cstheme="minorBidi"/>
          <w:noProof/>
          <w:kern w:val="2"/>
          <w14:ligatures w14:val="standardContextual"/>
        </w:rPr>
      </w:pPr>
      <w:hyperlink w:anchor="_Toc158208396" w:history="1">
        <w:r w:rsidRPr="00FC1AE2">
          <w:rPr>
            <w:rStyle w:val="Lienhypertexte"/>
            <w:noProof/>
          </w:rPr>
          <w:t>5.1</w:t>
        </w:r>
        <w:r>
          <w:rPr>
            <w:rFonts w:asciiTheme="minorHAnsi" w:eastAsiaTheme="minorEastAsia" w:hAnsiTheme="minorHAnsi" w:cstheme="minorBidi"/>
            <w:noProof/>
            <w:kern w:val="2"/>
            <w14:ligatures w14:val="standardContextual"/>
          </w:rPr>
          <w:tab/>
        </w:r>
        <w:r w:rsidRPr="00FC1AE2">
          <w:rPr>
            <w:rStyle w:val="Lienhypertexte"/>
            <w:noProof/>
          </w:rPr>
          <w:t>Critères d’éligibilité</w:t>
        </w:r>
        <w:r>
          <w:rPr>
            <w:noProof/>
            <w:webHidden/>
          </w:rPr>
          <w:tab/>
        </w:r>
        <w:r>
          <w:rPr>
            <w:noProof/>
            <w:webHidden/>
          </w:rPr>
          <w:fldChar w:fldCharType="begin"/>
        </w:r>
        <w:r>
          <w:rPr>
            <w:noProof/>
            <w:webHidden/>
          </w:rPr>
          <w:instrText xml:space="preserve"> PAGEREF _Toc158208396 \h </w:instrText>
        </w:r>
        <w:r>
          <w:rPr>
            <w:noProof/>
            <w:webHidden/>
          </w:rPr>
        </w:r>
        <w:r>
          <w:rPr>
            <w:noProof/>
            <w:webHidden/>
          </w:rPr>
          <w:fldChar w:fldCharType="separate"/>
        </w:r>
        <w:r>
          <w:rPr>
            <w:noProof/>
            <w:webHidden/>
          </w:rPr>
          <w:t>8</w:t>
        </w:r>
        <w:r>
          <w:rPr>
            <w:noProof/>
            <w:webHidden/>
          </w:rPr>
          <w:fldChar w:fldCharType="end"/>
        </w:r>
      </w:hyperlink>
    </w:p>
    <w:p w14:paraId="1C5A6B9F" w14:textId="457BD52B" w:rsidR="00267F4F" w:rsidRDefault="00267F4F">
      <w:pPr>
        <w:pStyle w:val="TM2"/>
        <w:rPr>
          <w:rFonts w:asciiTheme="minorHAnsi" w:eastAsiaTheme="minorEastAsia" w:hAnsiTheme="minorHAnsi" w:cstheme="minorBidi"/>
          <w:noProof/>
          <w:kern w:val="2"/>
          <w14:ligatures w14:val="standardContextual"/>
        </w:rPr>
      </w:pPr>
      <w:hyperlink w:anchor="_Toc158208397" w:history="1">
        <w:r w:rsidRPr="00FC1AE2">
          <w:rPr>
            <w:rStyle w:val="Lienhypertexte"/>
            <w:noProof/>
          </w:rPr>
          <w:t>5.2</w:t>
        </w:r>
        <w:r>
          <w:rPr>
            <w:rFonts w:asciiTheme="minorHAnsi" w:eastAsiaTheme="minorEastAsia" w:hAnsiTheme="minorHAnsi" w:cstheme="minorBidi"/>
            <w:noProof/>
            <w:kern w:val="2"/>
            <w14:ligatures w14:val="standardContextual"/>
          </w:rPr>
          <w:tab/>
        </w:r>
        <w:r w:rsidRPr="00FC1AE2">
          <w:rPr>
            <w:rStyle w:val="Lienhypertexte"/>
            <w:noProof/>
          </w:rPr>
          <w:t>Pré-dépôt et dépôt</w:t>
        </w:r>
        <w:r>
          <w:rPr>
            <w:noProof/>
            <w:webHidden/>
          </w:rPr>
          <w:tab/>
        </w:r>
        <w:r>
          <w:rPr>
            <w:noProof/>
            <w:webHidden/>
          </w:rPr>
          <w:fldChar w:fldCharType="begin"/>
        </w:r>
        <w:r>
          <w:rPr>
            <w:noProof/>
            <w:webHidden/>
          </w:rPr>
          <w:instrText xml:space="preserve"> PAGEREF _Toc158208397 \h </w:instrText>
        </w:r>
        <w:r>
          <w:rPr>
            <w:noProof/>
            <w:webHidden/>
          </w:rPr>
        </w:r>
        <w:r>
          <w:rPr>
            <w:noProof/>
            <w:webHidden/>
          </w:rPr>
          <w:fldChar w:fldCharType="separate"/>
        </w:r>
        <w:r>
          <w:rPr>
            <w:noProof/>
            <w:webHidden/>
          </w:rPr>
          <w:t>10</w:t>
        </w:r>
        <w:r>
          <w:rPr>
            <w:noProof/>
            <w:webHidden/>
          </w:rPr>
          <w:fldChar w:fldCharType="end"/>
        </w:r>
      </w:hyperlink>
    </w:p>
    <w:p w14:paraId="53DF8209" w14:textId="20EC6FDE" w:rsidR="00267F4F" w:rsidRDefault="00267F4F">
      <w:pPr>
        <w:pStyle w:val="TM2"/>
        <w:rPr>
          <w:rFonts w:asciiTheme="minorHAnsi" w:eastAsiaTheme="minorEastAsia" w:hAnsiTheme="minorHAnsi" w:cstheme="minorBidi"/>
          <w:noProof/>
          <w:kern w:val="2"/>
          <w14:ligatures w14:val="standardContextual"/>
        </w:rPr>
      </w:pPr>
      <w:hyperlink w:anchor="_Toc158208398" w:history="1">
        <w:r w:rsidRPr="00FC1AE2">
          <w:rPr>
            <w:rStyle w:val="Lienhypertexte"/>
            <w:noProof/>
          </w:rPr>
          <w:t>5.3</w:t>
        </w:r>
        <w:r>
          <w:rPr>
            <w:rFonts w:asciiTheme="minorHAnsi" w:eastAsiaTheme="minorEastAsia" w:hAnsiTheme="minorHAnsi" w:cstheme="minorBidi"/>
            <w:noProof/>
            <w:kern w:val="2"/>
            <w14:ligatures w14:val="standardContextual"/>
          </w:rPr>
          <w:tab/>
        </w:r>
        <w:r w:rsidRPr="00FC1AE2">
          <w:rPr>
            <w:rStyle w:val="Lienhypertexte"/>
            <w:noProof/>
          </w:rPr>
          <w:t>Décisions</w:t>
        </w:r>
        <w:r>
          <w:rPr>
            <w:noProof/>
            <w:webHidden/>
          </w:rPr>
          <w:tab/>
        </w:r>
        <w:r>
          <w:rPr>
            <w:noProof/>
            <w:webHidden/>
          </w:rPr>
          <w:fldChar w:fldCharType="begin"/>
        </w:r>
        <w:r>
          <w:rPr>
            <w:noProof/>
            <w:webHidden/>
          </w:rPr>
          <w:instrText xml:space="preserve"> PAGEREF _Toc158208398 \h </w:instrText>
        </w:r>
        <w:r>
          <w:rPr>
            <w:noProof/>
            <w:webHidden/>
          </w:rPr>
        </w:r>
        <w:r>
          <w:rPr>
            <w:noProof/>
            <w:webHidden/>
          </w:rPr>
          <w:fldChar w:fldCharType="separate"/>
        </w:r>
        <w:r>
          <w:rPr>
            <w:noProof/>
            <w:webHidden/>
          </w:rPr>
          <w:t>11</w:t>
        </w:r>
        <w:r>
          <w:rPr>
            <w:noProof/>
            <w:webHidden/>
          </w:rPr>
          <w:fldChar w:fldCharType="end"/>
        </w:r>
      </w:hyperlink>
    </w:p>
    <w:p w14:paraId="408C73DA" w14:textId="5604A568" w:rsidR="00267F4F" w:rsidRDefault="00267F4F">
      <w:pPr>
        <w:pStyle w:val="TM2"/>
        <w:rPr>
          <w:rFonts w:asciiTheme="minorHAnsi" w:eastAsiaTheme="minorEastAsia" w:hAnsiTheme="minorHAnsi" w:cstheme="minorBidi"/>
          <w:noProof/>
          <w:kern w:val="2"/>
          <w14:ligatures w14:val="standardContextual"/>
        </w:rPr>
      </w:pPr>
      <w:hyperlink w:anchor="_Toc158208399" w:history="1">
        <w:r w:rsidRPr="00FC1AE2">
          <w:rPr>
            <w:rStyle w:val="Lienhypertexte"/>
            <w:noProof/>
          </w:rPr>
          <w:t>5.4</w:t>
        </w:r>
        <w:r>
          <w:rPr>
            <w:rFonts w:asciiTheme="minorHAnsi" w:eastAsiaTheme="minorEastAsia" w:hAnsiTheme="minorHAnsi" w:cstheme="minorBidi"/>
            <w:noProof/>
            <w:kern w:val="2"/>
            <w14:ligatures w14:val="standardContextual"/>
          </w:rPr>
          <w:tab/>
        </w:r>
        <w:r w:rsidRPr="00FC1AE2">
          <w:rPr>
            <w:rStyle w:val="Lienhypertexte"/>
            <w:noProof/>
          </w:rPr>
          <w:t>Contractualisation</w:t>
        </w:r>
        <w:r>
          <w:rPr>
            <w:noProof/>
            <w:webHidden/>
          </w:rPr>
          <w:tab/>
        </w:r>
        <w:r>
          <w:rPr>
            <w:noProof/>
            <w:webHidden/>
          </w:rPr>
          <w:fldChar w:fldCharType="begin"/>
        </w:r>
        <w:r>
          <w:rPr>
            <w:noProof/>
            <w:webHidden/>
          </w:rPr>
          <w:instrText xml:space="preserve"> PAGEREF _Toc158208399 \h </w:instrText>
        </w:r>
        <w:r>
          <w:rPr>
            <w:noProof/>
            <w:webHidden/>
          </w:rPr>
        </w:r>
        <w:r>
          <w:rPr>
            <w:noProof/>
            <w:webHidden/>
          </w:rPr>
          <w:fldChar w:fldCharType="separate"/>
        </w:r>
        <w:r>
          <w:rPr>
            <w:noProof/>
            <w:webHidden/>
          </w:rPr>
          <w:t>12</w:t>
        </w:r>
        <w:r>
          <w:rPr>
            <w:noProof/>
            <w:webHidden/>
          </w:rPr>
          <w:fldChar w:fldCharType="end"/>
        </w:r>
      </w:hyperlink>
    </w:p>
    <w:p w14:paraId="67455134" w14:textId="79BBFD9D" w:rsidR="00267F4F" w:rsidRDefault="00267F4F">
      <w:pPr>
        <w:pStyle w:val="TM1"/>
        <w:rPr>
          <w:rFonts w:asciiTheme="minorHAnsi" w:eastAsiaTheme="minorEastAsia" w:hAnsiTheme="minorHAnsi" w:cstheme="minorBidi"/>
          <w:b w:val="0"/>
          <w:kern w:val="2"/>
          <w14:ligatures w14:val="standardContextual"/>
        </w:rPr>
      </w:pPr>
      <w:hyperlink w:anchor="_Toc158208400" w:history="1">
        <w:r w:rsidRPr="00FC1AE2">
          <w:rPr>
            <w:rStyle w:val="Lienhypertexte"/>
          </w:rPr>
          <w:t>6</w:t>
        </w:r>
        <w:r>
          <w:rPr>
            <w:rFonts w:asciiTheme="minorHAnsi" w:eastAsiaTheme="minorEastAsia" w:hAnsiTheme="minorHAnsi" w:cstheme="minorBidi"/>
            <w:b w:val="0"/>
            <w:kern w:val="2"/>
            <w14:ligatures w14:val="standardContextual"/>
          </w:rPr>
          <w:tab/>
        </w:r>
        <w:r w:rsidRPr="00FC1AE2">
          <w:rPr>
            <w:rStyle w:val="Lienhypertexte"/>
          </w:rPr>
          <w:t>Critères de sélection</w:t>
        </w:r>
        <w:r>
          <w:rPr>
            <w:webHidden/>
          </w:rPr>
          <w:tab/>
        </w:r>
        <w:r>
          <w:rPr>
            <w:webHidden/>
          </w:rPr>
          <w:fldChar w:fldCharType="begin"/>
        </w:r>
        <w:r>
          <w:rPr>
            <w:webHidden/>
          </w:rPr>
          <w:instrText xml:space="preserve"> PAGEREF _Toc158208400 \h </w:instrText>
        </w:r>
        <w:r>
          <w:rPr>
            <w:webHidden/>
          </w:rPr>
        </w:r>
        <w:r>
          <w:rPr>
            <w:webHidden/>
          </w:rPr>
          <w:fldChar w:fldCharType="separate"/>
        </w:r>
        <w:r>
          <w:rPr>
            <w:webHidden/>
          </w:rPr>
          <w:t>13</w:t>
        </w:r>
        <w:r>
          <w:rPr>
            <w:webHidden/>
          </w:rPr>
          <w:fldChar w:fldCharType="end"/>
        </w:r>
      </w:hyperlink>
    </w:p>
    <w:p w14:paraId="69491E04" w14:textId="1C2114FD" w:rsidR="00267F4F" w:rsidRDefault="00267F4F">
      <w:pPr>
        <w:pStyle w:val="TM1"/>
        <w:rPr>
          <w:rFonts w:asciiTheme="minorHAnsi" w:eastAsiaTheme="minorEastAsia" w:hAnsiTheme="minorHAnsi" w:cstheme="minorBidi"/>
          <w:b w:val="0"/>
          <w:kern w:val="2"/>
          <w14:ligatures w14:val="standardContextual"/>
        </w:rPr>
      </w:pPr>
      <w:hyperlink w:anchor="_Toc158208401" w:history="1">
        <w:r w:rsidRPr="00FC1AE2">
          <w:rPr>
            <w:rStyle w:val="Lienhypertexte"/>
          </w:rPr>
          <w:t>7</w:t>
        </w:r>
        <w:r>
          <w:rPr>
            <w:rFonts w:asciiTheme="minorHAnsi" w:eastAsiaTheme="minorEastAsia" w:hAnsiTheme="minorHAnsi" w:cstheme="minorBidi"/>
            <w:b w:val="0"/>
            <w:kern w:val="2"/>
            <w14:ligatures w14:val="standardContextual"/>
          </w:rPr>
          <w:tab/>
        </w:r>
        <w:r w:rsidRPr="00FC1AE2">
          <w:rPr>
            <w:rStyle w:val="Lienhypertexte"/>
          </w:rPr>
          <w:t>Régime d’aides et modalités de financement</w:t>
        </w:r>
        <w:r>
          <w:rPr>
            <w:webHidden/>
          </w:rPr>
          <w:tab/>
        </w:r>
        <w:r>
          <w:rPr>
            <w:webHidden/>
          </w:rPr>
          <w:fldChar w:fldCharType="begin"/>
        </w:r>
        <w:r>
          <w:rPr>
            <w:webHidden/>
          </w:rPr>
          <w:instrText xml:space="preserve"> PAGEREF _Toc158208401 \h </w:instrText>
        </w:r>
        <w:r>
          <w:rPr>
            <w:webHidden/>
          </w:rPr>
        </w:r>
        <w:r>
          <w:rPr>
            <w:webHidden/>
          </w:rPr>
          <w:fldChar w:fldCharType="separate"/>
        </w:r>
        <w:r>
          <w:rPr>
            <w:webHidden/>
          </w:rPr>
          <w:t>15</w:t>
        </w:r>
        <w:r>
          <w:rPr>
            <w:webHidden/>
          </w:rPr>
          <w:fldChar w:fldCharType="end"/>
        </w:r>
      </w:hyperlink>
    </w:p>
    <w:p w14:paraId="35116F66" w14:textId="7780EB4F" w:rsidR="00267F4F" w:rsidRDefault="00267F4F">
      <w:pPr>
        <w:pStyle w:val="TM2"/>
        <w:rPr>
          <w:rFonts w:asciiTheme="minorHAnsi" w:eastAsiaTheme="minorEastAsia" w:hAnsiTheme="minorHAnsi" w:cstheme="minorBidi"/>
          <w:noProof/>
          <w:kern w:val="2"/>
          <w14:ligatures w14:val="standardContextual"/>
        </w:rPr>
      </w:pPr>
      <w:hyperlink w:anchor="_Toc158208402" w:history="1">
        <w:r w:rsidRPr="00FC1AE2">
          <w:rPr>
            <w:rStyle w:val="Lienhypertexte"/>
            <w:noProof/>
          </w:rPr>
          <w:t>7.1</w:t>
        </w:r>
        <w:r>
          <w:rPr>
            <w:rFonts w:asciiTheme="minorHAnsi" w:eastAsiaTheme="minorEastAsia" w:hAnsiTheme="minorHAnsi" w:cstheme="minorBidi"/>
            <w:noProof/>
            <w:kern w:val="2"/>
            <w14:ligatures w14:val="standardContextual"/>
          </w:rPr>
          <w:tab/>
        </w:r>
        <w:r w:rsidRPr="00FC1AE2">
          <w:rPr>
            <w:rStyle w:val="Lienhypertexte"/>
            <w:noProof/>
          </w:rPr>
          <w:t>Régime d’aides et date d’éligibilité des dépenses</w:t>
        </w:r>
        <w:r>
          <w:rPr>
            <w:noProof/>
            <w:webHidden/>
          </w:rPr>
          <w:tab/>
        </w:r>
        <w:r>
          <w:rPr>
            <w:noProof/>
            <w:webHidden/>
          </w:rPr>
          <w:fldChar w:fldCharType="begin"/>
        </w:r>
        <w:r>
          <w:rPr>
            <w:noProof/>
            <w:webHidden/>
          </w:rPr>
          <w:instrText xml:space="preserve"> PAGEREF _Toc158208402 \h </w:instrText>
        </w:r>
        <w:r>
          <w:rPr>
            <w:noProof/>
            <w:webHidden/>
          </w:rPr>
        </w:r>
        <w:r>
          <w:rPr>
            <w:noProof/>
            <w:webHidden/>
          </w:rPr>
          <w:fldChar w:fldCharType="separate"/>
        </w:r>
        <w:r>
          <w:rPr>
            <w:noProof/>
            <w:webHidden/>
          </w:rPr>
          <w:t>15</w:t>
        </w:r>
        <w:r>
          <w:rPr>
            <w:noProof/>
            <w:webHidden/>
          </w:rPr>
          <w:fldChar w:fldCharType="end"/>
        </w:r>
      </w:hyperlink>
    </w:p>
    <w:p w14:paraId="78EB5DC3" w14:textId="205AFFAD" w:rsidR="00267F4F" w:rsidRDefault="00267F4F">
      <w:pPr>
        <w:pStyle w:val="TM2"/>
        <w:rPr>
          <w:rFonts w:asciiTheme="minorHAnsi" w:eastAsiaTheme="minorEastAsia" w:hAnsiTheme="minorHAnsi" w:cstheme="minorBidi"/>
          <w:noProof/>
          <w:kern w:val="2"/>
          <w14:ligatures w14:val="standardContextual"/>
        </w:rPr>
      </w:pPr>
      <w:hyperlink w:anchor="_Toc158208403" w:history="1">
        <w:r w:rsidRPr="00FC1AE2">
          <w:rPr>
            <w:rStyle w:val="Lienhypertexte"/>
            <w:noProof/>
          </w:rPr>
          <w:t>7.2</w:t>
        </w:r>
        <w:r>
          <w:rPr>
            <w:rFonts w:asciiTheme="minorHAnsi" w:eastAsiaTheme="minorEastAsia" w:hAnsiTheme="minorHAnsi" w:cstheme="minorBidi"/>
            <w:noProof/>
            <w:kern w:val="2"/>
            <w14:ligatures w14:val="standardContextual"/>
          </w:rPr>
          <w:tab/>
        </w:r>
        <w:r w:rsidRPr="00FC1AE2">
          <w:rPr>
            <w:rStyle w:val="Lienhypertexte"/>
            <w:noProof/>
          </w:rPr>
          <w:t>Description des coûts éligibles et retenus</w:t>
        </w:r>
        <w:r>
          <w:rPr>
            <w:noProof/>
            <w:webHidden/>
          </w:rPr>
          <w:tab/>
        </w:r>
        <w:r>
          <w:rPr>
            <w:noProof/>
            <w:webHidden/>
          </w:rPr>
          <w:fldChar w:fldCharType="begin"/>
        </w:r>
        <w:r>
          <w:rPr>
            <w:noProof/>
            <w:webHidden/>
          </w:rPr>
          <w:instrText xml:space="preserve"> PAGEREF _Toc158208403 \h </w:instrText>
        </w:r>
        <w:r>
          <w:rPr>
            <w:noProof/>
            <w:webHidden/>
          </w:rPr>
        </w:r>
        <w:r>
          <w:rPr>
            <w:noProof/>
            <w:webHidden/>
          </w:rPr>
          <w:fldChar w:fldCharType="separate"/>
        </w:r>
        <w:r>
          <w:rPr>
            <w:noProof/>
            <w:webHidden/>
          </w:rPr>
          <w:t>15</w:t>
        </w:r>
        <w:r>
          <w:rPr>
            <w:noProof/>
            <w:webHidden/>
          </w:rPr>
          <w:fldChar w:fldCharType="end"/>
        </w:r>
      </w:hyperlink>
    </w:p>
    <w:p w14:paraId="78790D81" w14:textId="3C5AC29D" w:rsidR="00267F4F" w:rsidRDefault="00267F4F">
      <w:pPr>
        <w:pStyle w:val="TM2"/>
        <w:rPr>
          <w:rFonts w:asciiTheme="minorHAnsi" w:eastAsiaTheme="minorEastAsia" w:hAnsiTheme="minorHAnsi" w:cstheme="minorBidi"/>
          <w:noProof/>
          <w:kern w:val="2"/>
          <w14:ligatures w14:val="standardContextual"/>
        </w:rPr>
      </w:pPr>
      <w:hyperlink w:anchor="_Toc158208404" w:history="1">
        <w:r w:rsidRPr="00FC1AE2">
          <w:rPr>
            <w:rStyle w:val="Lienhypertexte"/>
            <w:noProof/>
          </w:rPr>
          <w:t>7.3</w:t>
        </w:r>
        <w:r>
          <w:rPr>
            <w:rFonts w:asciiTheme="minorHAnsi" w:eastAsiaTheme="minorEastAsia" w:hAnsiTheme="minorHAnsi" w:cstheme="minorBidi"/>
            <w:noProof/>
            <w:kern w:val="2"/>
            <w14:ligatures w14:val="standardContextual"/>
          </w:rPr>
          <w:tab/>
        </w:r>
        <w:r w:rsidRPr="00FC1AE2">
          <w:rPr>
            <w:rStyle w:val="Lienhypertexte"/>
            <w:noProof/>
          </w:rPr>
          <w:t>Aides proposées</w:t>
        </w:r>
        <w:r>
          <w:rPr>
            <w:noProof/>
            <w:webHidden/>
          </w:rPr>
          <w:tab/>
        </w:r>
        <w:r>
          <w:rPr>
            <w:noProof/>
            <w:webHidden/>
          </w:rPr>
          <w:fldChar w:fldCharType="begin"/>
        </w:r>
        <w:r>
          <w:rPr>
            <w:noProof/>
            <w:webHidden/>
          </w:rPr>
          <w:instrText xml:space="preserve"> PAGEREF _Toc158208404 \h </w:instrText>
        </w:r>
        <w:r>
          <w:rPr>
            <w:noProof/>
            <w:webHidden/>
          </w:rPr>
        </w:r>
        <w:r>
          <w:rPr>
            <w:noProof/>
            <w:webHidden/>
          </w:rPr>
          <w:fldChar w:fldCharType="separate"/>
        </w:r>
        <w:r>
          <w:rPr>
            <w:noProof/>
            <w:webHidden/>
          </w:rPr>
          <w:t>15</w:t>
        </w:r>
        <w:r>
          <w:rPr>
            <w:noProof/>
            <w:webHidden/>
          </w:rPr>
          <w:fldChar w:fldCharType="end"/>
        </w:r>
      </w:hyperlink>
    </w:p>
    <w:p w14:paraId="5707FDE1" w14:textId="6AA37681" w:rsidR="00267F4F" w:rsidRDefault="00267F4F">
      <w:pPr>
        <w:pStyle w:val="TM1"/>
        <w:rPr>
          <w:rFonts w:asciiTheme="minorHAnsi" w:eastAsiaTheme="minorEastAsia" w:hAnsiTheme="minorHAnsi" w:cstheme="minorBidi"/>
          <w:b w:val="0"/>
          <w:kern w:val="2"/>
          <w14:ligatures w14:val="standardContextual"/>
        </w:rPr>
      </w:pPr>
      <w:hyperlink w:anchor="_Toc158208405" w:history="1">
        <w:r w:rsidRPr="00FC1AE2">
          <w:rPr>
            <w:rStyle w:val="Lienhypertexte"/>
          </w:rPr>
          <w:t>Annexe 1 : critères de performance environnementale</w:t>
        </w:r>
        <w:r>
          <w:rPr>
            <w:webHidden/>
          </w:rPr>
          <w:tab/>
        </w:r>
        <w:r>
          <w:rPr>
            <w:webHidden/>
          </w:rPr>
          <w:fldChar w:fldCharType="begin"/>
        </w:r>
        <w:r>
          <w:rPr>
            <w:webHidden/>
          </w:rPr>
          <w:instrText xml:space="preserve"> PAGEREF _Toc158208405 \h </w:instrText>
        </w:r>
        <w:r>
          <w:rPr>
            <w:webHidden/>
          </w:rPr>
        </w:r>
        <w:r>
          <w:rPr>
            <w:webHidden/>
          </w:rPr>
          <w:fldChar w:fldCharType="separate"/>
        </w:r>
        <w:r>
          <w:rPr>
            <w:webHidden/>
          </w:rPr>
          <w:t>17</w:t>
        </w:r>
        <w:r>
          <w:rPr>
            <w:webHidden/>
          </w:rPr>
          <w:fldChar w:fldCharType="end"/>
        </w:r>
      </w:hyperlink>
    </w:p>
    <w:p w14:paraId="68A38FDB" w14:textId="68C8C728" w:rsidR="00267F4F" w:rsidRDefault="00267F4F">
      <w:pPr>
        <w:pStyle w:val="TM1"/>
        <w:rPr>
          <w:rFonts w:asciiTheme="minorHAnsi" w:eastAsiaTheme="minorEastAsia" w:hAnsiTheme="minorHAnsi" w:cstheme="minorBidi"/>
          <w:b w:val="0"/>
          <w:kern w:val="2"/>
          <w14:ligatures w14:val="standardContextual"/>
        </w:rPr>
      </w:pPr>
      <w:hyperlink w:anchor="_Toc158208406" w:history="1">
        <w:r w:rsidRPr="00FC1AE2">
          <w:rPr>
            <w:rStyle w:val="Lienhypertexte"/>
          </w:rPr>
          <w:t>Annexe 2 : Ressources biomasse éligibles dans le cadre de l’étude</w:t>
        </w:r>
        <w:r>
          <w:rPr>
            <w:webHidden/>
          </w:rPr>
          <w:tab/>
        </w:r>
        <w:r>
          <w:rPr>
            <w:webHidden/>
          </w:rPr>
          <w:fldChar w:fldCharType="begin"/>
        </w:r>
        <w:r>
          <w:rPr>
            <w:webHidden/>
          </w:rPr>
          <w:instrText xml:space="preserve"> PAGEREF _Toc158208406 \h </w:instrText>
        </w:r>
        <w:r>
          <w:rPr>
            <w:webHidden/>
          </w:rPr>
        </w:r>
        <w:r>
          <w:rPr>
            <w:webHidden/>
          </w:rPr>
          <w:fldChar w:fldCharType="separate"/>
        </w:r>
        <w:r>
          <w:rPr>
            <w:webHidden/>
          </w:rPr>
          <w:t>18</w:t>
        </w:r>
        <w:r>
          <w:rPr>
            <w:webHidden/>
          </w:rPr>
          <w:fldChar w:fldCharType="end"/>
        </w:r>
      </w:hyperlink>
    </w:p>
    <w:p w14:paraId="69560E55" w14:textId="65D2ACB5" w:rsidR="00100C87" w:rsidRDefault="00316DA2">
      <w:pPr>
        <w:spacing w:after="120"/>
      </w:pPr>
      <w:r>
        <w:fldChar w:fldCharType="end"/>
      </w:r>
    </w:p>
    <w:p w14:paraId="2570D315" w14:textId="77777777" w:rsidR="00100C87" w:rsidRDefault="00100C87">
      <w:pPr>
        <w:tabs>
          <w:tab w:val="left" w:pos="3152"/>
          <w:tab w:val="left" w:pos="5220"/>
        </w:tabs>
        <w:spacing w:after="120"/>
      </w:pPr>
      <w:bookmarkStart w:id="5" w:name="_Toc10651051"/>
    </w:p>
    <w:p w14:paraId="745E9E4C" w14:textId="77777777" w:rsidR="00100C87" w:rsidRDefault="00100C87">
      <w:pPr>
        <w:tabs>
          <w:tab w:val="left" w:pos="5220"/>
        </w:tabs>
        <w:spacing w:after="120"/>
      </w:pPr>
    </w:p>
    <w:p w14:paraId="6CEBC95C" w14:textId="77777777" w:rsidR="00100C87" w:rsidRDefault="00100C87">
      <w:pPr>
        <w:tabs>
          <w:tab w:val="left" w:pos="5220"/>
        </w:tabs>
        <w:spacing w:after="120"/>
      </w:pPr>
    </w:p>
    <w:p w14:paraId="2C98C316" w14:textId="77777777" w:rsidR="00100C87" w:rsidRDefault="00100C87">
      <w:pPr>
        <w:tabs>
          <w:tab w:val="left" w:pos="5220"/>
        </w:tabs>
        <w:spacing w:after="120"/>
      </w:pPr>
    </w:p>
    <w:p w14:paraId="7B80F5C9" w14:textId="77777777" w:rsidR="00100C87" w:rsidRDefault="00100C87">
      <w:pPr>
        <w:tabs>
          <w:tab w:val="left" w:pos="5220"/>
        </w:tabs>
        <w:spacing w:after="120"/>
      </w:pPr>
    </w:p>
    <w:p w14:paraId="1D621536" w14:textId="77777777" w:rsidR="00100C87" w:rsidRDefault="00100C87">
      <w:pPr>
        <w:tabs>
          <w:tab w:val="left" w:pos="5220"/>
        </w:tabs>
        <w:spacing w:after="120"/>
      </w:pPr>
    </w:p>
    <w:p w14:paraId="56D46F64" w14:textId="77777777" w:rsidR="00100C87" w:rsidRDefault="00100C87">
      <w:pPr>
        <w:tabs>
          <w:tab w:val="left" w:pos="5220"/>
        </w:tabs>
        <w:spacing w:after="120"/>
      </w:pPr>
    </w:p>
    <w:p w14:paraId="2EC220B4" w14:textId="77777777" w:rsidR="00100C87" w:rsidRDefault="00100C87">
      <w:pPr>
        <w:tabs>
          <w:tab w:val="left" w:pos="5220"/>
        </w:tabs>
        <w:spacing w:after="120"/>
      </w:pPr>
    </w:p>
    <w:p w14:paraId="686D56E8" w14:textId="77777777" w:rsidR="00100C87" w:rsidRDefault="00100C87">
      <w:pPr>
        <w:tabs>
          <w:tab w:val="left" w:pos="5220"/>
        </w:tabs>
        <w:spacing w:after="120"/>
      </w:pPr>
    </w:p>
    <w:p w14:paraId="45ABE0FE" w14:textId="77777777" w:rsidR="00100C87" w:rsidRDefault="00100C87">
      <w:pPr>
        <w:tabs>
          <w:tab w:val="left" w:pos="5220"/>
        </w:tabs>
        <w:spacing w:after="120"/>
      </w:pPr>
    </w:p>
    <w:p w14:paraId="6DE33A86" w14:textId="77777777" w:rsidR="00100C87" w:rsidRDefault="00316DA2">
      <w:pPr>
        <w:rPr>
          <w:b/>
          <w:smallCaps/>
          <w:color w:val="3CB6EC"/>
          <w:sz w:val="24"/>
          <w:szCs w:val="24"/>
        </w:rPr>
      </w:pPr>
      <w:bookmarkStart w:id="6" w:name="_Toc76110395"/>
      <w:bookmarkStart w:id="7" w:name="_Toc74823224"/>
      <w:bookmarkStart w:id="8" w:name="_Toc75875322"/>
      <w:bookmarkEnd w:id="6"/>
      <w:r>
        <w:br w:type="page"/>
      </w:r>
    </w:p>
    <w:p w14:paraId="4149271B" w14:textId="77777777" w:rsidR="00100C87" w:rsidRDefault="00316DA2">
      <w:pPr>
        <w:pStyle w:val="Titre1"/>
        <w:spacing w:before="0" w:after="120" w:line="240" w:lineRule="auto"/>
      </w:pPr>
      <w:bookmarkStart w:id="9" w:name="_Toc158208388"/>
      <w:r>
        <w:lastRenderedPageBreak/>
        <w:t>Liste des documents constitutifs d’un dossier</w:t>
      </w:r>
      <w:bookmarkEnd w:id="7"/>
      <w:bookmarkEnd w:id="8"/>
      <w:bookmarkEnd w:id="9"/>
    </w:p>
    <w:p w14:paraId="2E6E1D89" w14:textId="77777777" w:rsidR="00100C87" w:rsidRDefault="00100C87">
      <w:pPr>
        <w:keepNext/>
        <w:keepLines/>
        <w:spacing w:before="280" w:after="240"/>
        <w:jc w:val="left"/>
        <w:outlineLvl w:val="1"/>
        <w:rPr>
          <w:b/>
          <w:vanish/>
        </w:rPr>
      </w:pPr>
      <w:bookmarkStart w:id="10" w:name="_Toc74823225"/>
    </w:p>
    <w:p w14:paraId="516FEBBB" w14:textId="670514A6" w:rsidR="00100C87" w:rsidRDefault="00316DA2">
      <w:pPr>
        <w:pStyle w:val="Titre2"/>
        <w:keepLines/>
        <w:spacing w:before="280" w:line="240" w:lineRule="auto"/>
        <w:jc w:val="left"/>
        <w:rPr>
          <w:color w:val="000000"/>
        </w:rPr>
      </w:pPr>
      <w:bookmarkStart w:id="11" w:name="_Toc75875323"/>
      <w:bookmarkStart w:id="12" w:name="_Toc158208389"/>
      <w:r>
        <w:rPr>
          <w:color w:val="000000"/>
        </w:rPr>
        <w:t>Pour un pré</w:t>
      </w:r>
      <w:r w:rsidR="00267F4F">
        <w:rPr>
          <w:color w:val="000000"/>
        </w:rPr>
        <w:t>-</w:t>
      </w:r>
      <w:r>
        <w:rPr>
          <w:color w:val="000000"/>
        </w:rPr>
        <w:t>dépôt</w:t>
      </w:r>
      <w:bookmarkEnd w:id="10"/>
      <w:bookmarkEnd w:id="11"/>
      <w:bookmarkEnd w:id="12"/>
    </w:p>
    <w:p w14:paraId="4DB35267" w14:textId="77777777" w:rsidR="00100C87" w:rsidRDefault="00316DA2">
      <w:pPr>
        <w:rPr>
          <w:b/>
          <w:bCs/>
        </w:rPr>
      </w:pPr>
      <w:r>
        <w:rPr>
          <w:b/>
          <w:bCs/>
        </w:rPr>
        <w:t xml:space="preserve">Annexe 2 : </w:t>
      </w:r>
      <w:r>
        <w:tab/>
        <w:t>Modèle de présentation du projet pour le pré-dépôt</w:t>
      </w:r>
    </w:p>
    <w:p w14:paraId="736D21B7" w14:textId="77777777" w:rsidR="00100C87" w:rsidRDefault="00100C87">
      <w:pPr>
        <w:rPr>
          <w:b/>
        </w:rPr>
      </w:pPr>
    </w:p>
    <w:p w14:paraId="3CB363B0" w14:textId="77777777" w:rsidR="00100C87" w:rsidRDefault="00316DA2">
      <w:pPr>
        <w:pStyle w:val="Titre2"/>
        <w:keepLines/>
        <w:spacing w:before="280" w:line="240" w:lineRule="auto"/>
        <w:jc w:val="left"/>
        <w:rPr>
          <w:color w:val="000000"/>
        </w:rPr>
      </w:pPr>
      <w:bookmarkStart w:id="13" w:name="_Toc74823226"/>
      <w:bookmarkStart w:id="14" w:name="_Toc75875324"/>
      <w:bookmarkStart w:id="15" w:name="_Toc158208390"/>
      <w:r>
        <w:rPr>
          <w:color w:val="000000"/>
        </w:rPr>
        <w:t>Pour un dépôt complet</w:t>
      </w:r>
      <w:bookmarkEnd w:id="13"/>
      <w:bookmarkEnd w:id="14"/>
      <w:bookmarkEnd w:id="15"/>
      <w:r>
        <w:rPr>
          <w:color w:val="000000"/>
        </w:rPr>
        <w:t> </w:t>
      </w:r>
    </w:p>
    <w:p w14:paraId="49043AAB" w14:textId="77777777" w:rsidR="00100C87" w:rsidRDefault="00316DA2">
      <w:pPr>
        <w:rPr>
          <w:b/>
        </w:rPr>
      </w:pPr>
      <w:r>
        <w:rPr>
          <w:b/>
        </w:rPr>
        <w:t>Annexe 1 :</w:t>
      </w:r>
      <w:r>
        <w:rPr>
          <w:b/>
        </w:rPr>
        <w:tab/>
      </w:r>
      <w:r>
        <w:t>Conditions Générales de France 2030</w:t>
      </w:r>
    </w:p>
    <w:p w14:paraId="424B82E5" w14:textId="77777777" w:rsidR="00100C87" w:rsidRDefault="00316DA2">
      <w:pPr>
        <w:rPr>
          <w:b/>
        </w:rPr>
      </w:pPr>
      <w:r>
        <w:rPr>
          <w:b/>
        </w:rPr>
        <w:t xml:space="preserve">Annexe 3.a : </w:t>
      </w:r>
      <w:r>
        <w:rPr>
          <w:b/>
        </w:rPr>
        <w:tab/>
      </w:r>
      <w:r>
        <w:t>Descriptif détaillé du projet</w:t>
      </w:r>
    </w:p>
    <w:p w14:paraId="65E95DAF" w14:textId="77777777" w:rsidR="00100C87" w:rsidRDefault="00316DA2">
      <w:pPr>
        <w:rPr>
          <w:b/>
        </w:rPr>
      </w:pPr>
      <w:r>
        <w:rPr>
          <w:b/>
        </w:rPr>
        <w:t xml:space="preserve">Annexe 3.b : </w:t>
      </w:r>
      <w:r>
        <w:rPr>
          <w:b/>
        </w:rPr>
        <w:tab/>
      </w:r>
      <w:r>
        <w:t>Descriptif du partenaire (document spécifique à chaque partenaire)</w:t>
      </w:r>
    </w:p>
    <w:p w14:paraId="44BC0241" w14:textId="77777777" w:rsidR="00100C87" w:rsidRDefault="00316DA2">
      <w:pPr>
        <w:rPr>
          <w:b/>
        </w:rPr>
      </w:pPr>
      <w:r>
        <w:rPr>
          <w:b/>
        </w:rPr>
        <w:t>Annexe 3.c :</w:t>
      </w:r>
      <w:r>
        <w:rPr>
          <w:b/>
        </w:rPr>
        <w:tab/>
      </w:r>
      <w:r>
        <w:t>Déclarations administratives</w:t>
      </w:r>
    </w:p>
    <w:p w14:paraId="7BAF3EDE" w14:textId="77777777" w:rsidR="00100C87" w:rsidRDefault="00316DA2">
      <w:pPr>
        <w:rPr>
          <w:b/>
        </w:rPr>
      </w:pPr>
      <w:r>
        <w:rPr>
          <w:b/>
        </w:rPr>
        <w:t xml:space="preserve">Annexe 4 : </w:t>
      </w:r>
      <w:r>
        <w:rPr>
          <w:b/>
        </w:rPr>
        <w:tab/>
      </w:r>
      <w:r>
        <w:t>Base de données des coûts du projet</w:t>
      </w:r>
    </w:p>
    <w:p w14:paraId="0D0BC0E4" w14:textId="77777777" w:rsidR="00100C87" w:rsidRDefault="00316DA2">
      <w:pPr>
        <w:rPr>
          <w:b/>
        </w:rPr>
      </w:pPr>
      <w:r>
        <w:rPr>
          <w:b/>
        </w:rPr>
        <w:t>Annexe 5 :</w:t>
      </w:r>
      <w:r>
        <w:rPr>
          <w:b/>
        </w:rPr>
        <w:tab/>
      </w:r>
      <w:r>
        <w:t xml:space="preserve">Grille d’impacts </w:t>
      </w:r>
    </w:p>
    <w:p w14:paraId="16F39038" w14:textId="77777777" w:rsidR="00100C87" w:rsidRDefault="00316DA2">
      <w:r>
        <w:rPr>
          <w:b/>
        </w:rPr>
        <w:t>Annexe 6 :</w:t>
      </w:r>
      <w:r>
        <w:rPr>
          <w:b/>
        </w:rPr>
        <w:tab/>
      </w:r>
      <w:r>
        <w:t>Eléments financiers</w:t>
      </w:r>
    </w:p>
    <w:bookmarkEnd w:id="5"/>
    <w:p w14:paraId="18F08053" w14:textId="77777777" w:rsidR="00100C87" w:rsidRDefault="00316DA2">
      <w:pPr>
        <w:rPr>
          <w:b/>
        </w:rPr>
      </w:pPr>
      <w:r>
        <w:rPr>
          <w:b/>
        </w:rPr>
        <w:t>Annexe 7 :</w:t>
      </w:r>
      <w:r>
        <w:rPr>
          <w:b/>
        </w:rPr>
        <w:tab/>
      </w:r>
      <w:r>
        <w:t>Attestation santé financière</w:t>
      </w:r>
    </w:p>
    <w:p w14:paraId="5D77AAAB" w14:textId="77777777" w:rsidR="00100C87" w:rsidRDefault="00316DA2">
      <w:pPr>
        <w:rPr>
          <w:b/>
          <w:bCs/>
        </w:rPr>
      </w:pPr>
      <w:r>
        <w:rPr>
          <w:b/>
          <w:bCs/>
        </w:rPr>
        <w:t>Annexe 8 :</w:t>
      </w:r>
      <w:r>
        <w:tab/>
        <w:t>Fiche lauréat</w:t>
      </w:r>
    </w:p>
    <w:p w14:paraId="52DB5D01" w14:textId="77777777" w:rsidR="00100C87" w:rsidRDefault="00316DA2">
      <w:r>
        <w:rPr>
          <w:b/>
          <w:bCs/>
        </w:rPr>
        <w:t xml:space="preserve">Annexe 9 </w:t>
      </w:r>
      <w:r>
        <w:t>:</w:t>
      </w:r>
      <w:r>
        <w:tab/>
        <w:t>Plan d’approvisionnement Biomasse</w:t>
      </w:r>
    </w:p>
    <w:p w14:paraId="448BC502" w14:textId="77777777" w:rsidR="00100C87" w:rsidRDefault="00316DA2">
      <w:r>
        <w:rPr>
          <w:b/>
          <w:bCs/>
        </w:rPr>
        <w:t>Annexe 10 :</w:t>
      </w:r>
      <w:r>
        <w:tab/>
        <w:t>Plan d’approvisionnement électricité, CO</w:t>
      </w:r>
      <w:r>
        <w:rPr>
          <w:vertAlign w:val="subscript"/>
        </w:rPr>
        <w:t>2</w:t>
      </w:r>
      <w:r>
        <w:t>, H</w:t>
      </w:r>
      <w:r>
        <w:rPr>
          <w:vertAlign w:val="subscript"/>
        </w:rPr>
        <w:t xml:space="preserve">2 </w:t>
      </w:r>
      <w:r>
        <w:t>et eau</w:t>
      </w:r>
    </w:p>
    <w:p w14:paraId="383E4915" w14:textId="5E6795C0" w:rsidR="00D563D4" w:rsidRDefault="00D563D4" w:rsidP="00D563D4">
      <w:r>
        <w:rPr>
          <w:b/>
          <w:bCs/>
        </w:rPr>
        <w:t>Annexe 11 :</w:t>
      </w:r>
      <w:r>
        <w:tab/>
      </w:r>
      <w:r w:rsidRPr="00D563D4">
        <w:t>Plan et contenu du dossier d’Evaluation socio-économique (ESE) des grands projets dans le cadre de France 203</w:t>
      </w:r>
      <w:r w:rsidR="00267F4F">
        <w:t>0</w:t>
      </w:r>
    </w:p>
    <w:p w14:paraId="4111A8CE" w14:textId="77777777" w:rsidR="00100C87" w:rsidRDefault="00100C87"/>
    <w:p w14:paraId="2D1F6CE8" w14:textId="1F1F9AAD" w:rsidR="00267F4F" w:rsidRDefault="00267F4F" w:rsidP="00267F4F">
      <w:pPr>
        <w:tabs>
          <w:tab w:val="left" w:pos="5475"/>
        </w:tabs>
        <w:spacing w:after="120"/>
      </w:pPr>
      <w:r>
        <w:t>En application du décret n° 2013-1211 du 23 décembre 2013, tout projet déposé dans le cadre du présent dispositif sollicitant un financement par l’Etat de 20M€ et plus devra accompagner son dossier de candidature d’une évaluation socio-économique préalable. Le plan de contenu de cette évaluation est décrit en Annexe 1</w:t>
      </w:r>
      <w:r>
        <w:t>1 du dossier de candidature</w:t>
      </w:r>
      <w:r>
        <w:t>. Cette évaluation devra être remise au plus tard à l’issue de la phase d’instruction approfondie. Dans le cas d’un projet pluri-partenaires, l’évaluation socio-économique doit être déposée par la structure chef de file.</w:t>
      </w:r>
    </w:p>
    <w:p w14:paraId="29A1D2C7" w14:textId="61BE0A28" w:rsidR="00267F4F" w:rsidRDefault="00267F4F" w:rsidP="00267F4F">
      <w:pPr>
        <w:tabs>
          <w:tab w:val="left" w:pos="5475"/>
        </w:tabs>
        <w:spacing w:after="120"/>
      </w:pPr>
      <w:r>
        <w:t>L’</w:t>
      </w:r>
      <w:r>
        <w:t>ADEME, en tant qu’o</w:t>
      </w:r>
      <w:r>
        <w:t>pérateur</w:t>
      </w:r>
      <w:r>
        <w:t>,</w:t>
      </w:r>
      <w:r>
        <w:t xml:space="preserve"> est responsable de l’analyse et produit la synthèse des dossiers d’ESE. </w:t>
      </w:r>
    </w:p>
    <w:p w14:paraId="251E28EE" w14:textId="434FC9FF" w:rsidR="00267F4F" w:rsidRDefault="00267F4F" w:rsidP="00267F4F">
      <w:pPr>
        <w:tabs>
          <w:tab w:val="left" w:pos="5475"/>
        </w:tabs>
        <w:spacing w:after="120"/>
      </w:pPr>
      <w:r>
        <w:t>L’objectif d’une ESE est de déterminer et comparer les coûts et bénéfices attendus du projet d'investissement envisagé pour la société. Ces analyses permettent d’éclairer la décision publique au moment de l’approbation du projet compte tenu de la valeur ajoutée socio-économique estimée du projet, mais également de mettre en évidence les conditions de réussite et</w:t>
      </w:r>
      <w:r>
        <w:t>/</w:t>
      </w:r>
      <w:r>
        <w:t xml:space="preserve">ou de risques du projet, améliorant ainsi ses conditions de suivi.  </w:t>
      </w:r>
    </w:p>
    <w:p w14:paraId="11150256" w14:textId="77777777" w:rsidR="00267F4F" w:rsidRDefault="00267F4F" w:rsidP="00267F4F">
      <w:pPr>
        <w:tabs>
          <w:tab w:val="left" w:pos="5475"/>
        </w:tabs>
        <w:spacing w:after="120"/>
      </w:pPr>
      <w:r>
        <w:t xml:space="preserve">Les impacts socio-économiques des projets constituent un élément requis pour lancer les concertations locales, leur anticipation dans le cadre du processus d’instruction France 2030 et représente ainsi une bonne pratique propice à sécuriser et accélérer les déploiements opérationnels des projets. </w:t>
      </w:r>
    </w:p>
    <w:p w14:paraId="5D85C0D3" w14:textId="6E0768D8" w:rsidR="00100C87" w:rsidRDefault="00267F4F" w:rsidP="00267F4F">
      <w:pPr>
        <w:tabs>
          <w:tab w:val="left" w:pos="5475"/>
        </w:tabs>
        <w:spacing w:after="120"/>
      </w:pPr>
      <w:r>
        <w:t>Les projets d’investissements participant à la sécurité nationale ou de nature duale (militaire et civile) sont exclus du champ de la présente procédure.</w:t>
      </w:r>
      <w:r w:rsidR="00316DA2">
        <w:br w:type="page"/>
      </w:r>
    </w:p>
    <w:p w14:paraId="6F433E42" w14:textId="77777777" w:rsidR="00100C87" w:rsidRDefault="00316DA2">
      <w:pPr>
        <w:pStyle w:val="Titre1"/>
        <w:spacing w:before="0" w:after="120" w:line="240" w:lineRule="auto"/>
      </w:pPr>
      <w:bookmarkStart w:id="16" w:name="_3znysh7" w:colFirst="0" w:colLast="0"/>
      <w:bookmarkStart w:id="17" w:name="_Toc158208391"/>
      <w:bookmarkEnd w:id="16"/>
      <w:r>
        <w:lastRenderedPageBreak/>
        <w:t>Cadre général de l’app</w:t>
      </w:r>
      <w:bookmarkEnd w:id="17"/>
    </w:p>
    <w:p w14:paraId="01B8617E" w14:textId="77777777" w:rsidR="00100C87" w:rsidRDefault="00316DA2">
      <w:pPr>
        <w:keepNext/>
        <w:keepLines/>
        <w:numPr>
          <w:ilvl w:val="1"/>
          <w:numId w:val="5"/>
        </w:numPr>
        <w:spacing w:before="280" w:after="240"/>
        <w:jc w:val="left"/>
        <w:outlineLvl w:val="1"/>
        <w:rPr>
          <w:color w:val="000000"/>
        </w:rPr>
      </w:pPr>
      <w:bookmarkStart w:id="18" w:name="_2et92p0" w:colFirst="0" w:colLast="0"/>
      <w:bookmarkStart w:id="19" w:name="_Toc10651053"/>
      <w:bookmarkStart w:id="20" w:name="_Toc158208392"/>
      <w:bookmarkEnd w:id="18"/>
      <w:r>
        <w:rPr>
          <w:color w:val="000000"/>
        </w:rPr>
        <w:t xml:space="preserve">Contexte </w:t>
      </w:r>
      <w:bookmarkEnd w:id="19"/>
      <w:r>
        <w:rPr>
          <w:color w:val="000000"/>
        </w:rPr>
        <w:t>et objectifs de l’AAP</w:t>
      </w:r>
      <w:bookmarkEnd w:id="20"/>
    </w:p>
    <w:p w14:paraId="1980C776" w14:textId="5A6A0B1D" w:rsidR="00100C87" w:rsidRDefault="00316DA2">
      <w:pPr>
        <w:spacing w:after="120"/>
      </w:pPr>
      <w:r>
        <w:t>Le secteur des transports et de la mobilité doit faire face à des mutations profondes liées à la transition écologique et à la décarbonation de ses activités. La nécessaire réduction des émissions du secteur aéronautique français pourrait avoir des impacts à long terme sur ses performances économiques. La réussite des transformations importantes que le transport aérien doit opérer nécessite des efforts considérables en matière de R&amp;D et d’investissement productif qu’il convient de poursuivre et d’intensifier, de façon à soutenir l’émergence d’un secteur aérien français décarboné, plus respectueux de l’environnement et adapté aux besoins et attentes des utilisateurs finaux.</w:t>
      </w:r>
    </w:p>
    <w:p w14:paraId="7C70C58B" w14:textId="77777777" w:rsidR="00100C87" w:rsidRDefault="00267F4F">
      <w:pPr>
        <w:spacing w:after="80"/>
      </w:pPr>
      <w:sdt>
        <w:sdtPr>
          <w:tag w:val="goog_rdk_7"/>
          <w:id w:val="1902409313"/>
        </w:sdtPr>
        <w:sdtEndPr/>
        <w:sdtContent>
          <w:r w:rsidR="00316DA2">
            <w:t>Le plan d’investissement France 2030 :</w:t>
          </w:r>
        </w:sdtContent>
      </w:sdt>
    </w:p>
    <w:sdt>
      <w:sdtPr>
        <w:tag w:val="goog_rdk_10"/>
        <w:id w:val="-190223777"/>
      </w:sdtPr>
      <w:sdtEndPr/>
      <w:sdtContent>
        <w:p w14:paraId="0D5767E0" w14:textId="77777777" w:rsidR="00100C87" w:rsidRDefault="00267F4F">
          <w:pPr>
            <w:numPr>
              <w:ilvl w:val="0"/>
              <w:numId w:val="14"/>
            </w:numPr>
            <w:spacing w:after="80"/>
            <w:ind w:left="426"/>
          </w:pPr>
          <w:sdt>
            <w:sdtPr>
              <w:tag w:val="goog_rdk_9"/>
              <w:id w:val="-1606334681"/>
            </w:sdtPr>
            <w:sdtEndPr/>
            <w:sdtContent>
              <w:r w:rsidR="00316DA2">
                <w:t>Traduit une double ambition : transformer durablement des secteurs clefs de notre économie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w:t>
              </w:r>
            </w:sdtContent>
          </w:sdt>
        </w:p>
      </w:sdtContent>
    </w:sdt>
    <w:sdt>
      <w:sdtPr>
        <w:tag w:val="goog_rdk_12"/>
        <w:id w:val="915830398"/>
      </w:sdtPr>
      <w:sdtEndPr/>
      <w:sdtContent>
        <w:p w14:paraId="6D38B1F2" w14:textId="77777777" w:rsidR="00100C87" w:rsidRDefault="00267F4F">
          <w:pPr>
            <w:numPr>
              <w:ilvl w:val="0"/>
              <w:numId w:val="14"/>
            </w:numPr>
            <w:spacing w:after="80"/>
            <w:ind w:left="426"/>
          </w:pPr>
          <w:sdt>
            <w:sdtPr>
              <w:tag w:val="goog_rdk_11"/>
              <w:id w:val="167916124"/>
            </w:sdtPr>
            <w:sdtEndPr/>
            <w:sdtContent>
              <w:r w:rsidR="00316DA2">
                <w:t xml:space="preserve">Est inédit par son ampleur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de ses dépenses à la décarbonation de l’économie, et 50% à des acteurs émergents, porteurs d’innovation sans dépenses défavorables à l’environnement (au sens du principe « Do No </w:t>
              </w:r>
              <w:proofErr w:type="spellStart"/>
              <w:r w:rsidR="00316DA2">
                <w:t>Significant</w:t>
              </w:r>
              <w:proofErr w:type="spellEnd"/>
              <w:r w:rsidR="00316DA2">
                <w:t xml:space="preserve"> </w:t>
              </w:r>
              <w:proofErr w:type="spellStart"/>
              <w:r w:rsidR="00316DA2">
                <w:t>Harm</w:t>
              </w:r>
              <w:proofErr w:type="spellEnd"/>
              <w:r w:rsidR="00316DA2">
                <w:t> »).</w:t>
              </w:r>
            </w:sdtContent>
          </w:sdt>
        </w:p>
      </w:sdtContent>
    </w:sdt>
    <w:sdt>
      <w:sdtPr>
        <w:tag w:val="goog_rdk_14"/>
        <w:id w:val="6487327"/>
      </w:sdtPr>
      <w:sdtEndPr/>
      <w:sdtContent>
        <w:p w14:paraId="330F8C3F" w14:textId="77777777" w:rsidR="00100C87" w:rsidRDefault="00267F4F">
          <w:pPr>
            <w:numPr>
              <w:ilvl w:val="0"/>
              <w:numId w:val="14"/>
            </w:numPr>
            <w:spacing w:after="80"/>
            <w:ind w:left="426"/>
          </w:pPr>
          <w:sdt>
            <w:sdtPr>
              <w:tag w:val="goog_rdk_13"/>
              <w:id w:val="603853774"/>
            </w:sdtPr>
            <w:sdtEndPr/>
            <w:sdtContent>
              <w:r w:rsidR="00316DA2">
                <w:t xml:space="preserve">Sera mis en œuvre collectivement : pensé et déployé en concertation avec les acteurs économiques, académiques, locaux et européens pour en déterminer les orientations stratégiques et les actions phares. Les porteurs de projets sont invités à déposer leur dossier </w:t>
              </w:r>
              <w:r w:rsidR="00316DA2">
                <w:rPr>
                  <w:i/>
                </w:rPr>
                <w:t>via</w:t>
              </w:r>
              <w:r w:rsidR="00316DA2">
                <w:t xml:space="preserve"> des procédures ouvertes, exigeantes et sélectives pour bénéficier de l’accompagnement de l’Etat.</w:t>
              </w:r>
            </w:sdtContent>
          </w:sdt>
        </w:p>
      </w:sdtContent>
    </w:sdt>
    <w:sdt>
      <w:sdtPr>
        <w:tag w:val="goog_rdk_17"/>
        <w:id w:val="-1343774667"/>
      </w:sdtPr>
      <w:sdtEndPr/>
      <w:sdtContent>
        <w:p w14:paraId="76842620" w14:textId="77777777" w:rsidR="00100C87" w:rsidRDefault="00267F4F">
          <w:pPr>
            <w:numPr>
              <w:ilvl w:val="0"/>
              <w:numId w:val="14"/>
            </w:numPr>
            <w:spacing w:after="80"/>
            <w:ind w:left="426"/>
          </w:pPr>
          <w:sdt>
            <w:sdtPr>
              <w:tag w:val="goog_rdk_15"/>
              <w:id w:val="-42063445"/>
            </w:sdtPr>
            <w:sdtEndPr/>
            <w:sdtContent>
              <w:r w:rsidR="00316DA2">
                <w:t>Est piloté par le Secrétariat général pour l’investissement pour le compte de la Première ministre et mis en œuvre par l’Agence de la transition écologique (ADEME), l’Agence nationale de la recherche (ANR), Bpifrance et la Caisse des dépôts et consignations (CDC).</w:t>
              </w:r>
            </w:sdtContent>
          </w:sdt>
        </w:p>
      </w:sdtContent>
    </w:sdt>
    <w:p w14:paraId="46B78047" w14:textId="77777777" w:rsidR="00100C87" w:rsidRDefault="00316DA2">
      <w:pPr>
        <w:spacing w:after="120"/>
      </w:pPr>
      <w:r>
        <w:t xml:space="preserve">Le secteur des transports a été retenu parmi la dizaine de thématiques jugées prioritaires et fait l’objet de stratégies d’investissements dans le cadre de France 2030, prévoyant l’inscription d’un accompagnement de projets d’innovations à enjeux dans une démarche plus générale de politique publique. A ce titre, cet AAP se rattache à la stratégie nationale « </w:t>
      </w:r>
      <w:r>
        <w:rPr>
          <w:b/>
          <w:bCs/>
        </w:rPr>
        <w:t>Produits biosourcés et biotechnologies industrielles – Carburants durables » - et plus particulièrement dans son axe « Poursuivre le soutien à la recherche et à l’innovation sur les carburants durables, et principalement ceux destinés à l’aérien ».</w:t>
      </w:r>
      <w:r>
        <w:t xml:space="preserve"> Son élaboration associe largement les acteurs des secteurs du transport, de l’énergie, de l’agriculture et de la recherche, ainsi que les ministères concernés et les instituts de recherche.</w:t>
      </w:r>
    </w:p>
    <w:p w14:paraId="08C0F7F1" w14:textId="469E5E02" w:rsidR="00100C87" w:rsidRDefault="00316DA2">
      <w:pPr>
        <w:spacing w:after="120"/>
      </w:pPr>
      <w:r>
        <w:t xml:space="preserve">En effet, le modèle de production de carburants durables pour l’aviation est actuellement construit sur l’usage d’un seul type de ressource, les huiles usagées, du fait de leurs caractéristiques chimiques qui en font une matière première directement utilisable dans les unités industrielles existantes ou dédiées. Cependant, la production de biocarburant pour le routier est aujourd’hui la voie de valorisation principale pour cette ressource, en complément des différentes applications déjà existantes (méthanisation notamment). Ce gisement présente une pertinence à très court terme pour amorcer le développement d’une filière, mais ne pourra vraisemblablement pas satisfaire l’ensemble de la demande d’ici à 2030 en prenant en compte les compétitions d’usage. Dès lors, à moyen et long termes, l’emploi d’autres </w:t>
      </w:r>
      <w:r>
        <w:lastRenderedPageBreak/>
        <w:t xml:space="preserve">ressources durables est indispensable pour le développement pérenne de la filière et l’atteinte de nos objectifs, notamment en matière de décarbonation de l’aviation. Ces ressources, </w:t>
      </w:r>
      <w:proofErr w:type="gramStart"/>
      <w:r>
        <w:t>comme par exemple</w:t>
      </w:r>
      <w:proofErr w:type="gramEnd"/>
      <w:r>
        <w:t xml:space="preserve"> les déchets agricoles, alimentaires, ménagers et assimilés, ainsi que les résidus forestiers, ne pourront pas être destinées à l’alimentation humaine ou animale, et leur disponibilité sera amenée à croître de manière substantielle notamment du fait de l’émergence attendue de filières de valorisation peu développées aujourd’hui. L’exploitation de ces gisements nécessitera de s’appuyer sur de nouveaux procédés de transformation, dont il convient de soutenir le développement. </w:t>
      </w:r>
    </w:p>
    <w:p w14:paraId="6DF48B5A" w14:textId="77777777" w:rsidR="00100C87" w:rsidRDefault="00100C87">
      <w:pPr>
        <w:spacing w:after="120"/>
      </w:pPr>
    </w:p>
    <w:p w14:paraId="5992DB61" w14:textId="77777777" w:rsidR="00100C87" w:rsidRDefault="00316DA2">
      <w:r>
        <w:t>Le présent AAP a pour principaux objectifs :</w:t>
      </w:r>
    </w:p>
    <w:p w14:paraId="71F6F06D" w14:textId="77777777" w:rsidR="00100C87" w:rsidRDefault="00316DA2">
      <w:pPr>
        <w:pStyle w:val="Paragraphedeliste"/>
        <w:numPr>
          <w:ilvl w:val="0"/>
          <w:numId w:val="7"/>
        </w:numPr>
        <w:spacing w:after="120"/>
      </w:pPr>
      <w:r>
        <w:t>D’accompagner les nécessaires mutations des secteurs des transports fortement dépendant des ressources fossiles, et en premier lieu celui du transport aérien ;</w:t>
      </w:r>
    </w:p>
    <w:p w14:paraId="29727DC9" w14:textId="77777777" w:rsidR="00100C87" w:rsidRDefault="00316DA2">
      <w:pPr>
        <w:pStyle w:val="Paragraphedeliste"/>
        <w:numPr>
          <w:ilvl w:val="0"/>
          <w:numId w:val="7"/>
        </w:numPr>
        <w:spacing w:after="120"/>
      </w:pPr>
      <w:r>
        <w:t>D’accélérer le déploiement des carburants durables pour l’aviation, levier indispensable pour atteindre les objectifs de décarbonation du secteur ;</w:t>
      </w:r>
    </w:p>
    <w:p w14:paraId="285048FC" w14:textId="77777777" w:rsidR="00100C87" w:rsidRDefault="00316DA2">
      <w:pPr>
        <w:pStyle w:val="Paragraphedeliste"/>
        <w:numPr>
          <w:ilvl w:val="0"/>
          <w:numId w:val="7"/>
        </w:numPr>
        <w:spacing w:after="120"/>
      </w:pPr>
      <w:r>
        <w:t>De développer des filières de production de carburants durables, innovantes, pérennes et compétitives sur le territoire national métropolitain.</w:t>
      </w:r>
    </w:p>
    <w:p w14:paraId="2B0CB188" w14:textId="77777777" w:rsidR="00100C87" w:rsidRDefault="00316DA2">
      <w:pPr>
        <w:pStyle w:val="Paragraphedeliste"/>
        <w:numPr>
          <w:ilvl w:val="0"/>
          <w:numId w:val="7"/>
        </w:numPr>
        <w:spacing w:after="120"/>
      </w:pPr>
      <w:r>
        <w:t>D’accompagner la création, sur le territoire national, de nouvelles unités de production se fondant sur la mise en œuvre à l’échelle industrielle de procédés technologiques innovants.</w:t>
      </w:r>
    </w:p>
    <w:p w14:paraId="21037AE9" w14:textId="77777777" w:rsidR="00100C87" w:rsidRDefault="00316DA2">
      <w:pPr>
        <w:spacing w:after="120"/>
      </w:pPr>
      <w:r>
        <w:t xml:space="preserve">Cette action, en cohérence avec la Stratégie nationale bas-carbone (SNBC), s’inscrit dans un objectif de neutralité carbone à l’horizon 2050. Elle doit permettre d’amorcer le développement de filières de production nationale pour atteindre les objectifs d’incorporation de la feuille de route nationale, matérialisés par le dispositif fiscal de la TIRUERT et participer à l’atteinte des objectifs européens définis dans le cadre de l’initiative </w:t>
      </w:r>
      <w:proofErr w:type="spellStart"/>
      <w:r>
        <w:t>ReFuelEU</w:t>
      </w:r>
      <w:proofErr w:type="spellEnd"/>
      <w:r>
        <w:t>-Aviation issue du Pacte vert pour l’Europe. Cette deuxième étape (qui fait suite à l’AAP “Développement d’une filière de production française de carburants aéronautiques durables (CARB AERO)) va permettre d’accompagner la maturation de projets portant des technologies variées et a vocation à s’inscrire en préalable à l’industrialisation des technologies pertinentes sur le territoire national aux horizons de la feuille de route.</w:t>
      </w:r>
    </w:p>
    <w:p w14:paraId="1D8F0195" w14:textId="77777777" w:rsidR="00100C87" w:rsidRDefault="00316DA2">
      <w:pPr>
        <w:spacing w:after="120"/>
        <w:jc w:val="center"/>
      </w:pPr>
      <w:r>
        <w:rPr>
          <w:noProof/>
        </w:rPr>
        <w:drawing>
          <wp:inline distT="0" distB="0" distL="0" distR="0" wp14:anchorId="5A9455F6" wp14:editId="07B2A70C">
            <wp:extent cx="4919239" cy="2392910"/>
            <wp:effectExtent l="0" t="0" r="0" b="0"/>
            <wp:docPr id="34140702" name="Image 3414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919239" cy="2392910"/>
                    </a:xfrm>
                    <a:prstGeom prst="rect">
                      <a:avLst/>
                    </a:prstGeom>
                    <a:noFill/>
                    <a:ln>
                      <a:noFill/>
                    </a:ln>
                  </pic:spPr>
                </pic:pic>
              </a:graphicData>
            </a:graphic>
          </wp:inline>
        </w:drawing>
      </w:r>
    </w:p>
    <w:p w14:paraId="123C68CE" w14:textId="77777777" w:rsidR="00100C87" w:rsidRDefault="00316DA2">
      <w:pPr>
        <w:spacing w:after="120"/>
      </w:pPr>
      <w:r>
        <w:t>Au-delà de la décarbonation du transport aérien, le développement d’une filière française de production de carburants durables aura également des impacts positifs sur les tissus économiques locaux, notamment en termes de création d’emplois ponctuels et permanents, directs et indirects, et non-délocalisables.</w:t>
      </w:r>
    </w:p>
    <w:p w14:paraId="328D58BD" w14:textId="77777777" w:rsidR="00100C87" w:rsidRDefault="00316DA2">
      <w:pPr>
        <w:spacing w:after="120"/>
      </w:pPr>
      <w:r>
        <w:t xml:space="preserve">De plus, l’objectif de neutralité carbone impose également le recours aux substituts essence et gazole pour les autres secteurs qui seront difficiles à décarboner (transport maritime et fluvial dont le transport des marchandises, entre autres). Les technologies visées par cet AAP, et dont la finalité est avant tout la production de carburants aéronautiques durables, génèrent des coproduits qui peuvent être valorisés dans d’autres secteurs (chimie, transport routier ou maritime, etc.). Ces débouchés supplémentaires contribuent donc à la mise en place de </w:t>
      </w:r>
      <w:r>
        <w:lastRenderedPageBreak/>
        <w:t xml:space="preserve">modèles économiques pérennes pour ces nouvelles filières tout en apportant aux autres modes de transport un produit complémentaire aux biocarburants durables déjà présents sur le marché national. </w:t>
      </w:r>
    </w:p>
    <w:p w14:paraId="73922373" w14:textId="77777777" w:rsidR="00100C87" w:rsidRDefault="00316DA2">
      <w:pPr>
        <w:spacing w:after="120"/>
      </w:pPr>
      <w:r>
        <w:t>Il s’agit également de maintenir et développer des activités économiques, des emplois et un savoir-faire de pointe de manière pérenne en France, qui puisse s’appuyer sur des marchés en plein essor en France et à l’international, tout en assurant une plus grande souveraineté énergétique.</w:t>
      </w:r>
    </w:p>
    <w:p w14:paraId="4866D5FB" w14:textId="77777777" w:rsidR="00100C87" w:rsidRDefault="00316DA2">
      <w:pPr>
        <w:spacing w:after="120"/>
      </w:pPr>
      <w:r>
        <w:t>Pour atteindre ces objectifs, un accompagnement financier est proposé à des projets, portés par une ou plusieurs entreprises, pour développer de nouveaux produits qui participeront à la décarbonation du secteur aérien.</w:t>
      </w:r>
    </w:p>
    <w:p w14:paraId="2C2BEAE8" w14:textId="77777777" w:rsidR="00100C87" w:rsidRDefault="00100C87">
      <w:pPr>
        <w:spacing w:after="120"/>
      </w:pPr>
    </w:p>
    <w:p w14:paraId="2BDF8F43" w14:textId="77777777" w:rsidR="00100C87" w:rsidRDefault="00316DA2">
      <w:pPr>
        <w:keepNext/>
        <w:keepLines/>
        <w:numPr>
          <w:ilvl w:val="1"/>
          <w:numId w:val="5"/>
        </w:numPr>
        <w:spacing w:before="280" w:after="240"/>
        <w:jc w:val="left"/>
        <w:outlineLvl w:val="1"/>
        <w:rPr>
          <w:color w:val="000000"/>
        </w:rPr>
      </w:pPr>
      <w:bookmarkStart w:id="21" w:name="_Toc158208393"/>
      <w:r>
        <w:rPr>
          <w:color w:val="000000"/>
        </w:rPr>
        <w:t>Priorité thématique et typologie des projets attendus</w:t>
      </w:r>
      <w:bookmarkEnd w:id="21"/>
    </w:p>
    <w:p w14:paraId="3A87D408" w14:textId="77777777" w:rsidR="00100C87" w:rsidRDefault="00316DA2">
      <w:pPr>
        <w:spacing w:after="120"/>
      </w:pPr>
      <w:r>
        <w:t>La priorité thématique dans le secteur des carburants durables pour l’aviation, à laquelle répond le présent appel à projets, est la suivante :</w:t>
      </w:r>
    </w:p>
    <w:p w14:paraId="07DE16D1" w14:textId="77777777" w:rsidR="00100C87" w:rsidRDefault="00316DA2">
      <w:pPr>
        <w:pStyle w:val="Paragraphedeliste"/>
        <w:numPr>
          <w:ilvl w:val="0"/>
          <w:numId w:val="8"/>
        </w:numPr>
        <w:spacing w:after="120"/>
      </w:pPr>
      <w:r>
        <w:t xml:space="preserve">Travaux d’ingénierie de procédés nécessaires pour engager un projet de production de </w:t>
      </w:r>
      <w:r>
        <w:rPr>
          <w:iCs/>
        </w:rPr>
        <w:t>carburants aéronautiques durables, et plus particulièrement de biocarburants produits à partir de matières premières autorisées par la réglementation européenne (REDIII) ou de carburants de synthèse renouvelables d’origine non biologique, produits à partir d’hydrogène renouvelable,</w:t>
      </w:r>
      <w:r>
        <w:t xml:space="preserve"> dans la phase de décision d’investissement industriel </w:t>
      </w:r>
    </w:p>
    <w:p w14:paraId="6E1E1695" w14:textId="77777777" w:rsidR="00100C87" w:rsidRDefault="00100C87">
      <w:pPr>
        <w:spacing w:after="120"/>
      </w:pPr>
    </w:p>
    <w:p w14:paraId="135536FC" w14:textId="77777777" w:rsidR="00100C87" w:rsidRDefault="00316DA2">
      <w:pPr>
        <w:keepNext/>
        <w:keepLines/>
        <w:numPr>
          <w:ilvl w:val="1"/>
          <w:numId w:val="5"/>
        </w:numPr>
        <w:spacing w:before="280" w:after="240"/>
        <w:jc w:val="left"/>
        <w:outlineLvl w:val="1"/>
        <w:rPr>
          <w:color w:val="000000"/>
        </w:rPr>
      </w:pPr>
      <w:bookmarkStart w:id="22" w:name="_Toc158208394"/>
      <w:r>
        <w:rPr>
          <w:color w:val="000000" w:themeColor="text1"/>
        </w:rPr>
        <w:t>Thème et objet d’innovation couvert par l’AAP</w:t>
      </w:r>
      <w:bookmarkEnd w:id="22"/>
    </w:p>
    <w:p w14:paraId="472B27E8" w14:textId="77777777" w:rsidR="00100C87" w:rsidRDefault="00316DA2">
      <w:pPr>
        <w:spacing w:after="120"/>
        <w:rPr>
          <w:b/>
          <w:bCs/>
          <w:smallCaps/>
          <w:color w:val="000000"/>
        </w:rPr>
      </w:pPr>
      <w:r>
        <w:rPr>
          <w:b/>
          <w:bCs/>
        </w:rPr>
        <w:t xml:space="preserve">Le présent AAP vise le </w:t>
      </w:r>
      <w:r>
        <w:rPr>
          <w:b/>
          <w:bCs/>
          <w:smallCaps/>
          <w:color w:val="000000" w:themeColor="text1"/>
        </w:rPr>
        <w:t>s</w:t>
      </w:r>
      <w:r>
        <w:rPr>
          <w:b/>
          <w:bCs/>
        </w:rPr>
        <w:t>outien aux travaux d’ingénierie nécessaires pour engager un projet dans la phase de décision d’investissement industriel.</w:t>
      </w:r>
    </w:p>
    <w:p w14:paraId="5DA6B843" w14:textId="77777777" w:rsidR="00100C87" w:rsidRDefault="00316DA2">
      <w:pPr>
        <w:spacing w:after="120"/>
        <w:rPr>
          <w:b/>
          <w:bCs/>
        </w:rPr>
      </w:pPr>
      <w:r>
        <w:rPr>
          <w:b/>
          <w:bCs/>
        </w:rPr>
        <w:t>Cet AAP s’inscrit dans une volonté de soutien global des projets de production de carburants aéronautiques durables.</w:t>
      </w:r>
    </w:p>
    <w:p w14:paraId="5FF7B908" w14:textId="77777777" w:rsidR="00100C87" w:rsidRDefault="00316DA2">
      <w:pPr>
        <w:spacing w:after="120"/>
      </w:pPr>
      <w:r>
        <w:t xml:space="preserve">La France dispose de tous les atouts (industriels engagés et innovants, expertise reconnue, matières premières disponibles) pour se un leader sur le sujet des carburants d’aviation durables et a d’ores et déjà mis en place les premières </w:t>
      </w:r>
      <w:proofErr w:type="gramStart"/>
      <w:r>
        <w:t>briques</w:t>
      </w:r>
      <w:proofErr w:type="gramEnd"/>
      <w:r>
        <w:t xml:space="preserve"> réglementaires en vue d’initier la décarbonation du secteur aérien à court terme.</w:t>
      </w:r>
    </w:p>
    <w:p w14:paraId="3D8247D1" w14:textId="5FDB6469" w:rsidR="00100C87" w:rsidRDefault="00316DA2">
      <w:pPr>
        <w:spacing w:after="120"/>
        <w:rPr>
          <w:b/>
          <w:bCs/>
        </w:rPr>
      </w:pPr>
      <w:r>
        <w:t xml:space="preserve">La feuille de route gouvernementale de janvier 2020 avait fixé les premiers jalons en 2022 et 2025, et le dispositif fiscal de la TIRUERT a été étendu à l’aérien en 2022 avec un objectif de 2% d’incorporation de biocarburants en 2025. La PPE fixe également un objectif de 3.8% dans les essences et 2.8% dans les gazoles en 2028. Enfin, le récent règlement européen </w:t>
      </w:r>
      <w:proofErr w:type="spellStart"/>
      <w:r>
        <w:t>ReFuel</w:t>
      </w:r>
      <w:r w:rsidR="00393889">
        <w:t>EU</w:t>
      </w:r>
      <w:proofErr w:type="spellEnd"/>
      <w:r>
        <w:t xml:space="preserve"> Aviation fixe un taux minimum d’incorporation de carburants d’aviation durables dans les carburants aériens de 6% en 2030, avec une augmentation progressive de ce taux jusqu’à 70% en 2050. Il faut ainsi dès maintenant s’assurer que la capacité de production se développe afin que les objectifs d’incorporation puissent être atteints à court et surtout moyen terme. A court terme, le besoin réside principalement dans le soutien aux projets innovants les plus matures (en termes de validation du procédé) qui nécessitent des travaux d’ingénierie décisifs, tels que l’identification du gisement et des voies d’approvisionnement de la ressource, le choix du site, le dimensionnement des installations et des investissements nécessaires ou la prise en compte des aspects logistiques jusqu’aux plates-formes aéroportuaires, pour s’engager de manière avisée dans la phase de décision d’investissement productif. Cette phase demande aux acteurs un effort en termes de moyens humains mais aussi financiers afin de financer les études d’ingénierie d’avant-projet. </w:t>
      </w:r>
      <w:r>
        <w:rPr>
          <w:b/>
          <w:bCs/>
        </w:rPr>
        <w:t xml:space="preserve">L’enjeu est donc d’ancrer ces projets dès maintenant sur le territoire national par un soutien à ces travaux d’ingénierie amont qui permettraient de limiter les risques inhérents aux premières industrielles innovantes dans le domaine des carburants aéronautiques durables, de constituer des </w:t>
      </w:r>
      <w:r>
        <w:rPr>
          <w:b/>
          <w:bCs/>
          <w:i/>
        </w:rPr>
        <w:lastRenderedPageBreak/>
        <w:t>consortia</w:t>
      </w:r>
      <w:r>
        <w:rPr>
          <w:b/>
          <w:bCs/>
        </w:rPr>
        <w:t xml:space="preserve"> robustes intégrant les acteurs clés de l’ensemble de la chaîne de valeur (de la production et collecte de biomasse à l’utilisation des biocarburants en passant par la distribution sur les aéroports), de préciser les modèles économiques voire d’identifier des sites potentiels d’accueil d’unités de prétraitement et de production. Ainsi, le besoin réside maintenant dans la réalisation d’études d’ingénierie d’avant-projet (FEED, </w:t>
      </w:r>
      <w:proofErr w:type="spellStart"/>
      <w:r>
        <w:rPr>
          <w:b/>
          <w:bCs/>
        </w:rPr>
        <w:t>Front-End</w:t>
      </w:r>
      <w:proofErr w:type="spellEnd"/>
      <w:r>
        <w:rPr>
          <w:b/>
          <w:bCs/>
        </w:rPr>
        <w:t xml:space="preserve"> Engineering Design).</w:t>
      </w:r>
    </w:p>
    <w:p w14:paraId="4A09E395" w14:textId="77777777" w:rsidR="00100C87" w:rsidRDefault="00100C87">
      <w:pPr>
        <w:spacing w:after="120"/>
        <w:rPr>
          <w:b/>
          <w:bCs/>
        </w:rPr>
      </w:pPr>
    </w:p>
    <w:p w14:paraId="786CAFFB" w14:textId="77777777" w:rsidR="00100C87" w:rsidRDefault="00316DA2">
      <w:pPr>
        <w:spacing w:after="120"/>
      </w:pPr>
      <w:r>
        <w:t xml:space="preserve">Ces études se feront dans la continuité de la première phase d’études pré-FEED déjà réalisée (études biomasse le cas échéant, définition de la chaîne d’approvisionnement en matière première, études d’implantation études de conception Basic Design, réalisation d’une ACV). </w:t>
      </w:r>
    </w:p>
    <w:p w14:paraId="7CA81CC0" w14:textId="77777777" w:rsidR="00100C87" w:rsidRDefault="00100C87">
      <w:pPr>
        <w:spacing w:after="120"/>
        <w:rPr>
          <w:b/>
          <w:bCs/>
        </w:rPr>
      </w:pPr>
    </w:p>
    <w:p w14:paraId="5863F998" w14:textId="77777777" w:rsidR="00100C87" w:rsidRDefault="00316DA2">
      <w:pPr>
        <w:spacing w:after="120"/>
      </w:pPr>
      <w:r>
        <w:t>Les études FEED constituent la deuxième phase d’un projet de mise en place d’une unité industrielle. Elles permettent de préparer la troisième phase d’ingénierie détaillée, d’achats et de construction. L’objectif des études FEED est de réduire les risques de modifications importantes lors de la troisième phase. Elles sont réalisées en collaboration étroite avec les différentes parties prenantes du projet pour s’assurer de la bonne prise en compte des exigences et spécifications du projet.</w:t>
      </w:r>
    </w:p>
    <w:p w14:paraId="0E6B2233" w14:textId="77777777" w:rsidR="00100C87" w:rsidRDefault="00316DA2">
      <w:pPr>
        <w:spacing w:after="120"/>
      </w:pPr>
      <w:r>
        <w:t>Elles englobent notamment :</w:t>
      </w:r>
    </w:p>
    <w:p w14:paraId="3F0BBA2C" w14:textId="77777777" w:rsidR="00100C87" w:rsidRDefault="00316DA2">
      <w:pPr>
        <w:pStyle w:val="Paragraphedeliste"/>
        <w:numPr>
          <w:ilvl w:val="0"/>
          <w:numId w:val="16"/>
        </w:numPr>
        <w:spacing w:after="120"/>
      </w:pPr>
      <w:r>
        <w:t>Un bilan de masse, un plan d’approvisionnement, une ACV plus détaillés</w:t>
      </w:r>
    </w:p>
    <w:p w14:paraId="3FF1F3F0" w14:textId="77777777" w:rsidR="00100C87" w:rsidRDefault="00316DA2">
      <w:pPr>
        <w:pStyle w:val="Paragraphedeliste"/>
        <w:numPr>
          <w:ilvl w:val="0"/>
          <w:numId w:val="16"/>
        </w:numPr>
        <w:spacing w:after="120"/>
      </w:pPr>
      <w:r>
        <w:t>Le développement de schémas de lignes de procédés</w:t>
      </w:r>
    </w:p>
    <w:p w14:paraId="402822BE" w14:textId="77777777" w:rsidR="00100C87" w:rsidRDefault="00316DA2">
      <w:pPr>
        <w:pStyle w:val="Paragraphedeliste"/>
        <w:numPr>
          <w:ilvl w:val="0"/>
          <w:numId w:val="16"/>
        </w:numPr>
        <w:spacing w:after="120"/>
      </w:pPr>
      <w:r>
        <w:t>Le dimensionnement des équipements industriels</w:t>
      </w:r>
    </w:p>
    <w:p w14:paraId="5EC9A3B8" w14:textId="77777777" w:rsidR="00100C87" w:rsidRDefault="00316DA2">
      <w:pPr>
        <w:pStyle w:val="Paragraphedeliste"/>
        <w:numPr>
          <w:ilvl w:val="0"/>
          <w:numId w:val="16"/>
        </w:numPr>
        <w:spacing w:after="120"/>
      </w:pPr>
      <w:r>
        <w:t>La préparation des travaux de génie civil et d’électricité, des plans de tuyauterie</w:t>
      </w:r>
    </w:p>
    <w:p w14:paraId="789ABBBB" w14:textId="77777777" w:rsidR="00100C87" w:rsidRDefault="00316DA2">
      <w:pPr>
        <w:pStyle w:val="Paragraphedeliste"/>
        <w:numPr>
          <w:ilvl w:val="0"/>
          <w:numId w:val="16"/>
        </w:numPr>
        <w:spacing w:after="120"/>
      </w:pPr>
      <w:r>
        <w:t>Les études et la préparation des appels d’offres en vue de la commande des équipements</w:t>
      </w:r>
    </w:p>
    <w:p w14:paraId="6320F8BB" w14:textId="77777777" w:rsidR="00100C87" w:rsidRDefault="00100C87">
      <w:pPr>
        <w:spacing w:after="120"/>
      </w:pPr>
    </w:p>
    <w:p w14:paraId="02F30B42" w14:textId="77777777" w:rsidR="00100C87" w:rsidRDefault="00316DA2">
      <w:pPr>
        <w:spacing w:after="120"/>
      </w:pPr>
      <w:r>
        <w:t>Pour ce faire, l’AAP s’attachera à sélectionner une diversité de projets dont les études d’ingénierie d’avant-projet portent sur des technologies de production de biocarburants avancés (procédés de type fermentaire ou gazéification) ou de carburants de synthèse durables (procédé type e-fuel).</w:t>
      </w:r>
    </w:p>
    <w:p w14:paraId="410396FA" w14:textId="77777777" w:rsidR="00100C87" w:rsidRDefault="00316DA2">
      <w:pPr>
        <w:pBdr>
          <w:top w:val="nil"/>
          <w:left w:val="nil"/>
          <w:bottom w:val="nil"/>
          <w:right w:val="nil"/>
          <w:between w:val="nil"/>
        </w:pBdr>
        <w:spacing w:before="120" w:after="0"/>
        <w:rPr>
          <w:b/>
          <w:bCs/>
        </w:rPr>
      </w:pPr>
      <w:r>
        <w:rPr>
          <w:b/>
          <w:bCs/>
        </w:rPr>
        <w:t>Les projets dont les études pré-FEED ont déjà été réalisés au dépôt du dossier de candidature seront examinés en priorité. Des dossiers de candidature comprenant la réalisation des études pré-FEED et des études FEED pourront tout de même être déposés. Mais, ils ne seront pas considérés comme prioritaires.</w:t>
      </w:r>
    </w:p>
    <w:p w14:paraId="41C3D0E9" w14:textId="77777777" w:rsidR="00100C87" w:rsidRDefault="00100C87">
      <w:pPr>
        <w:pBdr>
          <w:top w:val="nil"/>
          <w:left w:val="nil"/>
          <w:bottom w:val="nil"/>
          <w:right w:val="nil"/>
          <w:between w:val="nil"/>
        </w:pBdr>
        <w:spacing w:before="120" w:after="0"/>
      </w:pPr>
    </w:p>
    <w:p w14:paraId="10324E31" w14:textId="77777777" w:rsidR="00100C87" w:rsidRDefault="00316DA2">
      <w:pPr>
        <w:pStyle w:val="Titre1"/>
        <w:spacing w:before="0" w:after="120" w:line="240" w:lineRule="auto"/>
      </w:pPr>
      <w:bookmarkStart w:id="23" w:name="_Toc75875329"/>
      <w:bookmarkStart w:id="24" w:name="_Toc10647584"/>
      <w:bookmarkStart w:id="25" w:name="_Toc10651059"/>
      <w:bookmarkStart w:id="26" w:name="_Toc158208395"/>
      <w:r>
        <w:t>Processus global de l’AAP</w:t>
      </w:r>
      <w:bookmarkEnd w:id="23"/>
      <w:bookmarkEnd w:id="26"/>
    </w:p>
    <w:p w14:paraId="74EE7594" w14:textId="77777777" w:rsidR="00100C87" w:rsidRDefault="00316DA2">
      <w:pPr>
        <w:spacing w:before="120" w:after="180"/>
      </w:pPr>
      <w:r>
        <w:t xml:space="preserve">Le processus de traitement d’un dossier comprend plusieurs étapes : le pré-dépôt, le dépôt, la décision de financement et la contractualisation du projet. </w:t>
      </w:r>
    </w:p>
    <w:p w14:paraId="7B21AF6A" w14:textId="77777777" w:rsidR="00100C87" w:rsidRDefault="00316DA2">
      <w:pPr>
        <w:spacing w:before="120" w:after="180"/>
        <w:jc w:val="center"/>
      </w:pPr>
      <w:r>
        <w:rPr>
          <w:noProof/>
        </w:rPr>
        <w:drawing>
          <wp:inline distT="0" distB="0" distL="0" distR="0" wp14:anchorId="6BBF2151" wp14:editId="1E6E15D7">
            <wp:extent cx="5756657" cy="6485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6537110" w14:textId="77777777" w:rsidR="00100C87" w:rsidRDefault="00316DA2">
      <w:pPr>
        <w:keepNext/>
        <w:keepLines/>
        <w:numPr>
          <w:ilvl w:val="1"/>
          <w:numId w:val="5"/>
        </w:numPr>
        <w:spacing w:before="280" w:after="240"/>
        <w:jc w:val="left"/>
        <w:outlineLvl w:val="1"/>
        <w:rPr>
          <w:color w:val="000000"/>
        </w:rPr>
      </w:pPr>
      <w:bookmarkStart w:id="27" w:name="_Toc74823234"/>
      <w:bookmarkStart w:id="28" w:name="_Toc75875330"/>
      <w:bookmarkStart w:id="29" w:name="_Toc158208396"/>
      <w:r>
        <w:rPr>
          <w:color w:val="000000"/>
        </w:rPr>
        <w:t>Critères d’éligibilité</w:t>
      </w:r>
      <w:bookmarkEnd w:id="29"/>
    </w:p>
    <w:p w14:paraId="5A2560E2" w14:textId="77777777" w:rsidR="00100C87" w:rsidRDefault="00316DA2">
      <w:pPr>
        <w:pBdr>
          <w:top w:val="nil"/>
          <w:left w:val="nil"/>
          <w:bottom w:val="nil"/>
          <w:right w:val="nil"/>
          <w:between w:val="nil"/>
        </w:pBdr>
        <w:spacing w:before="120" w:after="0"/>
        <w:jc w:val="left"/>
        <w:rPr>
          <w:color w:val="000000"/>
        </w:rPr>
      </w:pPr>
      <w:r>
        <w:rPr>
          <w:color w:val="000000"/>
        </w:rPr>
        <w:t xml:space="preserve">A titre informatif, voici les critères clés : </w:t>
      </w:r>
    </w:p>
    <w:p w14:paraId="6702916B" w14:textId="77777777" w:rsidR="00100C87" w:rsidRDefault="00316DA2">
      <w:pPr>
        <w:numPr>
          <w:ilvl w:val="0"/>
          <w:numId w:val="6"/>
        </w:numPr>
        <w:pBdr>
          <w:top w:val="nil"/>
          <w:left w:val="nil"/>
          <w:bottom w:val="nil"/>
          <w:right w:val="nil"/>
          <w:between w:val="nil"/>
        </w:pBdr>
        <w:spacing w:before="120" w:after="0"/>
        <w:ind w:left="720"/>
        <w:rPr>
          <w:b/>
          <w:color w:val="000000"/>
        </w:rPr>
      </w:pPr>
      <w:r>
        <w:rPr>
          <w:b/>
          <w:color w:val="000000"/>
        </w:rPr>
        <w:t xml:space="preserve">Montant minimum de coût du projet : </w:t>
      </w:r>
    </w:p>
    <w:p w14:paraId="6891B579" w14:textId="77777777" w:rsidR="00100C87" w:rsidRDefault="00316DA2">
      <w:pPr>
        <w:spacing w:after="120"/>
      </w:pPr>
      <w:r>
        <w:t xml:space="preserve">Thème « Soutien aux travaux d’ingénierie nécessaires pour engager un projet dans la phase de décision d’investissement industriel » : le coût total du projet doit être de </w:t>
      </w:r>
      <w:r>
        <w:rPr>
          <w:b/>
          <w:bCs/>
        </w:rPr>
        <w:t>10 millions d’euros</w:t>
      </w:r>
      <w:r>
        <w:t xml:space="preserve"> minimum.</w:t>
      </w:r>
    </w:p>
    <w:p w14:paraId="38EBC99C" w14:textId="77777777" w:rsidR="00100C87" w:rsidRDefault="00100C87">
      <w:pPr>
        <w:spacing w:after="120"/>
      </w:pPr>
    </w:p>
    <w:p w14:paraId="48A239AB" w14:textId="77777777" w:rsidR="00100C87" w:rsidRDefault="00316DA2">
      <w:pPr>
        <w:numPr>
          <w:ilvl w:val="0"/>
          <w:numId w:val="6"/>
        </w:numPr>
        <w:pBdr>
          <w:top w:val="nil"/>
          <w:left w:val="nil"/>
          <w:bottom w:val="nil"/>
          <w:right w:val="nil"/>
          <w:between w:val="nil"/>
        </w:pBdr>
        <w:spacing w:before="120" w:after="0"/>
        <w:ind w:left="720"/>
        <w:rPr>
          <w:b/>
          <w:color w:val="000000"/>
        </w:rPr>
      </w:pPr>
      <w:r>
        <w:rPr>
          <w:b/>
          <w:color w:val="000000"/>
        </w:rPr>
        <w:lastRenderedPageBreak/>
        <w:t>Capacité minimum de production de l’unité industrielle sur laquelle portera l’étude : 10 kt/an</w:t>
      </w:r>
    </w:p>
    <w:p w14:paraId="128B205A" w14:textId="77777777" w:rsidR="00100C87" w:rsidRDefault="00100C87">
      <w:pPr>
        <w:pBdr>
          <w:top w:val="nil"/>
          <w:left w:val="nil"/>
          <w:bottom w:val="nil"/>
          <w:right w:val="nil"/>
          <w:between w:val="nil"/>
        </w:pBdr>
        <w:spacing w:before="120" w:after="0"/>
        <w:ind w:left="720"/>
        <w:rPr>
          <w:b/>
          <w:color w:val="000000"/>
        </w:rPr>
      </w:pPr>
    </w:p>
    <w:p w14:paraId="7E64DE41" w14:textId="77777777" w:rsidR="00100C87" w:rsidRDefault="00316DA2">
      <w:pPr>
        <w:numPr>
          <w:ilvl w:val="0"/>
          <w:numId w:val="6"/>
        </w:numPr>
        <w:pBdr>
          <w:top w:val="nil"/>
          <w:left w:val="nil"/>
          <w:bottom w:val="nil"/>
          <w:right w:val="nil"/>
          <w:between w:val="nil"/>
        </w:pBdr>
        <w:spacing w:before="120" w:after="0"/>
        <w:ind w:left="720"/>
        <w:rPr>
          <w:b/>
          <w:color w:val="000000"/>
        </w:rPr>
      </w:pPr>
      <w:r>
        <w:rPr>
          <w:b/>
          <w:color w:val="000000"/>
        </w:rPr>
        <w:t>Nombre de partenaires (</w:t>
      </w:r>
      <w:proofErr w:type="spellStart"/>
      <w:r>
        <w:rPr>
          <w:b/>
          <w:color w:val="000000"/>
        </w:rPr>
        <w:t>ie</w:t>
      </w:r>
      <w:proofErr w:type="spellEnd"/>
      <w:r>
        <w:rPr>
          <w:b/>
          <w:color w:val="000000"/>
        </w:rPr>
        <w:t xml:space="preserve"> demandeurs d’aides) :</w:t>
      </w:r>
    </w:p>
    <w:p w14:paraId="7EAF6157" w14:textId="77777777" w:rsidR="00100C87" w:rsidRDefault="00316DA2">
      <w:pPr>
        <w:numPr>
          <w:ilvl w:val="1"/>
          <w:numId w:val="6"/>
        </w:numPr>
        <w:pBdr>
          <w:top w:val="nil"/>
          <w:left w:val="nil"/>
          <w:bottom w:val="nil"/>
          <w:right w:val="nil"/>
          <w:between w:val="nil"/>
        </w:pBdr>
        <w:spacing w:before="120" w:after="0"/>
        <w:ind w:left="1440"/>
        <w:rPr>
          <w:b/>
          <w:color w:val="000000"/>
        </w:rPr>
      </w:pPr>
      <w:r>
        <w:t xml:space="preserve">Le coordinateur du projet, ou le porteur, dans le cas d’un projet mono-partenaire, doit être une entreprise. </w:t>
      </w:r>
    </w:p>
    <w:p w14:paraId="29363F04" w14:textId="77777777" w:rsidR="00100C87" w:rsidRDefault="00316DA2">
      <w:pPr>
        <w:numPr>
          <w:ilvl w:val="1"/>
          <w:numId w:val="6"/>
        </w:numPr>
        <w:pBdr>
          <w:top w:val="nil"/>
          <w:left w:val="nil"/>
          <w:bottom w:val="nil"/>
          <w:right w:val="nil"/>
          <w:between w:val="nil"/>
        </w:pBdr>
        <w:spacing w:before="120" w:after="0"/>
        <w:ind w:left="1440"/>
        <w:rPr>
          <w:b/>
          <w:color w:val="000000"/>
        </w:rPr>
      </w:pPr>
      <w:r>
        <w:rPr>
          <w:b/>
          <w:color w:val="000000"/>
        </w:rPr>
        <w:t xml:space="preserve">Dans le cas général d’un consortium composé d’entreprises ou d’établissements de recherche, les projets devront impliquer au maximum 5 partenaires demandeurs d’aides. </w:t>
      </w:r>
      <w:r>
        <w:rPr>
          <w:b/>
        </w:rPr>
        <w:t xml:space="preserve">Chaque partenaire doit porter au moins 400k€ de dépenses éligibles pour justifier de son implication en tant que partenaire. </w:t>
      </w:r>
    </w:p>
    <w:p w14:paraId="211C5266" w14:textId="77777777" w:rsidR="00100C87" w:rsidRDefault="00100C87">
      <w:pPr>
        <w:pBdr>
          <w:top w:val="nil"/>
          <w:left w:val="nil"/>
          <w:bottom w:val="nil"/>
          <w:right w:val="nil"/>
          <w:between w:val="nil"/>
        </w:pBdr>
        <w:spacing w:before="120" w:after="0"/>
        <w:ind w:left="1440"/>
        <w:rPr>
          <w:b/>
          <w:color w:val="000000"/>
        </w:rPr>
      </w:pPr>
    </w:p>
    <w:p w14:paraId="5691D3A4" w14:textId="77777777" w:rsidR="00100C87" w:rsidRDefault="00316DA2">
      <w:pPr>
        <w:numPr>
          <w:ilvl w:val="0"/>
          <w:numId w:val="6"/>
        </w:numPr>
        <w:pBdr>
          <w:top w:val="nil"/>
          <w:left w:val="nil"/>
          <w:bottom w:val="nil"/>
          <w:right w:val="nil"/>
          <w:between w:val="nil"/>
        </w:pBdr>
        <w:spacing w:before="120" w:after="0"/>
        <w:ind w:left="720"/>
        <w:rPr>
          <w:b/>
          <w:color w:val="000000"/>
        </w:rPr>
      </w:pPr>
      <w:r>
        <w:rPr>
          <w:b/>
          <w:color w:val="000000"/>
        </w:rPr>
        <w:t xml:space="preserve">Respect de l’objet de l’AAP : </w:t>
      </w:r>
      <w:r>
        <w:t>les projets ne respectant pas l’objet de l’AAP ne seront pas instruits.</w:t>
      </w:r>
    </w:p>
    <w:p w14:paraId="33712A72" w14:textId="77777777" w:rsidR="00100C87" w:rsidRDefault="00100C87">
      <w:pPr>
        <w:pBdr>
          <w:top w:val="nil"/>
          <w:left w:val="nil"/>
          <w:bottom w:val="nil"/>
          <w:right w:val="nil"/>
          <w:between w:val="nil"/>
        </w:pBdr>
        <w:spacing w:before="120" w:after="0"/>
        <w:ind w:left="720"/>
        <w:rPr>
          <w:b/>
          <w:color w:val="000000"/>
        </w:rPr>
      </w:pPr>
    </w:p>
    <w:p w14:paraId="17763886" w14:textId="77777777" w:rsidR="00100C87" w:rsidRDefault="00316DA2">
      <w:pPr>
        <w:numPr>
          <w:ilvl w:val="0"/>
          <w:numId w:val="6"/>
        </w:numPr>
        <w:pBdr>
          <w:top w:val="nil"/>
          <w:left w:val="nil"/>
          <w:bottom w:val="nil"/>
          <w:right w:val="nil"/>
          <w:between w:val="nil"/>
        </w:pBdr>
        <w:spacing w:before="120" w:after="0"/>
        <w:ind w:left="720"/>
        <w:rPr>
          <w:b/>
          <w:color w:val="000000"/>
        </w:rPr>
      </w:pPr>
      <w:r>
        <w:rPr>
          <w:b/>
          <w:color w:val="000000"/>
        </w:rPr>
        <w:t xml:space="preserve">Composition du dossier et respect des délais : </w:t>
      </w:r>
      <w:r>
        <w:rPr>
          <w:color w:val="000000"/>
        </w:rPr>
        <w:t>l</w:t>
      </w:r>
      <w:r>
        <w:t>e dossier devra être soumis dans les délais et par les canaux indiqués. Il devra être complet.</w:t>
      </w:r>
    </w:p>
    <w:p w14:paraId="2D632FBE" w14:textId="77777777" w:rsidR="00100C87" w:rsidRDefault="00100C87">
      <w:pPr>
        <w:pBdr>
          <w:top w:val="nil"/>
          <w:left w:val="nil"/>
          <w:bottom w:val="nil"/>
          <w:right w:val="nil"/>
          <w:between w:val="nil"/>
        </w:pBdr>
        <w:spacing w:before="120" w:after="0"/>
        <w:rPr>
          <w:b/>
          <w:color w:val="000000"/>
        </w:rPr>
      </w:pPr>
    </w:p>
    <w:p w14:paraId="512B554D" w14:textId="77777777" w:rsidR="00100C87" w:rsidRDefault="00316DA2">
      <w:pPr>
        <w:numPr>
          <w:ilvl w:val="0"/>
          <w:numId w:val="6"/>
        </w:numPr>
        <w:pBdr>
          <w:top w:val="nil"/>
          <w:left w:val="nil"/>
          <w:bottom w:val="nil"/>
          <w:right w:val="nil"/>
          <w:between w:val="nil"/>
        </w:pBdr>
        <w:spacing w:before="120" w:after="0"/>
        <w:ind w:left="720"/>
        <w:rPr>
          <w:b/>
          <w:bCs/>
          <w:color w:val="000000"/>
        </w:rPr>
      </w:pPr>
      <w:r>
        <w:rPr>
          <w:b/>
          <w:bCs/>
          <w:color w:val="000000" w:themeColor="text1"/>
        </w:rPr>
        <w:t>Indicateurs d’impacts </w:t>
      </w:r>
      <w:r>
        <w:rPr>
          <w:color w:val="000000" w:themeColor="text1"/>
        </w:rPr>
        <w:t xml:space="preserve">(cf. Annexe 5 « Grille d’impacts ») </w:t>
      </w:r>
      <w:r>
        <w:rPr>
          <w:b/>
          <w:bCs/>
          <w:color w:val="000000" w:themeColor="text1"/>
        </w:rPr>
        <w:t xml:space="preserve">: </w:t>
      </w:r>
      <w:r>
        <w:rPr>
          <w:color w:val="000000" w:themeColor="text1"/>
        </w:rPr>
        <w:t xml:space="preserve">le porteur devra impérativement préciser les indicateurs d’impacts du projet sur un horizon à 5 ans post-projet, cumulés, a minima sur les 4 volets : </w:t>
      </w:r>
    </w:p>
    <w:p w14:paraId="06745D8B" w14:textId="77777777" w:rsidR="00100C87" w:rsidRDefault="00316DA2">
      <w:pPr>
        <w:numPr>
          <w:ilvl w:val="1"/>
          <w:numId w:val="9"/>
        </w:numPr>
        <w:pBdr>
          <w:top w:val="nil"/>
          <w:left w:val="nil"/>
          <w:bottom w:val="nil"/>
          <w:right w:val="nil"/>
          <w:between w:val="nil"/>
        </w:pBdr>
        <w:spacing w:before="120" w:after="0"/>
        <w:rPr>
          <w:color w:val="000000"/>
        </w:rPr>
      </w:pPr>
      <w:r>
        <w:rPr>
          <w:color w:val="000000"/>
        </w:rPr>
        <w:t>Environnement :</w:t>
      </w:r>
      <w:r>
        <w:rPr>
          <w:b/>
          <w:bCs/>
          <w:color w:val="000000"/>
        </w:rPr>
        <w:t xml:space="preserve"> </w:t>
      </w:r>
      <w:r>
        <w:rPr>
          <w:color w:val="000000"/>
        </w:rPr>
        <w:t xml:space="preserve">conformité avec les critères de durabilité </w:t>
      </w:r>
      <w:r>
        <w:t xml:space="preserve">de la directive relative à la promotion de l'utilisation de l'énergie produite à partir de sources renouvelables en vigueur à la date du dépôt du dossier, </w:t>
      </w:r>
      <w:r>
        <w:rPr>
          <w:color w:val="000000"/>
        </w:rPr>
        <w:t xml:space="preserve">notamment en termes de gain GES par rapport à la solution fossile de référence, justification du choix de la ressource utilisée (démonstration de la durabilité de la ressource ciblée sur un horizon de temps 5 ans post-projet) et compléter par l’indicateur environnemental le plus pertinent, en indiquant par exemple des gains de matières, utilités (énergies, eau). Une ACV en début et fin de projet sera attendue pour démontrer les gains effectifs de la solution développée. Pour la phase « accompagnement &amp; suivi », il sera regardé les impacts de performance environnementale des projets d’investissement envisagés par rapport à une solution de référence explicitée et argumentée. En effet, les projets causant un préjudice important du point de vue de l’environnement seront exclus (application du principe DNSH – Do No </w:t>
      </w:r>
      <w:proofErr w:type="spellStart"/>
      <w:r>
        <w:rPr>
          <w:color w:val="000000"/>
        </w:rPr>
        <w:t>Sigificant</w:t>
      </w:r>
      <w:proofErr w:type="spellEnd"/>
      <w:r>
        <w:rPr>
          <w:color w:val="000000"/>
        </w:rPr>
        <w:t xml:space="preserve"> </w:t>
      </w:r>
      <w:proofErr w:type="spellStart"/>
      <w:r>
        <w:rPr>
          <w:color w:val="000000"/>
        </w:rPr>
        <w:t>Harm</w:t>
      </w:r>
      <w:proofErr w:type="spellEnd"/>
      <w:r>
        <w:rPr>
          <w:color w:val="000000"/>
        </w:rPr>
        <w:t xml:space="preserve"> ou « absence de préjudice important ») au sens de l’article 17 du règlement européen sur la taxonomie</w:t>
      </w:r>
      <w:r>
        <w:rPr>
          <w:rStyle w:val="Appelnotedebasdep"/>
          <w:color w:val="000000"/>
        </w:rPr>
        <w:footnoteReference w:id="3"/>
      </w:r>
    </w:p>
    <w:p w14:paraId="3935468F" w14:textId="77777777" w:rsidR="00100C87" w:rsidRDefault="00316DA2">
      <w:pPr>
        <w:numPr>
          <w:ilvl w:val="1"/>
          <w:numId w:val="9"/>
        </w:numPr>
        <w:pBdr>
          <w:top w:val="nil"/>
          <w:left w:val="nil"/>
          <w:bottom w:val="nil"/>
          <w:right w:val="nil"/>
          <w:between w:val="nil"/>
        </w:pBdr>
        <w:spacing w:before="120" w:after="0"/>
        <w:rPr>
          <w:color w:val="000000"/>
        </w:rPr>
      </w:pPr>
      <w:r>
        <w:rPr>
          <w:color w:val="000000"/>
        </w:rPr>
        <w:t xml:space="preserve">Emplois créés pour la construction et l’exploitation de la future installation de production </w:t>
      </w:r>
    </w:p>
    <w:p w14:paraId="4BE0A41B" w14:textId="77777777" w:rsidR="00100C87" w:rsidRDefault="00316DA2">
      <w:pPr>
        <w:numPr>
          <w:ilvl w:val="1"/>
          <w:numId w:val="9"/>
        </w:numPr>
        <w:pBdr>
          <w:top w:val="nil"/>
          <w:left w:val="nil"/>
          <w:bottom w:val="nil"/>
          <w:right w:val="nil"/>
          <w:between w:val="nil"/>
        </w:pBdr>
        <w:spacing w:before="120" w:after="0"/>
        <w:rPr>
          <w:color w:val="000000"/>
        </w:rPr>
      </w:pPr>
      <w:r>
        <w:rPr>
          <w:color w:val="000000"/>
        </w:rPr>
        <w:t>Chiffres d’affaires liés à l’exploitation de la future installation de production</w:t>
      </w:r>
    </w:p>
    <w:p w14:paraId="04047694" w14:textId="77777777" w:rsidR="00100C87" w:rsidRDefault="00316DA2">
      <w:pPr>
        <w:numPr>
          <w:ilvl w:val="1"/>
          <w:numId w:val="9"/>
        </w:numPr>
        <w:pBdr>
          <w:top w:val="nil"/>
          <w:left w:val="nil"/>
          <w:bottom w:val="nil"/>
          <w:right w:val="nil"/>
          <w:between w:val="nil"/>
        </w:pBdr>
        <w:spacing w:before="120" w:after="0"/>
      </w:pPr>
      <w:r>
        <w:t>Production d’énergie en cas de réalisation du business plan</w:t>
      </w:r>
    </w:p>
    <w:p w14:paraId="3A45CC48" w14:textId="77777777" w:rsidR="00100C87" w:rsidRDefault="00100C87">
      <w:pPr>
        <w:pBdr>
          <w:top w:val="nil"/>
          <w:left w:val="nil"/>
          <w:bottom w:val="nil"/>
          <w:right w:val="nil"/>
          <w:between w:val="nil"/>
        </w:pBdr>
        <w:spacing w:before="120" w:after="0"/>
        <w:ind w:left="1440"/>
      </w:pPr>
    </w:p>
    <w:p w14:paraId="22BAA8B2" w14:textId="77777777" w:rsidR="00100C87" w:rsidRDefault="00316DA2">
      <w:pPr>
        <w:pStyle w:val="Paragraphedeliste"/>
        <w:numPr>
          <w:ilvl w:val="0"/>
          <w:numId w:val="6"/>
        </w:numPr>
        <w:pBdr>
          <w:top w:val="nil"/>
          <w:left w:val="nil"/>
          <w:bottom w:val="nil"/>
          <w:right w:val="nil"/>
          <w:between w:val="nil"/>
        </w:pBdr>
        <w:spacing w:before="120" w:after="0"/>
      </w:pPr>
      <w:r>
        <w:t>Dans le cas où l’hydrogène est un intrant du procédé de production de carburant d’aviation durable, l’hydrogène doit être produit selon le Règlement délégué (UE) 2023/1184 sur la production de carburants renouvelables d’origine non-biologique (</w:t>
      </w:r>
      <w:proofErr w:type="spellStart"/>
      <w:r>
        <w:t>RFNBOs</w:t>
      </w:r>
      <w:proofErr w:type="spellEnd"/>
      <w:r>
        <w:t xml:space="preserve">), et à partir </w:t>
      </w:r>
      <w:r>
        <w:lastRenderedPageBreak/>
        <w:t>d’électricité issue de sources renouvelables, au sens de la directive européenne REDIII, à l’exclusion de la biomasse et des unités de stockage.</w:t>
      </w:r>
    </w:p>
    <w:p w14:paraId="6DE67387" w14:textId="77777777" w:rsidR="00100C87" w:rsidRDefault="00100C87">
      <w:pPr>
        <w:pStyle w:val="Paragraphedeliste"/>
        <w:pBdr>
          <w:top w:val="nil"/>
          <w:left w:val="nil"/>
          <w:bottom w:val="nil"/>
          <w:right w:val="nil"/>
          <w:between w:val="nil"/>
        </w:pBdr>
        <w:spacing w:before="120" w:after="0"/>
        <w:ind w:left="360"/>
        <w:rPr>
          <w:highlight w:val="yellow"/>
        </w:rPr>
      </w:pPr>
    </w:p>
    <w:p w14:paraId="3CEAEB18" w14:textId="77777777" w:rsidR="00100C87" w:rsidRDefault="00316DA2">
      <w:pPr>
        <w:pStyle w:val="Paragraphedeliste"/>
        <w:numPr>
          <w:ilvl w:val="0"/>
          <w:numId w:val="6"/>
        </w:numPr>
        <w:pBdr>
          <w:top w:val="nil"/>
          <w:left w:val="nil"/>
          <w:bottom w:val="nil"/>
          <w:right w:val="nil"/>
          <w:between w:val="nil"/>
        </w:pBdr>
        <w:spacing w:before="120" w:after="0"/>
      </w:pPr>
      <w:r>
        <w:t>Dans le cas où la biomasse est un intrant du procédé de production de carburant d’aviation durable, elle doit respecter les critères énoncés en Annexe 2 du présent document.</w:t>
      </w:r>
    </w:p>
    <w:p w14:paraId="67A74564" w14:textId="77777777" w:rsidR="00D21B6D" w:rsidRDefault="00D21B6D" w:rsidP="00D21B6D">
      <w:pPr>
        <w:pStyle w:val="Paragraphedeliste"/>
        <w:pBdr>
          <w:top w:val="nil"/>
          <w:left w:val="nil"/>
          <w:bottom w:val="nil"/>
          <w:right w:val="nil"/>
          <w:between w:val="nil"/>
        </w:pBdr>
        <w:spacing w:before="120" w:after="0"/>
        <w:ind w:left="360"/>
      </w:pPr>
    </w:p>
    <w:p w14:paraId="780AC2DD" w14:textId="20DFA9D0" w:rsidR="00100C87" w:rsidRDefault="00D21B6D">
      <w:pPr>
        <w:pStyle w:val="Paragraphedeliste"/>
        <w:numPr>
          <w:ilvl w:val="0"/>
          <w:numId w:val="6"/>
        </w:numPr>
        <w:pBdr>
          <w:top w:val="nil"/>
          <w:left w:val="nil"/>
          <w:bottom w:val="nil"/>
          <w:right w:val="nil"/>
          <w:between w:val="nil"/>
        </w:pBdr>
        <w:spacing w:before="120" w:after="0"/>
      </w:pPr>
      <w:r>
        <w:t>Les é</w:t>
      </w:r>
      <w:r w:rsidR="00316DA2">
        <w:t xml:space="preserve">tudes avec la cellule biomasse régionale sur le plan d’approvisionnement en biomasse, </w:t>
      </w:r>
      <w:r>
        <w:t>et</w:t>
      </w:r>
      <w:r w:rsidR="00316DA2">
        <w:t xml:space="preserve"> avec RTE sur le raccordement électrique du site</w:t>
      </w:r>
      <w:r>
        <w:t>, doivent avoir été entamées</w:t>
      </w:r>
      <w:r w:rsidR="00316DA2">
        <w:t>.</w:t>
      </w:r>
    </w:p>
    <w:p w14:paraId="099413FC" w14:textId="7F5B6860" w:rsidR="00D21B6D" w:rsidRDefault="00D21B6D" w:rsidP="00D21B6D">
      <w:pPr>
        <w:pBdr>
          <w:top w:val="nil"/>
          <w:left w:val="nil"/>
          <w:bottom w:val="nil"/>
          <w:right w:val="nil"/>
          <w:between w:val="nil"/>
        </w:pBdr>
        <w:spacing w:before="120" w:after="0"/>
      </w:pPr>
    </w:p>
    <w:p w14:paraId="4FE283F5" w14:textId="4F1D67BD" w:rsidR="00100C87" w:rsidRDefault="00D21B6D" w:rsidP="00D21B6D">
      <w:pPr>
        <w:pStyle w:val="Paragraphedeliste"/>
        <w:numPr>
          <w:ilvl w:val="0"/>
          <w:numId w:val="6"/>
        </w:numPr>
      </w:pPr>
      <w:r w:rsidRPr="00D21B6D">
        <w:t>Le carburant d’aviation durable doit être majoritaire parmi les co-produits en sortie d’unité de production.</w:t>
      </w:r>
    </w:p>
    <w:p w14:paraId="3FED2898" w14:textId="77777777" w:rsidR="00100C87" w:rsidRDefault="00100C87">
      <w:pPr>
        <w:pStyle w:val="Paragraphedeliste"/>
        <w:pBdr>
          <w:top w:val="nil"/>
          <w:left w:val="nil"/>
          <w:bottom w:val="nil"/>
          <w:right w:val="nil"/>
          <w:between w:val="nil"/>
        </w:pBdr>
        <w:spacing w:before="120" w:after="0"/>
        <w:ind w:left="360"/>
      </w:pPr>
    </w:p>
    <w:p w14:paraId="5E5B705F" w14:textId="77777777" w:rsidR="00100C87" w:rsidRDefault="00316DA2">
      <w:pPr>
        <w:spacing w:before="120" w:after="120"/>
      </w:pPr>
      <w:r>
        <w:t>L’aide n’est réputée incitative que si elle incite le bénéficiaire à réaliser un investissement qu’il n’aurait pas réalisé, ou qu’il aurait réalisé d’une manière restreinte ou différente, en l’absence de soutien. Pour respecter ce critère, le début des opérations financées doit être intervenu postérieurement au dépôt de la candidature au présent AAP. Il est néanmoins précisé que les dépenses engagées entre la date du dépôt du dossier et la sélection du projet resteront à la charge du porteur de projet en cas de refus de financement.</w:t>
      </w:r>
    </w:p>
    <w:p w14:paraId="254227BC" w14:textId="0C80066F" w:rsidR="00100C87" w:rsidRDefault="00316DA2" w:rsidP="00393889">
      <w:pPr>
        <w:spacing w:before="120" w:after="120"/>
      </w:pPr>
      <w:r>
        <w:t xml:space="preserve"> Le « début des travaux » est défini comme « soit le début des travaux de construction liés à l'investissement, soit le premier engagement juridiquement contraignant de commande d'équipement ou tout autre engagement rendant l'investissement irréversible, selon l'événement qui se produit en premier. »</w:t>
      </w:r>
    </w:p>
    <w:p w14:paraId="056B091D" w14:textId="77777777" w:rsidR="00393889" w:rsidRDefault="00393889" w:rsidP="00393889">
      <w:pPr>
        <w:spacing w:before="120" w:after="120"/>
      </w:pPr>
    </w:p>
    <w:p w14:paraId="75FB151C" w14:textId="77777777" w:rsidR="00100C87" w:rsidRDefault="00316DA2">
      <w:pPr>
        <w:keepNext/>
        <w:keepLines/>
        <w:numPr>
          <w:ilvl w:val="1"/>
          <w:numId w:val="5"/>
        </w:numPr>
        <w:spacing w:before="280" w:after="240"/>
        <w:jc w:val="left"/>
        <w:outlineLvl w:val="1"/>
        <w:rPr>
          <w:color w:val="000000"/>
        </w:rPr>
      </w:pPr>
      <w:bookmarkStart w:id="30" w:name="_Toc158208397"/>
      <w:r>
        <w:rPr>
          <w:color w:val="000000"/>
        </w:rPr>
        <w:t>Pré-dépôt et dépôt</w:t>
      </w:r>
      <w:bookmarkEnd w:id="27"/>
      <w:bookmarkEnd w:id="28"/>
      <w:bookmarkEnd w:id="30"/>
    </w:p>
    <w:p w14:paraId="3C65CDC1" w14:textId="77777777" w:rsidR="00100C87" w:rsidRDefault="00316DA2">
      <w:pPr>
        <w:pStyle w:val="Titre3"/>
        <w:rPr>
          <w:rFonts w:ascii="Arial" w:hAnsi="Arial" w:cs="Arial"/>
          <w:smallCaps/>
          <w:color w:val="000000"/>
          <w:sz w:val="22"/>
        </w:rPr>
      </w:pPr>
      <w:r>
        <w:rPr>
          <w:rFonts w:ascii="Arial" w:hAnsi="Arial" w:cs="Arial"/>
          <w:smallCaps/>
          <w:color w:val="000000"/>
          <w:sz w:val="22"/>
        </w:rPr>
        <w:t>Réunion de pré-dépôt</w:t>
      </w:r>
    </w:p>
    <w:p w14:paraId="2893453F" w14:textId="77777777" w:rsidR="00100C87" w:rsidRDefault="00316DA2">
      <w:pPr>
        <w:spacing w:before="120" w:after="120"/>
      </w:pPr>
      <w:r>
        <w:t>Cette étape nécessaire pour envisager un dépôt, a vocation à orienter et à conseiller le porteur de projet sur les points suivants :</w:t>
      </w:r>
    </w:p>
    <w:p w14:paraId="34D45D73" w14:textId="77777777" w:rsidR="00100C87" w:rsidRDefault="00316DA2">
      <w:pPr>
        <w:numPr>
          <w:ilvl w:val="0"/>
          <w:numId w:val="11"/>
        </w:numPr>
        <w:spacing w:before="120" w:after="120"/>
        <w:contextualSpacing/>
      </w:pPr>
      <w:r>
        <w:t>Adéquation du projet avec les attendus du cahier des charges</w:t>
      </w:r>
    </w:p>
    <w:p w14:paraId="5211DD44" w14:textId="77777777" w:rsidR="00100C87" w:rsidRDefault="00316DA2">
      <w:pPr>
        <w:numPr>
          <w:ilvl w:val="0"/>
          <w:numId w:val="11"/>
        </w:numPr>
        <w:spacing w:before="120" w:after="120"/>
        <w:contextualSpacing/>
      </w:pPr>
      <w:r>
        <w:t>Etat de l’art en matière d’innovation vis-à-vis du projet proposé</w:t>
      </w:r>
    </w:p>
    <w:p w14:paraId="12626767" w14:textId="77777777" w:rsidR="00100C87" w:rsidRDefault="00316DA2">
      <w:pPr>
        <w:numPr>
          <w:ilvl w:val="0"/>
          <w:numId w:val="11"/>
        </w:numPr>
        <w:spacing w:before="120" w:after="120"/>
        <w:contextualSpacing/>
      </w:pPr>
      <w:r>
        <w:t xml:space="preserve">Caractère impactant et transformant du projet proposé dans le domaine de la transition écologique et du développement de l’économie Française </w:t>
      </w:r>
    </w:p>
    <w:p w14:paraId="64258AE5" w14:textId="77777777" w:rsidR="00100C87" w:rsidRDefault="00100C87">
      <w:pPr>
        <w:spacing w:before="120" w:after="120"/>
      </w:pPr>
    </w:p>
    <w:p w14:paraId="0F4E610A" w14:textId="77777777" w:rsidR="00100C87" w:rsidRDefault="00316DA2">
      <w:pPr>
        <w:spacing w:before="120" w:after="120"/>
      </w:pPr>
      <w:r>
        <w:t>La réunion de pré-dépôt consiste en une présentation d’une heure maximum par le porteur du projet proposé. Cette présentation doit s’appuyer sur un diaporama au format PowerPoint (voir Annexe 2, disponible sur la page internet de l’AAP) et doit se dérouler 1 mois au minimum avant le dépôt d’un dossier.</w:t>
      </w:r>
    </w:p>
    <w:p w14:paraId="4CED7B0C" w14:textId="77777777" w:rsidR="00100C87" w:rsidRDefault="00316DA2">
      <w:pPr>
        <w:spacing w:before="120" w:after="180"/>
        <w:rPr>
          <w:b/>
          <w:bCs/>
          <w:color w:val="0000FF"/>
        </w:rPr>
      </w:pPr>
      <w:r>
        <w:t xml:space="preserve">Le porteur doit contacter l’ADEME pour organiser une réunion de pré-dépôt, à l’adresse suivante : </w:t>
      </w:r>
      <w:hyperlink r:id="rId20">
        <w:r>
          <w:rPr>
            <w:b/>
            <w:bCs/>
            <w:color w:val="0000FF"/>
            <w:u w:val="single"/>
          </w:rPr>
          <w:t>aap.biocarb@ademe.fr</w:t>
        </w:r>
      </w:hyperlink>
      <w:r>
        <w:rPr>
          <w:b/>
          <w:bCs/>
          <w:color w:val="0000FF"/>
          <w:u w:val="single"/>
        </w:rPr>
        <w:t>.</w:t>
      </w:r>
      <w:r>
        <w:rPr>
          <w:b/>
          <w:bCs/>
          <w:color w:val="0000FF"/>
        </w:rPr>
        <w:t xml:space="preserve"> </w:t>
      </w:r>
      <w:r>
        <w:t>Idéalement, l’annexe 2 devrait être transmise lors de cette demande.</w:t>
      </w:r>
    </w:p>
    <w:p w14:paraId="4D9660F6" w14:textId="77777777" w:rsidR="00100C87" w:rsidRDefault="00100C87">
      <w:pPr>
        <w:spacing w:before="120" w:after="180"/>
        <w:rPr>
          <w:b/>
          <w:color w:val="0000FF"/>
        </w:rPr>
      </w:pPr>
    </w:p>
    <w:p w14:paraId="1D12A2E6" w14:textId="77777777" w:rsidR="00100C87" w:rsidRDefault="00316DA2">
      <w:pPr>
        <w:pStyle w:val="Titre3"/>
        <w:rPr>
          <w:rFonts w:ascii="Arial" w:hAnsi="Arial" w:cs="Arial"/>
          <w:smallCaps/>
          <w:color w:val="000000"/>
          <w:sz w:val="22"/>
        </w:rPr>
      </w:pPr>
      <w:bookmarkStart w:id="31" w:name="_Toc10651063"/>
      <w:bookmarkStart w:id="32" w:name="_Toc10650976"/>
      <w:bookmarkStart w:id="33" w:name="_Toc10647588"/>
      <w:r>
        <w:rPr>
          <w:rFonts w:ascii="Arial" w:hAnsi="Arial" w:cs="Arial"/>
          <w:smallCaps/>
          <w:color w:val="000000"/>
          <w:sz w:val="22"/>
        </w:rPr>
        <w:t>Dépôt</w:t>
      </w:r>
      <w:bookmarkEnd w:id="31"/>
      <w:bookmarkEnd w:id="32"/>
      <w:bookmarkEnd w:id="33"/>
      <w:r>
        <w:rPr>
          <w:rFonts w:ascii="Arial" w:hAnsi="Arial" w:cs="Arial"/>
          <w:smallCaps/>
          <w:color w:val="000000"/>
          <w:sz w:val="22"/>
        </w:rPr>
        <w:t xml:space="preserve"> </w:t>
      </w:r>
    </w:p>
    <w:p w14:paraId="6F0009C0" w14:textId="77777777" w:rsidR="00100C87" w:rsidRDefault="00316DA2">
      <w:pPr>
        <w:spacing w:before="120" w:after="120"/>
        <w:jc w:val="left"/>
        <w:rPr>
          <w:color w:val="000000"/>
        </w:rPr>
      </w:pPr>
      <w:r>
        <w:rPr>
          <w:color w:val="000000"/>
        </w:rPr>
        <w:t>Les projets doivent être adressés sous forme électronique via la plateforme de l’ADEME :</w:t>
      </w:r>
    </w:p>
    <w:p w14:paraId="6F82ED6E" w14:textId="77777777" w:rsidR="00100C87" w:rsidRDefault="00267F4F">
      <w:pPr>
        <w:spacing w:before="120" w:after="180"/>
        <w:jc w:val="center"/>
      </w:pPr>
      <w:hyperlink r:id="rId21" w:history="1">
        <w:r w:rsidR="00316DA2">
          <w:rPr>
            <w:color w:val="0000FF" w:themeColor="hyperlink"/>
            <w:u w:val="single"/>
          </w:rPr>
          <w:t>https://agirpourlatransition.ademe.fr/</w:t>
        </w:r>
      </w:hyperlink>
      <w:r w:rsidR="00316DA2">
        <w:t xml:space="preserve"> </w:t>
      </w:r>
    </w:p>
    <w:p w14:paraId="0CDB7758" w14:textId="77777777" w:rsidR="00100C87" w:rsidRDefault="00316DA2">
      <w:pPr>
        <w:spacing w:before="120" w:after="180"/>
      </w:pPr>
      <w:r>
        <w:t xml:space="preserve">Attention, en cas de projet collaboratif, seul le coordonnateur du projet est habilité à déposer le dossier sur la plateforme. Cependant, le dépôt engendre une demande de validation adressée à tous les partenaires </w:t>
      </w:r>
      <w:r>
        <w:rPr>
          <w:i/>
        </w:rPr>
        <w:t>via</w:t>
      </w:r>
      <w:r>
        <w:t xml:space="preserve"> un mail généré à partir de la plateforme. </w:t>
      </w:r>
      <w:r>
        <w:rPr>
          <w:b/>
          <w:bCs/>
        </w:rPr>
        <w:t>Merci de bien prendre en compte ce délai de validation pour le dépôt du dossier avant la clôture de l’AAP.</w:t>
      </w:r>
    </w:p>
    <w:p w14:paraId="5A7E317A" w14:textId="77777777" w:rsidR="00100C87" w:rsidRDefault="00100C87">
      <w:pPr>
        <w:pBdr>
          <w:top w:val="nil"/>
          <w:left w:val="nil"/>
          <w:bottom w:val="nil"/>
          <w:right w:val="nil"/>
          <w:between w:val="nil"/>
        </w:pBdr>
        <w:spacing w:before="120" w:after="0"/>
        <w:rPr>
          <w:b/>
          <w:color w:val="000000"/>
        </w:rPr>
      </w:pPr>
    </w:p>
    <w:p w14:paraId="363CEC3D" w14:textId="77777777" w:rsidR="00100C87" w:rsidRDefault="00316DA2">
      <w:pPr>
        <w:pStyle w:val="Titre3"/>
        <w:rPr>
          <w:rFonts w:ascii="Arial" w:hAnsi="Arial" w:cs="Arial"/>
          <w:smallCaps/>
          <w:color w:val="000000"/>
          <w:sz w:val="22"/>
        </w:rPr>
      </w:pPr>
      <w:r>
        <w:rPr>
          <w:rFonts w:ascii="Arial" w:hAnsi="Arial" w:cs="Arial"/>
          <w:smallCaps/>
          <w:color w:val="000000"/>
          <w:sz w:val="22"/>
        </w:rPr>
        <w:t>Confidentialité</w:t>
      </w:r>
    </w:p>
    <w:p w14:paraId="5A3FAE9C" w14:textId="77777777" w:rsidR="00100C87" w:rsidRDefault="00316DA2">
      <w:pPr>
        <w:spacing w:before="120" w:after="120"/>
      </w:pPr>
      <w:r>
        <w:rPr>
          <w:b/>
          <w:bCs/>
        </w:rPr>
        <w:t>L’ADEME garantit que les documents transmis dans le cadre de cet AAP sont soumis à la plus stricte confidentialité</w:t>
      </w:r>
      <w:r>
        <w:t xml:space="preserve"> et ne sont communiqués que dans le cadre restreint de l’expertise et de la gouvernance du dispositif France 2030.</w:t>
      </w:r>
    </w:p>
    <w:p w14:paraId="581A7754" w14:textId="77777777" w:rsidR="00100C87" w:rsidRDefault="00100C87">
      <w:pPr>
        <w:spacing w:before="120" w:after="120"/>
      </w:pPr>
    </w:p>
    <w:p w14:paraId="0A60B77F" w14:textId="77777777" w:rsidR="00100C87" w:rsidRDefault="00316DA2">
      <w:pPr>
        <w:keepNext/>
        <w:keepLines/>
        <w:numPr>
          <w:ilvl w:val="1"/>
          <w:numId w:val="5"/>
        </w:numPr>
        <w:spacing w:before="280" w:after="240"/>
        <w:jc w:val="left"/>
        <w:outlineLvl w:val="1"/>
        <w:rPr>
          <w:color w:val="000000"/>
        </w:rPr>
      </w:pPr>
      <w:bookmarkStart w:id="34" w:name="_Toc10712176"/>
      <w:bookmarkStart w:id="35" w:name="_Toc74823235"/>
      <w:bookmarkStart w:id="36" w:name="_Toc75875331"/>
      <w:bookmarkStart w:id="37" w:name="_Toc158208398"/>
      <w:r>
        <w:rPr>
          <w:color w:val="000000"/>
        </w:rPr>
        <w:t>Décision</w:t>
      </w:r>
      <w:bookmarkEnd w:id="34"/>
      <w:r>
        <w:rPr>
          <w:color w:val="000000"/>
        </w:rPr>
        <w:t>s</w:t>
      </w:r>
      <w:bookmarkEnd w:id="35"/>
      <w:bookmarkEnd w:id="36"/>
      <w:bookmarkEnd w:id="37"/>
    </w:p>
    <w:p w14:paraId="3B6C3EC8" w14:textId="77777777" w:rsidR="00100C87" w:rsidRDefault="00316DA2">
      <w:pPr>
        <w:spacing w:before="120" w:after="120"/>
      </w:pPr>
      <w:r>
        <w:t>L’ADEME, en tant qu’opérateur, conduit une première analyse d’éligibilité.</w:t>
      </w:r>
    </w:p>
    <w:p w14:paraId="42B1489C" w14:textId="77777777" w:rsidR="00100C87" w:rsidRDefault="00316DA2">
      <w:pPr>
        <w:spacing w:before="120" w:after="120"/>
      </w:pPr>
      <w:r>
        <w:t>La procédure de sélection est définie dans le cadre de la mise en œuvre de France 2030 et donne lieu à une gouvernance réunissant les représentants des ministères en charge de la Transition écologique (notamment de la Direction générale de l’Aviation civile et de la Direction générale de l’Energie et du Climat), de l’Agriculture, de l’Economie, des Finances et de la Relance, de la Recherche et de l’Innovation, et, le cas échéant, d’autres ministères concernés. Le Secrétariat Général Pour l’Investissement (SGPI) et l’ADEME assistent de droit aux réunions du comité.</w:t>
      </w:r>
    </w:p>
    <w:p w14:paraId="263B6D3A" w14:textId="77777777" w:rsidR="00100C87" w:rsidRDefault="00316DA2">
      <w:pPr>
        <w:spacing w:before="120" w:after="120"/>
      </w:pPr>
      <w:r>
        <w:t>Un comité de pilotage ministériel assure le pilotage du dispositif.</w:t>
      </w:r>
    </w:p>
    <w:p w14:paraId="50DA1AC4" w14:textId="00822F5A" w:rsidR="00100C87" w:rsidRDefault="00316DA2">
      <w:pPr>
        <w:spacing w:before="120" w:after="120"/>
      </w:pPr>
      <w:r>
        <w:t>L’opérateur conduit une première analyse de recevabilité</w:t>
      </w:r>
      <w:r w:rsidR="003B6D31">
        <w:t xml:space="preserve"> et d’éligibilité</w:t>
      </w:r>
      <w:r>
        <w:t>, sur la base du caractère complet du dossier de demande. Seuls les dossiers complets seront expertisés.</w:t>
      </w:r>
    </w:p>
    <w:p w14:paraId="5A41C318" w14:textId="7FC3E6B4" w:rsidR="00100C87" w:rsidRDefault="00316DA2">
      <w:pPr>
        <w:spacing w:before="120" w:after="120"/>
      </w:pPr>
      <w:r>
        <w:t xml:space="preserve">Selon les cas, l'examen des propositions est réalisé par un jury d'experts indépendants, ainsi que par une task-force interministérielle pour les projets de grande envergure (&gt; 10 </w:t>
      </w:r>
      <w:r w:rsidR="003B6D31">
        <w:t>M</w:t>
      </w:r>
      <w:r>
        <w:t>€ selon la gouvernance France 2030).</w:t>
      </w:r>
    </w:p>
    <w:p w14:paraId="27E64D28" w14:textId="77777777" w:rsidR="00100C87" w:rsidRDefault="00316DA2">
      <w:pPr>
        <w:spacing w:before="120" w:after="120"/>
      </w:pPr>
      <w:r>
        <w:t>La décision finale est prise par la Première ministre, sur proposition du Comité de pilotage ministériel précité et après avis du Secrétariat général pour l’investissement (SGPI).</w:t>
      </w:r>
    </w:p>
    <w:p w14:paraId="492ABE6A" w14:textId="77777777" w:rsidR="00100C87" w:rsidRDefault="00316DA2">
      <w:pPr>
        <w:spacing w:before="120" w:after="120"/>
      </w:pPr>
      <w:r>
        <w:t>L’Etat notifie les résultats aux candidats par courrier électronique ou postal et seul le contrat signé avec l’opérateur vaut engagement définitif d'octroi des aides.</w:t>
      </w:r>
    </w:p>
    <w:p w14:paraId="07D7BBE8" w14:textId="77777777" w:rsidR="00100C87" w:rsidRDefault="00316DA2">
      <w:pPr>
        <w:spacing w:after="120"/>
      </w:pPr>
      <w:r>
        <w:t xml:space="preserve">Par ailleurs, ce dispositif participe au plan « France relance » de 100 Md€ lancé en septembre 2020, ayant vocation à être financé à hauteur de 40 % par l’Union européenne. </w:t>
      </w:r>
      <w:r>
        <w:rPr>
          <w:b/>
        </w:rPr>
        <w:t>Le présent appel à projets s’inscrit pleinement dans le cadre des mesures éligibles à cette part européenne</w:t>
      </w:r>
      <w:r>
        <w:t xml:space="preserve">, qui sont présentées dans le plan national de relance et de résilience (PNRR) de la France et qui seront financées </w:t>
      </w:r>
      <w:r>
        <w:rPr>
          <w:i/>
        </w:rPr>
        <w:t>in fine via</w:t>
      </w:r>
      <w:r>
        <w:t xml:space="preserve"> son outil, la « Facilité pour la reprise et la résilience » (FRR)</w:t>
      </w:r>
      <w:r>
        <w:rPr>
          <w:rStyle w:val="Appelnotedebasdep"/>
        </w:rPr>
        <w:footnoteReference w:id="4"/>
      </w:r>
      <w:r>
        <w:t xml:space="preserve">. Le soutien apporté au titre de cette facilité interviendra sous forme de remboursement à l’Etat des financements octroyés et non d’un financement direct auprès des bénéficiaires. </w:t>
      </w:r>
      <w:r>
        <w:rPr>
          <w:b/>
        </w:rPr>
        <w:t>En vertu de l’article 9 du règlement (UE) 2021/241,</w:t>
      </w:r>
      <w:r>
        <w:t xml:space="preserve"> </w:t>
      </w:r>
      <w:r>
        <w:rPr>
          <w:b/>
        </w:rPr>
        <w:t xml:space="preserve">ce soutien est toutefois conditionné par l’interdiction de bénéficier d’un autre soutien au titre d’autres programmes et instruments de l’Union couvrant les mêmes coûts. </w:t>
      </w:r>
      <w:r>
        <w:t>Dans ce contexte, le candidat pourra être amené à fournir des informations sur les autres sources de financement d’origine européenne mobilisées ou demandées pour son projet dans son dossier de candidature.</w:t>
      </w:r>
    </w:p>
    <w:p w14:paraId="7A506D1F" w14:textId="77777777" w:rsidR="00100C87" w:rsidRDefault="00316DA2">
      <w:pPr>
        <w:spacing w:after="120"/>
      </w:pPr>
      <w:r>
        <w:rPr>
          <w:i/>
          <w:iCs/>
        </w:rPr>
        <w:t xml:space="preserve">Plus d’informations sur </w:t>
      </w:r>
      <w:r>
        <w:t xml:space="preserve">: </w:t>
      </w:r>
      <w:hyperlink r:id="rId22" w:history="1">
        <w:r>
          <w:rPr>
            <w:rStyle w:val="Lienhypertexte"/>
          </w:rPr>
          <w:t>https://www.economie.gouv.fr/plan-national-de-relance-et-de-resilience-pnrr</w:t>
        </w:r>
      </w:hyperlink>
      <w:hyperlink r:id="rId23" w:history="1">
        <w:r>
          <w:rPr>
            <w:rStyle w:val="Lienhypertexte"/>
          </w:rPr>
          <w:t>#</w:t>
        </w:r>
      </w:hyperlink>
    </w:p>
    <w:p w14:paraId="7A774727" w14:textId="77777777" w:rsidR="00100C87" w:rsidRDefault="00100C87">
      <w:pPr>
        <w:spacing w:before="120" w:after="120"/>
        <w:rPr>
          <w:b/>
        </w:rPr>
      </w:pPr>
    </w:p>
    <w:p w14:paraId="4CF19DFA" w14:textId="77777777" w:rsidR="00100C87" w:rsidRDefault="00316DA2">
      <w:pPr>
        <w:keepNext/>
        <w:keepLines/>
        <w:numPr>
          <w:ilvl w:val="1"/>
          <w:numId w:val="5"/>
        </w:numPr>
        <w:spacing w:before="280" w:after="240"/>
        <w:jc w:val="left"/>
        <w:outlineLvl w:val="1"/>
        <w:rPr>
          <w:color w:val="000000"/>
        </w:rPr>
      </w:pPr>
      <w:bookmarkStart w:id="38" w:name="_Toc10712177"/>
      <w:bookmarkStart w:id="39" w:name="_Toc74823236"/>
      <w:bookmarkStart w:id="40" w:name="_Toc75875332"/>
      <w:bookmarkStart w:id="41" w:name="_Toc158208399"/>
      <w:r>
        <w:rPr>
          <w:color w:val="000000"/>
        </w:rPr>
        <w:lastRenderedPageBreak/>
        <w:t>Contractualisation</w:t>
      </w:r>
      <w:bookmarkEnd w:id="38"/>
      <w:bookmarkEnd w:id="39"/>
      <w:bookmarkEnd w:id="40"/>
      <w:bookmarkEnd w:id="41"/>
    </w:p>
    <w:p w14:paraId="6C464E91" w14:textId="77777777" w:rsidR="00100C87" w:rsidRDefault="00316DA2">
      <w:pPr>
        <w:pStyle w:val="Titre3"/>
        <w:rPr>
          <w:rFonts w:ascii="Arial" w:hAnsi="Arial" w:cs="Arial"/>
          <w:smallCaps/>
          <w:color w:val="000000"/>
          <w:sz w:val="22"/>
        </w:rPr>
      </w:pPr>
      <w:r>
        <w:rPr>
          <w:rFonts w:ascii="Arial" w:hAnsi="Arial" w:cs="Arial"/>
          <w:smallCaps/>
          <w:color w:val="000000"/>
          <w:sz w:val="22"/>
        </w:rPr>
        <w:t>Convention</w:t>
      </w:r>
    </w:p>
    <w:p w14:paraId="60410D34" w14:textId="67A706F6" w:rsidR="00100C87" w:rsidRDefault="00316DA2">
      <w:pPr>
        <w:spacing w:before="120" w:after="120"/>
      </w:pPr>
      <w:r>
        <w:t>Une convention est établie entre l’ADEME et chaque entité juridique (déterminée par le numéro de SIRET du siège social du bénéficiaire) qui réalise les dépenses du projet.</w:t>
      </w:r>
    </w:p>
    <w:p w14:paraId="3AA47FE6" w14:textId="77777777" w:rsidR="00100C87" w:rsidRDefault="00100C87">
      <w:pPr>
        <w:spacing w:before="120" w:after="120"/>
      </w:pPr>
    </w:p>
    <w:p w14:paraId="53CB65A2" w14:textId="77777777" w:rsidR="00100C87" w:rsidRDefault="00316DA2">
      <w:pPr>
        <w:pStyle w:val="Titre3"/>
        <w:rPr>
          <w:rFonts w:ascii="Arial" w:hAnsi="Arial" w:cs="Arial"/>
          <w:smallCaps/>
          <w:color w:val="000000"/>
          <w:sz w:val="22"/>
        </w:rPr>
      </w:pPr>
      <w:r>
        <w:rPr>
          <w:rFonts w:ascii="Arial" w:hAnsi="Arial" w:cs="Arial"/>
          <w:smallCaps/>
          <w:color w:val="000000"/>
          <w:sz w:val="22"/>
        </w:rPr>
        <w:t>Versement des aides</w:t>
      </w:r>
    </w:p>
    <w:p w14:paraId="3D06D1D7" w14:textId="77777777" w:rsidR="00100C87" w:rsidRDefault="00316DA2">
      <w:pPr>
        <w:spacing w:before="120" w:after="180"/>
      </w:pPr>
      <w:r>
        <w:rPr>
          <w:b/>
        </w:rPr>
        <w:t>Le 1</w:t>
      </w:r>
      <w:r>
        <w:rPr>
          <w:b/>
          <w:vertAlign w:val="superscript"/>
        </w:rPr>
        <w:t>er</w:t>
      </w:r>
      <w:r>
        <w:rPr>
          <w:b/>
        </w:rPr>
        <w:t xml:space="preserve"> versement de l’aide intervient, dans le cas général, après la réception par l’ADEME des conventions signées de l’ensemble des partenaires du projet bénéficiant d’une aide</w:t>
      </w:r>
      <w:r>
        <w:t>. Le séquençage des versements de l’aide par l’ADEME est le suivant, dans le cas général :</w:t>
      </w:r>
    </w:p>
    <w:p w14:paraId="49AD04B7" w14:textId="77777777" w:rsidR="00100C87" w:rsidRDefault="00316DA2">
      <w:pPr>
        <w:numPr>
          <w:ilvl w:val="0"/>
          <w:numId w:val="10"/>
        </w:numPr>
        <w:spacing w:before="120" w:after="120"/>
        <w:contextualSpacing/>
      </w:pPr>
      <w:r>
        <w:t>Le versement d’une avance à notification de 15% maximum du montant de l’aide ;</w:t>
      </w:r>
    </w:p>
    <w:p w14:paraId="0D9AB1A2" w14:textId="77777777" w:rsidR="00100C87" w:rsidRDefault="00316DA2">
      <w:pPr>
        <w:numPr>
          <w:ilvl w:val="0"/>
          <w:numId w:val="10"/>
        </w:numPr>
        <w:spacing w:before="120" w:after="120"/>
        <w:contextualSpacing/>
      </w:pPr>
      <w:r>
        <w:t>Le cas échéant, un ou plusieurs versements intermédiaires au cours du projet ;</w:t>
      </w:r>
    </w:p>
    <w:p w14:paraId="029D3C77" w14:textId="77777777" w:rsidR="00100C87" w:rsidRDefault="00316DA2">
      <w:pPr>
        <w:numPr>
          <w:ilvl w:val="0"/>
          <w:numId w:val="10"/>
        </w:numPr>
        <w:spacing w:before="120" w:after="120"/>
        <w:contextualSpacing/>
      </w:pPr>
      <w:r>
        <w:t>Le cas échéant, le versement d’un solde représentant au minimum 50% de l’aide.</w:t>
      </w:r>
    </w:p>
    <w:p w14:paraId="66C497AE" w14:textId="77777777" w:rsidR="00100C87" w:rsidRDefault="00316DA2">
      <w:pPr>
        <w:pStyle w:val="Normal11"/>
        <w:jc w:val="both"/>
        <w:rPr>
          <w:b/>
          <w:bCs/>
          <w:sz w:val="22"/>
          <w:szCs w:val="22"/>
        </w:rPr>
        <w:sectPr w:rsidR="00100C87">
          <w:headerReference w:type="even" r:id="rId24"/>
          <w:headerReference w:type="default" r:id="rId25"/>
          <w:headerReference w:type="first" r:id="rId26"/>
          <w:footerReference w:type="first" r:id="rId27"/>
          <w:pgSz w:w="11906" w:h="16838"/>
          <w:pgMar w:top="1134" w:right="1418" w:bottom="1134" w:left="1418" w:header="567" w:footer="141" w:gutter="0"/>
          <w:cols w:space="720"/>
          <w:titlePg/>
          <w:docGrid w:linePitch="299"/>
        </w:sectPr>
      </w:pPr>
      <w:r>
        <w:rPr>
          <w:b/>
          <w:bCs/>
          <w:sz w:val="22"/>
          <w:szCs w:val="22"/>
        </w:rPr>
        <w:t>Dans le cas général le montant des capitaux propres, aux dates des versements de l’aide, devra être supérieur ou égal au montant du cumul des aides versées.</w:t>
      </w:r>
    </w:p>
    <w:p w14:paraId="1EFBE9D8" w14:textId="77777777" w:rsidR="00100C87" w:rsidRDefault="00316DA2">
      <w:pPr>
        <w:pStyle w:val="Titre1"/>
        <w:spacing w:before="120" w:line="240" w:lineRule="auto"/>
        <w:ind w:left="567" w:hanging="567"/>
      </w:pPr>
      <w:bookmarkStart w:id="42" w:name="_Toc10712178"/>
      <w:bookmarkStart w:id="43" w:name="_Toc74823237"/>
      <w:bookmarkStart w:id="44" w:name="_Toc75875333"/>
      <w:bookmarkStart w:id="45" w:name="_Toc158208400"/>
      <w:r>
        <w:lastRenderedPageBreak/>
        <w:t>Critères de sélection</w:t>
      </w:r>
      <w:bookmarkEnd w:id="42"/>
      <w:bookmarkEnd w:id="43"/>
      <w:bookmarkEnd w:id="44"/>
      <w:bookmarkEnd w:id="45"/>
    </w:p>
    <w:p w14:paraId="4146D212" w14:textId="77777777" w:rsidR="00100C87" w:rsidRDefault="00316DA2">
      <w:pPr>
        <w:spacing w:after="360"/>
      </w:pPr>
      <w:r>
        <w:t xml:space="preserve">Les dossiers retenus pour instruction seront notamment évalués selon les critères listés ci-dessous, </w:t>
      </w:r>
      <w:r>
        <w:rPr>
          <w:b/>
          <w:bCs/>
        </w:rPr>
        <w:t>avec une priorité accordée aux projets dont les études pré-FEED ont déjà été réalisées.</w:t>
      </w:r>
    </w:p>
    <w:tbl>
      <w:tblPr>
        <w:tblW w:w="14884" w:type="dxa"/>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2"/>
        <w:gridCol w:w="2268"/>
        <w:gridCol w:w="7229"/>
        <w:gridCol w:w="3685"/>
      </w:tblGrid>
      <w:tr w:rsidR="00100C87" w14:paraId="654966EA" w14:textId="77777777">
        <w:trPr>
          <w:trHeight w:val="567"/>
        </w:trPr>
        <w:tc>
          <w:tcPr>
            <w:tcW w:w="1702" w:type="dxa"/>
            <w:tcBorders>
              <w:top w:val="single" w:sz="4" w:space="0" w:color="auto"/>
              <w:left w:val="single" w:sz="4" w:space="0" w:color="auto"/>
              <w:bottom w:val="single" w:sz="4" w:space="0" w:color="auto"/>
            </w:tcBorders>
            <w:shd w:val="clear" w:color="auto" w:fill="D9D9D9" w:themeFill="background1" w:themeFillShade="D9"/>
            <w:vAlign w:val="center"/>
          </w:tcPr>
          <w:p w14:paraId="54F5C4C5" w14:textId="77777777" w:rsidR="00100C87" w:rsidRDefault="00316DA2">
            <w:pPr>
              <w:spacing w:after="0"/>
              <w:jc w:val="left"/>
              <w:rPr>
                <w:smallCaps/>
              </w:rPr>
            </w:pPr>
            <w:r>
              <w:rPr>
                <w:smallCaps/>
                <w:color w:val="000000"/>
              </w:rPr>
              <w:t>THÉMATIQUE</w:t>
            </w:r>
          </w:p>
        </w:tc>
        <w:tc>
          <w:tcPr>
            <w:tcW w:w="2268" w:type="dxa"/>
            <w:tcBorders>
              <w:top w:val="single" w:sz="4" w:space="0" w:color="auto"/>
              <w:bottom w:val="single" w:sz="4" w:space="0" w:color="auto"/>
            </w:tcBorders>
            <w:shd w:val="clear" w:color="auto" w:fill="D9D9D9" w:themeFill="background1" w:themeFillShade="D9"/>
            <w:vAlign w:val="center"/>
          </w:tcPr>
          <w:p w14:paraId="738A974D" w14:textId="77777777" w:rsidR="00100C87" w:rsidRDefault="00316DA2">
            <w:pPr>
              <w:spacing w:after="0"/>
              <w:jc w:val="left"/>
              <w:rPr>
                <w:smallCaps/>
              </w:rPr>
            </w:pPr>
            <w:r>
              <w:rPr>
                <w:smallCaps/>
                <w:color w:val="000000"/>
              </w:rPr>
              <w:t>CRITÈRES</w:t>
            </w:r>
          </w:p>
        </w:tc>
        <w:tc>
          <w:tcPr>
            <w:tcW w:w="7229" w:type="dxa"/>
            <w:tcBorders>
              <w:top w:val="single" w:sz="4" w:space="0" w:color="auto"/>
              <w:bottom w:val="single" w:sz="4" w:space="0" w:color="auto"/>
            </w:tcBorders>
            <w:shd w:val="clear" w:color="auto" w:fill="D9D9D9" w:themeFill="background1" w:themeFillShade="D9"/>
            <w:vAlign w:val="center"/>
          </w:tcPr>
          <w:p w14:paraId="26DB47BB" w14:textId="77777777" w:rsidR="00100C87" w:rsidRDefault="00316DA2">
            <w:pPr>
              <w:spacing w:after="0"/>
              <w:jc w:val="left"/>
              <w:rPr>
                <w:smallCaps/>
              </w:rPr>
            </w:pPr>
            <w:r>
              <w:rPr>
                <w:smallCaps/>
                <w:color w:val="000000"/>
              </w:rPr>
              <w:t xml:space="preserve">PRÉCISIONS </w:t>
            </w:r>
          </w:p>
        </w:tc>
        <w:tc>
          <w:tcPr>
            <w:tcW w:w="3685" w:type="dxa"/>
            <w:tcBorders>
              <w:top w:val="single" w:sz="4" w:space="0" w:color="auto"/>
              <w:bottom w:val="single" w:sz="4" w:space="0" w:color="auto"/>
              <w:right w:val="single" w:sz="4" w:space="0" w:color="auto"/>
            </w:tcBorders>
            <w:shd w:val="clear" w:color="auto" w:fill="D9D9D9" w:themeFill="background1" w:themeFillShade="D9"/>
            <w:vAlign w:val="center"/>
          </w:tcPr>
          <w:p w14:paraId="455B93FF" w14:textId="77777777" w:rsidR="00100C87" w:rsidRDefault="00316DA2">
            <w:pPr>
              <w:spacing w:after="0"/>
              <w:jc w:val="left"/>
              <w:rPr>
                <w:smallCaps/>
              </w:rPr>
            </w:pPr>
            <w:r>
              <w:rPr>
                <w:smallCaps/>
                <w:color w:val="000000"/>
              </w:rPr>
              <w:t>INFORMATION À PRODUIRE</w:t>
            </w:r>
          </w:p>
        </w:tc>
      </w:tr>
      <w:tr w:rsidR="00100C87" w14:paraId="44C4467F" w14:textId="77777777">
        <w:trPr>
          <w:trHeight w:val="888"/>
        </w:trPr>
        <w:tc>
          <w:tcPr>
            <w:tcW w:w="17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FE1193" w14:textId="77777777" w:rsidR="00100C87" w:rsidRDefault="00316DA2">
            <w:pPr>
              <w:spacing w:after="0"/>
              <w:jc w:val="left"/>
              <w:rPr>
                <w:sz w:val="21"/>
                <w:szCs w:val="21"/>
              </w:rPr>
            </w:pPr>
            <w:r>
              <w:rPr>
                <w:sz w:val="21"/>
                <w:szCs w:val="21"/>
              </w:rPr>
              <w:t xml:space="preserve">Projet </w:t>
            </w:r>
          </w:p>
        </w:tc>
        <w:tc>
          <w:tcPr>
            <w:tcW w:w="2268" w:type="dxa"/>
            <w:tcBorders>
              <w:top w:val="single" w:sz="4" w:space="0" w:color="auto"/>
              <w:left w:val="single" w:sz="4" w:space="0" w:color="auto"/>
              <w:bottom w:val="dotted" w:sz="4" w:space="0" w:color="000000" w:themeColor="text1"/>
              <w:right w:val="nil"/>
            </w:tcBorders>
            <w:shd w:val="clear" w:color="auto" w:fill="F2F2F2" w:themeFill="background1" w:themeFillShade="F2"/>
            <w:vAlign w:val="center"/>
          </w:tcPr>
          <w:p w14:paraId="6CF503D3" w14:textId="77777777" w:rsidR="00100C87" w:rsidRDefault="00316DA2">
            <w:pPr>
              <w:spacing w:after="0"/>
              <w:jc w:val="left"/>
              <w:rPr>
                <w:sz w:val="21"/>
                <w:szCs w:val="21"/>
              </w:rPr>
            </w:pPr>
            <w:r>
              <w:rPr>
                <w:sz w:val="21"/>
                <w:szCs w:val="21"/>
              </w:rPr>
              <w:t xml:space="preserve">Montage du projet </w:t>
            </w:r>
          </w:p>
        </w:tc>
        <w:tc>
          <w:tcPr>
            <w:tcW w:w="7229" w:type="dxa"/>
            <w:tcBorders>
              <w:top w:val="single" w:sz="4" w:space="0" w:color="auto"/>
              <w:left w:val="nil"/>
              <w:bottom w:val="dotted" w:sz="4" w:space="0" w:color="000000" w:themeColor="text1"/>
              <w:right w:val="nil"/>
            </w:tcBorders>
            <w:shd w:val="clear" w:color="auto" w:fill="auto"/>
            <w:vAlign w:val="center"/>
          </w:tcPr>
          <w:p w14:paraId="0EA0A42D"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Gouvernance, planning et jalon décisionnel, gestion des risques, description des coûts projet, clarté de la rédaction</w:t>
            </w:r>
          </w:p>
        </w:tc>
        <w:tc>
          <w:tcPr>
            <w:tcW w:w="3685" w:type="dxa"/>
            <w:tcBorders>
              <w:top w:val="single" w:sz="4" w:space="0" w:color="auto"/>
              <w:left w:val="nil"/>
              <w:bottom w:val="dotted" w:sz="4" w:space="0" w:color="000000" w:themeColor="text1"/>
              <w:right w:val="single" w:sz="4" w:space="0" w:color="auto"/>
            </w:tcBorders>
            <w:shd w:val="clear" w:color="auto" w:fill="auto"/>
            <w:vAlign w:val="center"/>
          </w:tcPr>
          <w:p w14:paraId="43C702D4"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Annexes 3.a, 4</w:t>
            </w:r>
          </w:p>
        </w:tc>
      </w:tr>
      <w:tr w:rsidR="00100C87" w14:paraId="1C8641F1" w14:textId="77777777">
        <w:trPr>
          <w:trHeight w:val="1077"/>
        </w:trPr>
        <w:tc>
          <w:tcPr>
            <w:tcW w:w="1702" w:type="dxa"/>
            <w:vMerge/>
            <w:vAlign w:val="center"/>
          </w:tcPr>
          <w:p w14:paraId="38D15AEB"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nil"/>
              <w:left w:val="nil"/>
              <w:bottom w:val="dotted" w:sz="4" w:space="0" w:color="000000" w:themeColor="text1"/>
              <w:right w:val="nil"/>
            </w:tcBorders>
            <w:shd w:val="clear" w:color="auto" w:fill="F2F2F2" w:themeFill="background1" w:themeFillShade="F2"/>
            <w:vAlign w:val="center"/>
          </w:tcPr>
          <w:p w14:paraId="5299A89C" w14:textId="77777777" w:rsidR="00100C87" w:rsidRDefault="00316DA2">
            <w:pPr>
              <w:spacing w:after="0"/>
              <w:jc w:val="left"/>
              <w:rPr>
                <w:sz w:val="21"/>
                <w:szCs w:val="21"/>
              </w:rPr>
            </w:pPr>
            <w:r>
              <w:rPr>
                <w:sz w:val="21"/>
                <w:szCs w:val="21"/>
              </w:rPr>
              <w:t>Consortium</w:t>
            </w:r>
          </w:p>
        </w:tc>
        <w:tc>
          <w:tcPr>
            <w:tcW w:w="7229" w:type="dxa"/>
            <w:tcBorders>
              <w:top w:val="nil"/>
              <w:left w:val="nil"/>
              <w:bottom w:val="dotted" w:sz="4" w:space="0" w:color="000000" w:themeColor="text1"/>
              <w:right w:val="nil"/>
            </w:tcBorders>
            <w:shd w:val="clear" w:color="auto" w:fill="auto"/>
            <w:vAlign w:val="center"/>
          </w:tcPr>
          <w:p w14:paraId="6BE64E33"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Pertinence et complémentarité du partenariat</w:t>
            </w:r>
          </w:p>
        </w:tc>
        <w:tc>
          <w:tcPr>
            <w:tcW w:w="3685" w:type="dxa"/>
            <w:tcBorders>
              <w:top w:val="nil"/>
              <w:left w:val="nil"/>
              <w:bottom w:val="dotted" w:sz="4" w:space="0" w:color="000000" w:themeColor="text1"/>
              <w:right w:val="single" w:sz="4" w:space="0" w:color="auto"/>
            </w:tcBorders>
            <w:shd w:val="clear" w:color="auto" w:fill="auto"/>
            <w:vAlign w:val="center"/>
          </w:tcPr>
          <w:p w14:paraId="7D52D915"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Annexes 3.a ; 3.b</w:t>
            </w:r>
          </w:p>
          <w:p w14:paraId="6E5F03D2"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Projet d’accord de consortium (format libre)</w:t>
            </w:r>
          </w:p>
          <w:p w14:paraId="4E227F9B"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Mandat de représentation pour le coordinateur </w:t>
            </w:r>
          </w:p>
        </w:tc>
      </w:tr>
      <w:tr w:rsidR="00100C87" w14:paraId="31768DB7" w14:textId="77777777">
        <w:trPr>
          <w:trHeight w:val="922"/>
        </w:trPr>
        <w:tc>
          <w:tcPr>
            <w:tcW w:w="1702" w:type="dxa"/>
            <w:vMerge/>
            <w:vAlign w:val="center"/>
          </w:tcPr>
          <w:p w14:paraId="659C6BDA"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nil"/>
              <w:left w:val="nil"/>
              <w:bottom w:val="dotted" w:sz="4" w:space="0" w:color="000000" w:themeColor="text1"/>
              <w:right w:val="nil"/>
            </w:tcBorders>
            <w:shd w:val="clear" w:color="auto" w:fill="F2F2F2" w:themeFill="background1" w:themeFillShade="F2"/>
            <w:vAlign w:val="center"/>
          </w:tcPr>
          <w:p w14:paraId="3CE277F7" w14:textId="77777777" w:rsidR="00100C87" w:rsidRDefault="00316DA2">
            <w:pPr>
              <w:spacing w:after="0"/>
              <w:jc w:val="left"/>
              <w:rPr>
                <w:sz w:val="21"/>
                <w:szCs w:val="21"/>
              </w:rPr>
            </w:pPr>
            <w:r>
              <w:rPr>
                <w:sz w:val="21"/>
                <w:szCs w:val="21"/>
              </w:rPr>
              <w:t>Délai</w:t>
            </w:r>
          </w:p>
        </w:tc>
        <w:tc>
          <w:tcPr>
            <w:tcW w:w="7229" w:type="dxa"/>
            <w:tcBorders>
              <w:top w:val="nil"/>
              <w:left w:val="nil"/>
              <w:bottom w:val="dotted" w:sz="4" w:space="0" w:color="000000" w:themeColor="text1"/>
              <w:right w:val="nil"/>
            </w:tcBorders>
            <w:shd w:val="clear" w:color="auto" w:fill="auto"/>
            <w:vAlign w:val="center"/>
          </w:tcPr>
          <w:p w14:paraId="57211C8A"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Année cible de mise en service de l’unité industrielle étudiée</w:t>
            </w:r>
          </w:p>
        </w:tc>
        <w:tc>
          <w:tcPr>
            <w:tcW w:w="3685" w:type="dxa"/>
            <w:tcBorders>
              <w:top w:val="nil"/>
              <w:left w:val="nil"/>
              <w:bottom w:val="dotted" w:sz="4" w:space="0" w:color="000000" w:themeColor="text1"/>
              <w:right w:val="single" w:sz="4" w:space="0" w:color="auto"/>
            </w:tcBorders>
            <w:shd w:val="clear" w:color="auto" w:fill="auto"/>
            <w:vAlign w:val="center"/>
          </w:tcPr>
          <w:p w14:paraId="2C50C3DC"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Annexes 3.a ; 6</w:t>
            </w:r>
          </w:p>
        </w:tc>
      </w:tr>
      <w:tr w:rsidR="00100C87" w14:paraId="58DA656B" w14:textId="77777777">
        <w:trPr>
          <w:trHeight w:val="1077"/>
        </w:trPr>
        <w:tc>
          <w:tcPr>
            <w:tcW w:w="1702" w:type="dxa"/>
            <w:vMerge/>
            <w:vAlign w:val="center"/>
          </w:tcPr>
          <w:p w14:paraId="2C276133"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dotted" w:sz="4" w:space="0" w:color="000000" w:themeColor="text1"/>
              <w:left w:val="nil"/>
              <w:bottom w:val="dotted" w:sz="4" w:space="0" w:color="000000" w:themeColor="text1"/>
              <w:right w:val="nil"/>
            </w:tcBorders>
            <w:shd w:val="clear" w:color="auto" w:fill="F2F2F2" w:themeFill="background1" w:themeFillShade="F2"/>
            <w:vAlign w:val="center"/>
          </w:tcPr>
          <w:p w14:paraId="7DC8B272" w14:textId="77777777" w:rsidR="00100C87" w:rsidRDefault="00316DA2">
            <w:pPr>
              <w:spacing w:after="0"/>
              <w:jc w:val="left"/>
              <w:rPr>
                <w:sz w:val="21"/>
                <w:szCs w:val="21"/>
              </w:rPr>
            </w:pPr>
            <w:r>
              <w:rPr>
                <w:sz w:val="21"/>
                <w:szCs w:val="21"/>
              </w:rPr>
              <w:t>Plan de financement (projet)</w:t>
            </w:r>
          </w:p>
        </w:tc>
        <w:tc>
          <w:tcPr>
            <w:tcW w:w="7229" w:type="dxa"/>
            <w:tcBorders>
              <w:top w:val="dotted" w:sz="4" w:space="0" w:color="000000" w:themeColor="text1"/>
              <w:left w:val="nil"/>
              <w:bottom w:val="dotted" w:sz="4" w:space="0" w:color="000000" w:themeColor="text1"/>
              <w:right w:val="nil"/>
            </w:tcBorders>
            <w:shd w:val="clear" w:color="auto" w:fill="auto"/>
            <w:vAlign w:val="center"/>
          </w:tcPr>
          <w:p w14:paraId="1772C636"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Modalités de financement du projet (vigilance sur le respect des besoins en fonds propres – </w:t>
            </w:r>
            <w:proofErr w:type="spellStart"/>
            <w:r>
              <w:rPr>
                <w:sz w:val="21"/>
                <w:szCs w:val="21"/>
              </w:rPr>
              <w:t>cf</w:t>
            </w:r>
            <w:proofErr w:type="spellEnd"/>
            <w:r>
              <w:rPr>
                <w:sz w:val="21"/>
                <w:szCs w:val="21"/>
              </w:rPr>
              <w:t xml:space="preserve"> 4.4.2)</w:t>
            </w:r>
          </w:p>
          <w:p w14:paraId="292AD6C4"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proofErr w:type="spellStart"/>
            <w:r>
              <w:rPr>
                <w:sz w:val="21"/>
                <w:szCs w:val="21"/>
              </w:rPr>
              <w:t>Incitativité</w:t>
            </w:r>
            <w:proofErr w:type="spellEnd"/>
            <w:r>
              <w:rPr>
                <w:sz w:val="21"/>
                <w:szCs w:val="21"/>
              </w:rPr>
              <w:t xml:space="preserve"> de l’aide</w:t>
            </w:r>
          </w:p>
        </w:tc>
        <w:tc>
          <w:tcPr>
            <w:tcW w:w="3685" w:type="dxa"/>
            <w:tcBorders>
              <w:top w:val="dotted" w:sz="4" w:space="0" w:color="000000" w:themeColor="text1"/>
              <w:left w:val="nil"/>
              <w:bottom w:val="dotted" w:sz="4" w:space="0" w:color="000000" w:themeColor="text1"/>
              <w:right w:val="single" w:sz="4" w:space="0" w:color="auto"/>
            </w:tcBorders>
            <w:shd w:val="clear" w:color="auto" w:fill="auto"/>
            <w:vAlign w:val="center"/>
          </w:tcPr>
          <w:p w14:paraId="6B7DEC2D"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Annexes 3.b ; 6</w:t>
            </w:r>
          </w:p>
        </w:tc>
      </w:tr>
      <w:tr w:rsidR="00100C87" w14:paraId="749C8B41" w14:textId="77777777">
        <w:trPr>
          <w:trHeight w:val="840"/>
        </w:trPr>
        <w:tc>
          <w:tcPr>
            <w:tcW w:w="1702" w:type="dxa"/>
            <w:vMerge/>
            <w:vAlign w:val="center"/>
          </w:tcPr>
          <w:p w14:paraId="4D71A970"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dotted" w:sz="4" w:space="0" w:color="000000" w:themeColor="text1"/>
              <w:left w:val="nil"/>
              <w:bottom w:val="dotted" w:sz="4" w:space="0" w:color="000000" w:themeColor="text1"/>
              <w:right w:val="nil"/>
            </w:tcBorders>
            <w:shd w:val="clear" w:color="auto" w:fill="F2F2F2" w:themeFill="background1" w:themeFillShade="F2"/>
            <w:vAlign w:val="center"/>
          </w:tcPr>
          <w:p w14:paraId="1C7E1949" w14:textId="77777777" w:rsidR="00100C87" w:rsidRDefault="00316DA2">
            <w:pPr>
              <w:spacing w:after="0"/>
              <w:jc w:val="left"/>
              <w:rPr>
                <w:sz w:val="21"/>
                <w:szCs w:val="21"/>
              </w:rPr>
            </w:pPr>
            <w:r>
              <w:rPr>
                <w:sz w:val="21"/>
                <w:szCs w:val="21"/>
              </w:rPr>
              <w:t>Plan d’approvisionnement en intrants (biomasse, électricité, CO</w:t>
            </w:r>
            <w:r>
              <w:rPr>
                <w:sz w:val="21"/>
                <w:szCs w:val="21"/>
                <w:vertAlign w:val="subscript"/>
              </w:rPr>
              <w:t>2</w:t>
            </w:r>
            <w:r>
              <w:rPr>
                <w:sz w:val="21"/>
                <w:szCs w:val="21"/>
              </w:rPr>
              <w:t>, H</w:t>
            </w:r>
            <w:r>
              <w:rPr>
                <w:sz w:val="21"/>
                <w:szCs w:val="21"/>
                <w:vertAlign w:val="subscript"/>
              </w:rPr>
              <w:t>2</w:t>
            </w:r>
            <w:r>
              <w:rPr>
                <w:sz w:val="21"/>
                <w:szCs w:val="21"/>
              </w:rPr>
              <w:t>, eau)</w:t>
            </w:r>
          </w:p>
        </w:tc>
        <w:tc>
          <w:tcPr>
            <w:tcW w:w="7229" w:type="dxa"/>
            <w:tcBorders>
              <w:top w:val="dotted" w:sz="4" w:space="0" w:color="000000" w:themeColor="text1"/>
              <w:left w:val="nil"/>
              <w:bottom w:val="dotted" w:sz="4" w:space="0" w:color="000000" w:themeColor="text1"/>
              <w:right w:val="nil"/>
            </w:tcBorders>
            <w:shd w:val="clear" w:color="auto" w:fill="auto"/>
            <w:vAlign w:val="center"/>
          </w:tcPr>
          <w:p w14:paraId="2C9CD911" w14:textId="36CB805A"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Plan d’approvisionnement en biomasse détaillé, respectant les critères de durabilité de la RED III</w:t>
            </w:r>
          </w:p>
          <w:p w14:paraId="184028F6"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Plans d’approvisionnement en électricité, CO</w:t>
            </w:r>
            <w:r>
              <w:rPr>
                <w:sz w:val="21"/>
                <w:szCs w:val="21"/>
                <w:vertAlign w:val="subscript"/>
              </w:rPr>
              <w:t>2</w:t>
            </w:r>
            <w:r>
              <w:rPr>
                <w:sz w:val="21"/>
                <w:szCs w:val="21"/>
              </w:rPr>
              <w:t>,</w:t>
            </w:r>
            <w:r>
              <w:rPr>
                <w:sz w:val="21"/>
                <w:szCs w:val="21"/>
                <w:vertAlign w:val="subscript"/>
              </w:rPr>
              <w:t xml:space="preserve"> </w:t>
            </w:r>
            <w:r>
              <w:rPr>
                <w:sz w:val="21"/>
                <w:szCs w:val="21"/>
              </w:rPr>
              <w:t>H</w:t>
            </w:r>
            <w:r>
              <w:rPr>
                <w:sz w:val="21"/>
                <w:szCs w:val="21"/>
                <w:vertAlign w:val="subscript"/>
              </w:rPr>
              <w:t>2</w:t>
            </w:r>
            <w:r>
              <w:rPr>
                <w:sz w:val="21"/>
                <w:szCs w:val="21"/>
              </w:rPr>
              <w:t xml:space="preserve"> et eau</w:t>
            </w:r>
          </w:p>
          <w:p w14:paraId="7070194A"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Etudes engagées avec un fournisseur d’électricité</w:t>
            </w:r>
          </w:p>
        </w:tc>
        <w:tc>
          <w:tcPr>
            <w:tcW w:w="3685" w:type="dxa"/>
            <w:tcBorders>
              <w:top w:val="dotted" w:sz="4" w:space="0" w:color="000000" w:themeColor="text1"/>
              <w:left w:val="nil"/>
              <w:bottom w:val="dotted" w:sz="4" w:space="0" w:color="000000" w:themeColor="text1"/>
              <w:right w:val="single" w:sz="4" w:space="0" w:color="auto"/>
            </w:tcBorders>
            <w:shd w:val="clear" w:color="auto" w:fill="auto"/>
            <w:vAlign w:val="center"/>
          </w:tcPr>
          <w:p w14:paraId="1787275E"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 9 pour l’intrant biomasse qui devra être transmise à l’ADEME au plus tard un mois avant le dépôt du dossier. L’ADEME lancera alors la procédure de validation par la cellule biomasse régionale</w:t>
            </w:r>
          </w:p>
          <w:p w14:paraId="36FE01D0"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 10 pour les intrants électricité, CO</w:t>
            </w:r>
            <w:r>
              <w:rPr>
                <w:sz w:val="21"/>
                <w:szCs w:val="21"/>
                <w:vertAlign w:val="subscript"/>
              </w:rPr>
              <w:t>2</w:t>
            </w:r>
            <w:r>
              <w:rPr>
                <w:sz w:val="21"/>
                <w:szCs w:val="21"/>
              </w:rPr>
              <w:t>, H</w:t>
            </w:r>
            <w:r>
              <w:rPr>
                <w:sz w:val="21"/>
                <w:szCs w:val="21"/>
                <w:vertAlign w:val="subscript"/>
              </w:rPr>
              <w:t>2</w:t>
            </w:r>
            <w:r>
              <w:rPr>
                <w:sz w:val="21"/>
                <w:szCs w:val="21"/>
              </w:rPr>
              <w:t>, et eau</w:t>
            </w:r>
          </w:p>
          <w:p w14:paraId="49985909"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Demande de raccordement (ou demande de PTF) au fournisseur d’électricité</w:t>
            </w:r>
          </w:p>
        </w:tc>
      </w:tr>
      <w:tr w:rsidR="00100C87" w14:paraId="46098112" w14:textId="77777777">
        <w:trPr>
          <w:trHeight w:val="1077"/>
        </w:trPr>
        <w:tc>
          <w:tcPr>
            <w:tcW w:w="1702" w:type="dxa"/>
            <w:vMerge/>
            <w:vAlign w:val="center"/>
          </w:tcPr>
          <w:p w14:paraId="3497266A" w14:textId="77777777" w:rsidR="00100C87" w:rsidRDefault="00100C87">
            <w:pPr>
              <w:rPr>
                <w:sz w:val="21"/>
                <w:szCs w:val="21"/>
              </w:rPr>
            </w:pPr>
          </w:p>
        </w:tc>
        <w:tc>
          <w:tcPr>
            <w:tcW w:w="2268" w:type="dxa"/>
            <w:tcBorders>
              <w:top w:val="dotted" w:sz="4" w:space="0" w:color="000000" w:themeColor="text1"/>
              <w:left w:val="nil"/>
              <w:bottom w:val="single" w:sz="4" w:space="0" w:color="auto"/>
              <w:right w:val="nil"/>
            </w:tcBorders>
            <w:shd w:val="clear" w:color="auto" w:fill="F2F2F2" w:themeFill="background1" w:themeFillShade="F2"/>
            <w:vAlign w:val="center"/>
          </w:tcPr>
          <w:p w14:paraId="25A97645" w14:textId="77777777" w:rsidR="00100C87" w:rsidRDefault="00316DA2">
            <w:pPr>
              <w:jc w:val="left"/>
              <w:rPr>
                <w:sz w:val="21"/>
                <w:szCs w:val="21"/>
              </w:rPr>
            </w:pPr>
            <w:r>
              <w:rPr>
                <w:sz w:val="21"/>
                <w:szCs w:val="21"/>
              </w:rPr>
              <w:t>Critère économique</w:t>
            </w:r>
          </w:p>
        </w:tc>
        <w:tc>
          <w:tcPr>
            <w:tcW w:w="7229" w:type="dxa"/>
            <w:tcBorders>
              <w:top w:val="dotted" w:sz="4" w:space="0" w:color="000000" w:themeColor="text1"/>
              <w:left w:val="nil"/>
              <w:bottom w:val="single" w:sz="4" w:space="0" w:color="auto"/>
              <w:right w:val="nil"/>
            </w:tcBorders>
            <w:shd w:val="clear" w:color="auto" w:fill="auto"/>
            <w:vAlign w:val="center"/>
          </w:tcPr>
          <w:p w14:paraId="712AECA9" w14:textId="77777777" w:rsidR="00100C87" w:rsidRDefault="00316DA2">
            <w:pPr>
              <w:numPr>
                <w:ilvl w:val="0"/>
                <w:numId w:val="12"/>
              </w:numPr>
              <w:spacing w:after="0"/>
              <w:ind w:left="376" w:hanging="218"/>
              <w:jc w:val="left"/>
              <w:rPr>
                <w:sz w:val="21"/>
                <w:szCs w:val="21"/>
              </w:rPr>
            </w:pPr>
            <w:r>
              <w:rPr>
                <w:sz w:val="21"/>
                <w:szCs w:val="21"/>
              </w:rPr>
              <w:t>Coût de production du carburant et prix de vente cibles en considérant un coût d’achat prévisionnel d’électricité et la valorisation des co-produits (sur la base d’hypothèses qui devront être décrites précisément et étayées dans l’annexe 3.a)</w:t>
            </w:r>
          </w:p>
        </w:tc>
        <w:tc>
          <w:tcPr>
            <w:tcW w:w="3685" w:type="dxa"/>
            <w:tcBorders>
              <w:top w:val="dotted" w:sz="4" w:space="0" w:color="000000" w:themeColor="text1"/>
              <w:left w:val="nil"/>
              <w:bottom w:val="single" w:sz="4" w:space="0" w:color="auto"/>
              <w:right w:val="single" w:sz="4" w:space="0" w:color="auto"/>
            </w:tcBorders>
            <w:shd w:val="clear" w:color="auto" w:fill="auto"/>
            <w:vAlign w:val="center"/>
          </w:tcPr>
          <w:p w14:paraId="16C6070F" w14:textId="31F80253" w:rsidR="00100C87" w:rsidRDefault="00316DA2">
            <w:pPr>
              <w:pBdr>
                <w:top w:val="nil"/>
                <w:left w:val="nil"/>
                <w:bottom w:val="nil"/>
                <w:right w:val="nil"/>
                <w:between w:val="nil"/>
              </w:pBdr>
              <w:spacing w:after="0"/>
              <w:jc w:val="left"/>
              <w:rPr>
                <w:sz w:val="21"/>
                <w:szCs w:val="21"/>
              </w:rPr>
            </w:pPr>
            <w:r>
              <w:rPr>
                <w:sz w:val="21"/>
                <w:szCs w:val="21"/>
              </w:rPr>
              <w:t xml:space="preserve"> - Annexes 3.a ; </w:t>
            </w:r>
            <w:proofErr w:type="gramStart"/>
            <w:r>
              <w:rPr>
                <w:sz w:val="21"/>
                <w:szCs w:val="21"/>
              </w:rPr>
              <w:t>3.b</w:t>
            </w:r>
            <w:proofErr w:type="gramEnd"/>
          </w:p>
        </w:tc>
      </w:tr>
      <w:tr w:rsidR="00100C87" w14:paraId="29EF256A" w14:textId="77777777">
        <w:trPr>
          <w:trHeight w:val="1833"/>
        </w:trPr>
        <w:tc>
          <w:tcPr>
            <w:tcW w:w="1702" w:type="dxa"/>
            <w:vMerge/>
            <w:vAlign w:val="center"/>
          </w:tcPr>
          <w:p w14:paraId="75A97956"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dotted" w:sz="4" w:space="0" w:color="000000" w:themeColor="text1"/>
              <w:left w:val="nil"/>
              <w:bottom w:val="single" w:sz="4" w:space="0" w:color="auto"/>
              <w:right w:val="nil"/>
            </w:tcBorders>
            <w:shd w:val="clear" w:color="auto" w:fill="F2F2F2" w:themeFill="background1" w:themeFillShade="F2"/>
            <w:vAlign w:val="center"/>
          </w:tcPr>
          <w:p w14:paraId="01A0C45E" w14:textId="77777777" w:rsidR="00100C87" w:rsidRDefault="00316DA2">
            <w:pPr>
              <w:spacing w:after="0"/>
              <w:jc w:val="left"/>
              <w:rPr>
                <w:sz w:val="21"/>
                <w:szCs w:val="21"/>
              </w:rPr>
            </w:pPr>
            <w:r>
              <w:rPr>
                <w:sz w:val="21"/>
                <w:szCs w:val="21"/>
              </w:rPr>
              <w:t>Impacts</w:t>
            </w:r>
          </w:p>
        </w:tc>
        <w:tc>
          <w:tcPr>
            <w:tcW w:w="7229" w:type="dxa"/>
            <w:tcBorders>
              <w:top w:val="dotted" w:sz="4" w:space="0" w:color="000000" w:themeColor="text1"/>
              <w:left w:val="nil"/>
              <w:bottom w:val="single" w:sz="4" w:space="0" w:color="auto"/>
              <w:right w:val="nil"/>
            </w:tcBorders>
            <w:shd w:val="clear" w:color="auto" w:fill="auto"/>
            <w:vAlign w:val="center"/>
          </w:tcPr>
          <w:p w14:paraId="0F9A01D3" w14:textId="77777777" w:rsidR="00100C87" w:rsidRDefault="00100C87">
            <w:pPr>
              <w:pBdr>
                <w:top w:val="nil"/>
                <w:left w:val="nil"/>
                <w:bottom w:val="nil"/>
                <w:right w:val="nil"/>
                <w:between w:val="nil"/>
              </w:pBdr>
              <w:spacing w:after="0"/>
              <w:ind w:left="376"/>
              <w:rPr>
                <w:sz w:val="21"/>
                <w:szCs w:val="21"/>
              </w:rPr>
            </w:pPr>
          </w:p>
          <w:p w14:paraId="2244AD8F"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Quantification des éléments annoncés en annexe 5 (sur la base d’une évaluation environnementale type ACV)</w:t>
            </w:r>
          </w:p>
          <w:p w14:paraId="3FC304E1"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Performance environnementale, économique, sociale</w:t>
            </w:r>
          </w:p>
          <w:p w14:paraId="379EF73B"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Efficacité des aides €d’aide/tCO</w:t>
            </w:r>
            <w:r>
              <w:rPr>
                <w:sz w:val="21"/>
                <w:szCs w:val="21"/>
                <w:vertAlign w:val="subscript"/>
              </w:rPr>
              <w:t>2</w:t>
            </w:r>
            <w:r>
              <w:rPr>
                <w:sz w:val="21"/>
                <w:szCs w:val="21"/>
              </w:rPr>
              <w:t xml:space="preserve"> évitée</w:t>
            </w:r>
          </w:p>
        </w:tc>
        <w:tc>
          <w:tcPr>
            <w:tcW w:w="3685" w:type="dxa"/>
            <w:tcBorders>
              <w:top w:val="dotted" w:sz="4" w:space="0" w:color="000000" w:themeColor="text1"/>
              <w:left w:val="nil"/>
              <w:bottom w:val="single" w:sz="4" w:space="0" w:color="auto"/>
              <w:right w:val="single" w:sz="4" w:space="0" w:color="auto"/>
            </w:tcBorders>
            <w:shd w:val="clear" w:color="auto" w:fill="auto"/>
            <w:vAlign w:val="center"/>
          </w:tcPr>
          <w:p w14:paraId="687F592A" w14:textId="77777777" w:rsidR="00100C87" w:rsidRDefault="00100C87">
            <w:pPr>
              <w:pBdr>
                <w:top w:val="nil"/>
                <w:left w:val="nil"/>
                <w:bottom w:val="nil"/>
                <w:right w:val="nil"/>
                <w:between w:val="nil"/>
              </w:pBdr>
              <w:spacing w:after="0"/>
              <w:ind w:left="376"/>
              <w:jc w:val="left"/>
              <w:rPr>
                <w:sz w:val="21"/>
                <w:szCs w:val="21"/>
              </w:rPr>
            </w:pPr>
          </w:p>
          <w:p w14:paraId="788C8C14"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Annexes 3.a, 5</w:t>
            </w:r>
          </w:p>
          <w:p w14:paraId="42E6C3B7" w14:textId="77777777" w:rsidR="00100C87" w:rsidRDefault="00100C87">
            <w:pPr>
              <w:pBdr>
                <w:top w:val="nil"/>
                <w:left w:val="nil"/>
                <w:bottom w:val="nil"/>
                <w:right w:val="nil"/>
                <w:between w:val="nil"/>
              </w:pBdr>
              <w:spacing w:after="0"/>
              <w:jc w:val="left"/>
              <w:rPr>
                <w:sz w:val="21"/>
                <w:szCs w:val="21"/>
              </w:rPr>
            </w:pPr>
          </w:p>
        </w:tc>
      </w:tr>
      <w:tr w:rsidR="00100C87" w14:paraId="4408990F" w14:textId="77777777">
        <w:trPr>
          <w:trHeight w:val="850"/>
        </w:trPr>
        <w:tc>
          <w:tcPr>
            <w:tcW w:w="1702"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67B167E" w14:textId="77777777" w:rsidR="00100C87" w:rsidRDefault="00316DA2">
            <w:pPr>
              <w:spacing w:after="0"/>
              <w:jc w:val="left"/>
              <w:rPr>
                <w:sz w:val="21"/>
                <w:szCs w:val="21"/>
              </w:rPr>
            </w:pPr>
            <w:r>
              <w:rPr>
                <w:sz w:val="21"/>
                <w:szCs w:val="21"/>
              </w:rPr>
              <w:t>Marché</w:t>
            </w:r>
          </w:p>
        </w:tc>
        <w:tc>
          <w:tcPr>
            <w:tcW w:w="2268" w:type="dxa"/>
            <w:tcBorders>
              <w:top w:val="single" w:sz="4" w:space="0" w:color="auto"/>
              <w:left w:val="single" w:sz="4" w:space="0" w:color="auto"/>
              <w:bottom w:val="dotted" w:sz="4" w:space="0" w:color="000000" w:themeColor="text1"/>
              <w:right w:val="nil"/>
            </w:tcBorders>
            <w:shd w:val="clear" w:color="auto" w:fill="F2F2F2" w:themeFill="background1" w:themeFillShade="F2"/>
            <w:vAlign w:val="center"/>
          </w:tcPr>
          <w:p w14:paraId="4B1AC873" w14:textId="77777777" w:rsidR="00100C87" w:rsidRDefault="00316DA2">
            <w:pPr>
              <w:spacing w:after="0"/>
              <w:jc w:val="left"/>
              <w:rPr>
                <w:sz w:val="21"/>
                <w:szCs w:val="21"/>
              </w:rPr>
            </w:pPr>
            <w:r>
              <w:rPr>
                <w:sz w:val="21"/>
                <w:szCs w:val="21"/>
              </w:rPr>
              <w:t>Réplicabilité de la Solution</w:t>
            </w:r>
          </w:p>
        </w:tc>
        <w:tc>
          <w:tcPr>
            <w:tcW w:w="7229" w:type="dxa"/>
            <w:tcBorders>
              <w:top w:val="single" w:sz="4" w:space="0" w:color="auto"/>
              <w:left w:val="nil"/>
              <w:bottom w:val="dotted" w:sz="4" w:space="0" w:color="000000" w:themeColor="text1"/>
              <w:right w:val="nil"/>
            </w:tcBorders>
            <w:shd w:val="clear" w:color="auto" w:fill="auto"/>
            <w:vAlign w:val="center"/>
          </w:tcPr>
          <w:p w14:paraId="5D88B419" w14:textId="77777777" w:rsidR="00100C87" w:rsidRDefault="00100C87">
            <w:pPr>
              <w:pBdr>
                <w:top w:val="nil"/>
                <w:left w:val="nil"/>
                <w:bottom w:val="nil"/>
                <w:right w:val="nil"/>
                <w:between w:val="nil"/>
              </w:pBdr>
              <w:spacing w:after="0"/>
              <w:ind w:left="376"/>
              <w:rPr>
                <w:sz w:val="21"/>
                <w:szCs w:val="21"/>
              </w:rPr>
            </w:pPr>
          </w:p>
          <w:p w14:paraId="6072187E"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Caractère généralisable du procédé de production du carburant durable</w:t>
            </w:r>
          </w:p>
          <w:p w14:paraId="14228BD1"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Stratégie de déploiement du procédé de production au niveau national et à l’international</w:t>
            </w:r>
          </w:p>
          <w:p w14:paraId="0C5A95F0"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Stratégie de protection de la propriété intellectuelle développée</w:t>
            </w:r>
          </w:p>
          <w:p w14:paraId="0A36D6D5" w14:textId="77777777" w:rsidR="00100C87" w:rsidRDefault="00100C87">
            <w:pPr>
              <w:pBdr>
                <w:top w:val="nil"/>
                <w:left w:val="nil"/>
                <w:bottom w:val="nil"/>
                <w:right w:val="nil"/>
                <w:between w:val="nil"/>
              </w:pBdr>
              <w:spacing w:after="0"/>
              <w:ind w:left="376"/>
              <w:rPr>
                <w:sz w:val="21"/>
                <w:szCs w:val="21"/>
              </w:rPr>
            </w:pPr>
          </w:p>
        </w:tc>
        <w:tc>
          <w:tcPr>
            <w:tcW w:w="3685" w:type="dxa"/>
            <w:tcBorders>
              <w:top w:val="single" w:sz="4" w:space="0" w:color="auto"/>
              <w:left w:val="nil"/>
              <w:bottom w:val="dotted" w:sz="4" w:space="0" w:color="000000" w:themeColor="text1"/>
              <w:right w:val="single" w:sz="4" w:space="0" w:color="auto"/>
            </w:tcBorders>
            <w:shd w:val="clear" w:color="auto" w:fill="auto"/>
            <w:vAlign w:val="center"/>
          </w:tcPr>
          <w:p w14:paraId="74DC5728"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Annexes 3.a, </w:t>
            </w:r>
            <w:proofErr w:type="gramStart"/>
            <w:r>
              <w:rPr>
                <w:sz w:val="21"/>
                <w:szCs w:val="21"/>
              </w:rPr>
              <w:t>3.b</w:t>
            </w:r>
            <w:proofErr w:type="gramEnd"/>
          </w:p>
        </w:tc>
      </w:tr>
      <w:tr w:rsidR="00100C87" w14:paraId="45DAD5AE" w14:textId="77777777">
        <w:trPr>
          <w:trHeight w:val="850"/>
        </w:trPr>
        <w:tc>
          <w:tcPr>
            <w:tcW w:w="1702" w:type="dxa"/>
            <w:vMerge/>
            <w:vAlign w:val="center"/>
          </w:tcPr>
          <w:p w14:paraId="18E4B449"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dotted" w:sz="4" w:space="0" w:color="000000" w:themeColor="text1"/>
              <w:left w:val="nil"/>
              <w:bottom w:val="single" w:sz="4" w:space="0" w:color="auto"/>
              <w:right w:val="nil"/>
            </w:tcBorders>
            <w:shd w:val="clear" w:color="auto" w:fill="F2F2F2" w:themeFill="background1" w:themeFillShade="F2"/>
            <w:vAlign w:val="center"/>
          </w:tcPr>
          <w:p w14:paraId="18E51436" w14:textId="77777777" w:rsidR="00100C87" w:rsidRDefault="00316DA2">
            <w:pPr>
              <w:spacing w:after="0"/>
              <w:jc w:val="left"/>
              <w:rPr>
                <w:sz w:val="21"/>
                <w:szCs w:val="21"/>
              </w:rPr>
            </w:pPr>
            <w:r>
              <w:rPr>
                <w:sz w:val="21"/>
                <w:szCs w:val="21"/>
              </w:rPr>
              <w:t>Pertinence du modèle d’affaires</w:t>
            </w:r>
          </w:p>
        </w:tc>
        <w:tc>
          <w:tcPr>
            <w:tcW w:w="7229" w:type="dxa"/>
            <w:tcBorders>
              <w:top w:val="dotted" w:sz="4" w:space="0" w:color="000000" w:themeColor="text1"/>
              <w:left w:val="nil"/>
              <w:bottom w:val="single" w:sz="4" w:space="0" w:color="auto"/>
              <w:right w:val="nil"/>
            </w:tcBorders>
            <w:shd w:val="clear" w:color="auto" w:fill="auto"/>
            <w:vAlign w:val="center"/>
          </w:tcPr>
          <w:p w14:paraId="27451E3B"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Clé de répartition entre les produits (%) : % de production des carburants (aéronautique, maritime, routier) et % d’autres co-produits. Précision par ailleurs sur les autres externalités (chaleur, utilités, </w:t>
            </w:r>
            <w:proofErr w:type="spellStart"/>
            <w:r>
              <w:rPr>
                <w:sz w:val="21"/>
                <w:szCs w:val="21"/>
              </w:rPr>
              <w:t>etc</w:t>
            </w:r>
            <w:proofErr w:type="spellEnd"/>
            <w:r>
              <w:rPr>
                <w:sz w:val="21"/>
                <w:szCs w:val="21"/>
              </w:rPr>
              <w:t>).</w:t>
            </w:r>
          </w:p>
          <w:p w14:paraId="21A58345"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Accès aux marchés et modèle d’affaires (produits et services envisagés / segments de marchés)</w:t>
            </w:r>
          </w:p>
          <w:p w14:paraId="65A9ACA1"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Qualité du modèle économique </w:t>
            </w:r>
          </w:p>
          <w:p w14:paraId="39509007"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Plan d’affaires et hypothèses étayés : analyse concurrentielle, manifestations d’intérêt, …</w:t>
            </w:r>
          </w:p>
          <w:p w14:paraId="62B239D4" w14:textId="77777777" w:rsidR="00100C87" w:rsidRDefault="00316DA2">
            <w:pPr>
              <w:numPr>
                <w:ilvl w:val="0"/>
                <w:numId w:val="12"/>
              </w:numPr>
              <w:pBdr>
                <w:top w:val="nil"/>
                <w:left w:val="nil"/>
                <w:bottom w:val="nil"/>
                <w:right w:val="nil"/>
                <w:between w:val="nil"/>
              </w:pBdr>
              <w:spacing w:after="0"/>
              <w:ind w:left="376" w:hanging="218"/>
              <w:rPr>
                <w:sz w:val="21"/>
                <w:szCs w:val="21"/>
              </w:rPr>
            </w:pPr>
            <w:r>
              <w:rPr>
                <w:sz w:val="21"/>
                <w:szCs w:val="21"/>
              </w:rPr>
              <w:t>Rentabilité du projet par rapport à un benchmark international (cibles de prix à l’importation)</w:t>
            </w:r>
          </w:p>
          <w:p w14:paraId="6A615952"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Lettres d’intention ou contrats signés avec de possibles </w:t>
            </w:r>
            <w:proofErr w:type="spellStart"/>
            <w:r>
              <w:rPr>
                <w:sz w:val="21"/>
                <w:szCs w:val="21"/>
              </w:rPr>
              <w:t>offtakers</w:t>
            </w:r>
            <w:proofErr w:type="spellEnd"/>
          </w:p>
          <w:p w14:paraId="33ACA0CA"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Connexion à l’infrastructure nationale pour le transport du carburant</w:t>
            </w:r>
          </w:p>
        </w:tc>
        <w:tc>
          <w:tcPr>
            <w:tcW w:w="3685" w:type="dxa"/>
            <w:tcBorders>
              <w:top w:val="dotted" w:sz="4" w:space="0" w:color="000000" w:themeColor="text1"/>
              <w:left w:val="nil"/>
              <w:bottom w:val="single" w:sz="4" w:space="0" w:color="auto"/>
              <w:right w:val="single" w:sz="4" w:space="0" w:color="auto"/>
            </w:tcBorders>
            <w:shd w:val="clear" w:color="auto" w:fill="auto"/>
            <w:vAlign w:val="center"/>
          </w:tcPr>
          <w:p w14:paraId="00A144D8"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Annexes 3.a, </w:t>
            </w:r>
            <w:proofErr w:type="gramStart"/>
            <w:r>
              <w:rPr>
                <w:sz w:val="21"/>
                <w:szCs w:val="21"/>
              </w:rPr>
              <w:t>3.b</w:t>
            </w:r>
            <w:proofErr w:type="gramEnd"/>
          </w:p>
        </w:tc>
      </w:tr>
      <w:tr w:rsidR="00100C87" w14:paraId="2AF4CEAB" w14:textId="77777777">
        <w:trPr>
          <w:trHeight w:val="794"/>
        </w:trPr>
        <w:tc>
          <w:tcPr>
            <w:tcW w:w="17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44B6D" w14:textId="77777777" w:rsidR="00100C87" w:rsidRDefault="00316DA2">
            <w:pPr>
              <w:spacing w:after="0"/>
              <w:jc w:val="left"/>
              <w:rPr>
                <w:sz w:val="21"/>
                <w:szCs w:val="21"/>
              </w:rPr>
            </w:pPr>
            <w:r>
              <w:rPr>
                <w:sz w:val="21"/>
                <w:szCs w:val="21"/>
              </w:rPr>
              <w:t>Post-projet</w:t>
            </w:r>
          </w:p>
        </w:tc>
        <w:tc>
          <w:tcPr>
            <w:tcW w:w="2268" w:type="dxa"/>
            <w:tcBorders>
              <w:top w:val="single" w:sz="4" w:space="0" w:color="auto"/>
              <w:left w:val="single" w:sz="4" w:space="0" w:color="auto"/>
              <w:bottom w:val="dotted" w:sz="4" w:space="0" w:color="000000" w:themeColor="text1"/>
              <w:right w:val="nil"/>
            </w:tcBorders>
            <w:shd w:val="clear" w:color="auto" w:fill="F2F2F2" w:themeFill="background1" w:themeFillShade="F2"/>
            <w:vAlign w:val="center"/>
          </w:tcPr>
          <w:p w14:paraId="120E8A63" w14:textId="77777777" w:rsidR="00100C87" w:rsidRDefault="00316DA2">
            <w:pPr>
              <w:spacing w:after="0"/>
              <w:jc w:val="left"/>
              <w:rPr>
                <w:sz w:val="21"/>
                <w:szCs w:val="21"/>
              </w:rPr>
            </w:pPr>
            <w:r>
              <w:rPr>
                <w:sz w:val="21"/>
                <w:szCs w:val="21"/>
              </w:rPr>
              <w:t>Impacts socio-économiques</w:t>
            </w:r>
          </w:p>
        </w:tc>
        <w:tc>
          <w:tcPr>
            <w:tcW w:w="7229" w:type="dxa"/>
            <w:tcBorders>
              <w:top w:val="single" w:sz="4" w:space="0" w:color="auto"/>
              <w:left w:val="nil"/>
              <w:bottom w:val="dotted" w:sz="4" w:space="0" w:color="000000" w:themeColor="text1"/>
              <w:right w:val="nil"/>
            </w:tcBorders>
            <w:shd w:val="clear" w:color="auto" w:fill="auto"/>
            <w:vAlign w:val="center"/>
          </w:tcPr>
          <w:p w14:paraId="52DFC01F"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Perspectives de création ou de maintien de l’emploi </w:t>
            </w:r>
          </w:p>
          <w:p w14:paraId="6CDA3C07"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Bénéfices attendus du projet, directs et induits, pour l’écosystème</w:t>
            </w:r>
          </w:p>
          <w:p w14:paraId="0B3DBF6C"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Enjeux sociaux et sociétaux, le cas échéant, territoriaux</w:t>
            </w:r>
          </w:p>
        </w:tc>
        <w:tc>
          <w:tcPr>
            <w:tcW w:w="3685" w:type="dxa"/>
            <w:tcBorders>
              <w:top w:val="single" w:sz="4" w:space="0" w:color="auto"/>
              <w:left w:val="nil"/>
              <w:bottom w:val="dotted" w:sz="4" w:space="0" w:color="000000" w:themeColor="text1"/>
              <w:right w:val="single" w:sz="4" w:space="0" w:color="auto"/>
            </w:tcBorders>
            <w:shd w:val="clear" w:color="auto" w:fill="auto"/>
            <w:vAlign w:val="center"/>
          </w:tcPr>
          <w:p w14:paraId="5AE554D8"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 xml:space="preserve">Annexe </w:t>
            </w:r>
            <w:proofErr w:type="gramStart"/>
            <w:r>
              <w:rPr>
                <w:sz w:val="21"/>
                <w:szCs w:val="21"/>
              </w:rPr>
              <w:t>3.a</w:t>
            </w:r>
            <w:proofErr w:type="gramEnd"/>
          </w:p>
        </w:tc>
      </w:tr>
      <w:tr w:rsidR="00100C87" w14:paraId="32C85638" w14:textId="77777777">
        <w:trPr>
          <w:trHeight w:val="794"/>
        </w:trPr>
        <w:tc>
          <w:tcPr>
            <w:tcW w:w="1702" w:type="dxa"/>
            <w:vMerge/>
            <w:vAlign w:val="center"/>
          </w:tcPr>
          <w:p w14:paraId="0CA934B1" w14:textId="77777777" w:rsidR="00100C87" w:rsidRDefault="00100C87">
            <w:pPr>
              <w:widowControl w:val="0"/>
              <w:pBdr>
                <w:top w:val="nil"/>
                <w:left w:val="nil"/>
                <w:bottom w:val="nil"/>
                <w:right w:val="nil"/>
                <w:between w:val="nil"/>
              </w:pBdr>
              <w:spacing w:after="0"/>
              <w:jc w:val="left"/>
              <w:rPr>
                <w:sz w:val="21"/>
                <w:szCs w:val="21"/>
              </w:rPr>
            </w:pPr>
          </w:p>
        </w:tc>
        <w:tc>
          <w:tcPr>
            <w:tcW w:w="2268" w:type="dxa"/>
            <w:tcBorders>
              <w:top w:val="dotted" w:sz="4" w:space="0" w:color="000000" w:themeColor="text1"/>
              <w:left w:val="nil"/>
              <w:bottom w:val="single" w:sz="4" w:space="0" w:color="auto"/>
              <w:right w:val="nil"/>
            </w:tcBorders>
            <w:shd w:val="clear" w:color="auto" w:fill="F2F2F2" w:themeFill="background1" w:themeFillShade="F2"/>
            <w:vAlign w:val="center"/>
          </w:tcPr>
          <w:p w14:paraId="5257111D" w14:textId="77777777" w:rsidR="00100C87" w:rsidRDefault="00316DA2">
            <w:pPr>
              <w:spacing w:after="0"/>
              <w:jc w:val="left"/>
              <w:rPr>
                <w:sz w:val="21"/>
                <w:szCs w:val="21"/>
              </w:rPr>
            </w:pPr>
            <w:r>
              <w:rPr>
                <w:sz w:val="21"/>
                <w:szCs w:val="21"/>
              </w:rPr>
              <w:t>Plan de financement (post-projet)</w:t>
            </w:r>
          </w:p>
        </w:tc>
        <w:tc>
          <w:tcPr>
            <w:tcW w:w="7229" w:type="dxa"/>
            <w:tcBorders>
              <w:top w:val="dotted" w:sz="4" w:space="0" w:color="000000" w:themeColor="text1"/>
              <w:left w:val="nil"/>
              <w:bottom w:val="single" w:sz="4" w:space="0" w:color="auto"/>
              <w:right w:val="nil"/>
            </w:tcBorders>
            <w:shd w:val="clear" w:color="auto" w:fill="auto"/>
            <w:vAlign w:val="center"/>
          </w:tcPr>
          <w:p w14:paraId="713862D1"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Le cas échéant, description des modalités de financement post-projet.</w:t>
            </w:r>
          </w:p>
        </w:tc>
        <w:tc>
          <w:tcPr>
            <w:tcW w:w="3685" w:type="dxa"/>
            <w:tcBorders>
              <w:top w:val="dotted" w:sz="4" w:space="0" w:color="000000" w:themeColor="text1"/>
              <w:left w:val="nil"/>
              <w:bottom w:val="single" w:sz="4" w:space="0" w:color="auto"/>
              <w:right w:val="single" w:sz="4" w:space="0" w:color="auto"/>
            </w:tcBorders>
            <w:shd w:val="clear" w:color="auto" w:fill="auto"/>
            <w:vAlign w:val="center"/>
          </w:tcPr>
          <w:p w14:paraId="1B33F19A" w14:textId="77777777" w:rsidR="00100C87" w:rsidRDefault="00316DA2">
            <w:pPr>
              <w:numPr>
                <w:ilvl w:val="0"/>
                <w:numId w:val="12"/>
              </w:numPr>
              <w:pBdr>
                <w:top w:val="nil"/>
                <w:left w:val="nil"/>
                <w:bottom w:val="nil"/>
                <w:right w:val="nil"/>
                <w:between w:val="nil"/>
              </w:pBdr>
              <w:spacing w:after="0"/>
              <w:ind w:left="376" w:hanging="218"/>
              <w:jc w:val="left"/>
              <w:rPr>
                <w:sz w:val="21"/>
                <w:szCs w:val="21"/>
              </w:rPr>
            </w:pPr>
            <w:r>
              <w:rPr>
                <w:sz w:val="21"/>
                <w:szCs w:val="21"/>
              </w:rPr>
              <w:t>Annexe 6</w:t>
            </w:r>
          </w:p>
        </w:tc>
      </w:tr>
    </w:tbl>
    <w:p w14:paraId="4AA081CD" w14:textId="77777777" w:rsidR="00100C87" w:rsidRDefault="00100C87">
      <w:pPr>
        <w:pBdr>
          <w:top w:val="nil"/>
          <w:left w:val="nil"/>
          <w:bottom w:val="nil"/>
          <w:right w:val="nil"/>
          <w:between w:val="nil"/>
        </w:pBdr>
        <w:spacing w:after="0"/>
      </w:pPr>
      <w:bookmarkStart w:id="46" w:name="_Toc10712180"/>
    </w:p>
    <w:p w14:paraId="0AA07F0D" w14:textId="77777777" w:rsidR="00100C87" w:rsidRDefault="00100C87"/>
    <w:p w14:paraId="4A36C693" w14:textId="77777777" w:rsidR="00100C87" w:rsidRDefault="00100C87">
      <w:pPr>
        <w:pStyle w:val="Sansinterligne"/>
        <w:sectPr w:rsidR="00100C87">
          <w:footerReference w:type="default" r:id="rId28"/>
          <w:footerReference w:type="first" r:id="rId29"/>
          <w:pgSz w:w="16838" w:h="11906" w:orient="landscape"/>
          <w:pgMar w:top="1134" w:right="1134" w:bottom="709" w:left="1134" w:header="567" w:footer="141" w:gutter="0"/>
          <w:cols w:space="720"/>
          <w:titlePg/>
          <w:docGrid w:linePitch="299"/>
        </w:sectPr>
      </w:pPr>
    </w:p>
    <w:p w14:paraId="326CDFBA" w14:textId="77777777" w:rsidR="00100C87" w:rsidRDefault="00316DA2">
      <w:pPr>
        <w:pStyle w:val="Titre1"/>
        <w:spacing w:line="240" w:lineRule="auto"/>
        <w:ind w:left="567" w:hanging="567"/>
      </w:pPr>
      <w:bookmarkStart w:id="47" w:name="_Toc74823239"/>
      <w:bookmarkStart w:id="48" w:name="_Toc75875335"/>
      <w:bookmarkStart w:id="49" w:name="_Toc158208401"/>
      <w:r>
        <w:lastRenderedPageBreak/>
        <w:t xml:space="preserve">Régime d’aides et </w:t>
      </w:r>
      <w:bookmarkEnd w:id="46"/>
      <w:bookmarkEnd w:id="47"/>
      <w:bookmarkEnd w:id="48"/>
      <w:r>
        <w:t>modalités de financement</w:t>
      </w:r>
      <w:bookmarkEnd w:id="49"/>
    </w:p>
    <w:p w14:paraId="15CFB2BF" w14:textId="77777777" w:rsidR="00100C87" w:rsidRDefault="00316DA2">
      <w:pPr>
        <w:pStyle w:val="Titre2"/>
        <w:keepLines/>
        <w:spacing w:before="280" w:line="240" w:lineRule="auto"/>
        <w:jc w:val="left"/>
      </w:pPr>
      <w:bookmarkStart w:id="50" w:name="_Toc158208402"/>
      <w:r>
        <w:t>Régime d’aides et date d’éligibilité des dépenses</w:t>
      </w:r>
      <w:bookmarkEnd w:id="50"/>
    </w:p>
    <w:p w14:paraId="5C090A7F" w14:textId="77777777" w:rsidR="00100C87" w:rsidRDefault="00100C87">
      <w:pPr>
        <w:rPr>
          <w:b/>
        </w:rPr>
      </w:pPr>
    </w:p>
    <w:p w14:paraId="61E4A46B" w14:textId="2386C115" w:rsidR="00100C87" w:rsidRDefault="00316DA2">
      <w:pPr>
        <w:rPr>
          <w:b/>
          <w:bCs/>
          <w:highlight w:val="yellow"/>
        </w:rPr>
      </w:pPr>
      <w:r>
        <w:t xml:space="preserve">Les aides accordées dans le cadre du présent AAP seront octroyées dans le respect de la réglementation européenne applicable en matière d’aides d’Etat. </w:t>
      </w:r>
      <w:r>
        <w:rPr>
          <w:b/>
          <w:bCs/>
        </w:rPr>
        <w:t>Les modalités de versement et de calcul des aides devront ainsi être conformes aux régimes cadres d’aides d’Etat en vigueur à échéance de la contractualisation. Les modalités de financement prévues au titre du présent cahier des charges sont ainsi susceptibles d’évoluer au regard de l’évolution des encadrements européens et des régimes d’aides applicables ou de leur interprétation par la Commission.</w:t>
      </w:r>
    </w:p>
    <w:p w14:paraId="1B84877F" w14:textId="77777777" w:rsidR="00100C87" w:rsidRDefault="00100C87">
      <w:pPr>
        <w:spacing w:after="120"/>
        <w:rPr>
          <w:b/>
        </w:rPr>
      </w:pPr>
    </w:p>
    <w:p w14:paraId="464ED8D2" w14:textId="0A4B1D57" w:rsidR="00100C87" w:rsidRDefault="00316DA2">
      <w:r>
        <w:t>L’intervention publique s’effectue dans le respect de la réglementation communautaire en matière d'aides d'État (articles 107 et 108 du Traité sur le fonctionnement de l’Union européenne), et notamment du Règlement (UE) N° 651/2014 (modifié) du 17 juin 2014 déclarant certaines catégories d'aides compatibles avec le marché intérieur en application des articles 107 et 108 du traité ainsi que des régimes cadres d’aides d’Etat qui en découlent</w:t>
      </w:r>
    </w:p>
    <w:p w14:paraId="1D8434EA" w14:textId="77777777" w:rsidR="00100C87" w:rsidRDefault="00100C87">
      <w:pPr>
        <w:rPr>
          <w:b/>
          <w:bCs/>
        </w:rPr>
      </w:pPr>
      <w:bookmarkStart w:id="51" w:name="_Toc10712181"/>
    </w:p>
    <w:p w14:paraId="73EEA915" w14:textId="77777777" w:rsidR="00100C87" w:rsidRDefault="00316DA2">
      <w:pPr>
        <w:pStyle w:val="Titre2"/>
        <w:keepLines/>
        <w:spacing w:before="280" w:line="240" w:lineRule="auto"/>
        <w:jc w:val="left"/>
      </w:pPr>
      <w:bookmarkStart w:id="52" w:name="_Toc74823240"/>
      <w:bookmarkStart w:id="53" w:name="_Toc75875336"/>
      <w:bookmarkStart w:id="54" w:name="_Toc158208403"/>
      <w:r>
        <w:t>Description des coûts éligibles et retenus</w:t>
      </w:r>
      <w:bookmarkEnd w:id="54"/>
      <w:r>
        <w:t xml:space="preserve"> </w:t>
      </w:r>
      <w:bookmarkEnd w:id="51"/>
      <w:bookmarkEnd w:id="52"/>
      <w:bookmarkEnd w:id="53"/>
    </w:p>
    <w:p w14:paraId="25D96DB0" w14:textId="77777777" w:rsidR="00100C87" w:rsidRDefault="00316DA2">
      <w:pPr>
        <w:pBdr>
          <w:top w:val="nil"/>
          <w:left w:val="nil"/>
          <w:bottom w:val="nil"/>
          <w:right w:val="nil"/>
          <w:between w:val="nil"/>
        </w:pBdr>
        <w:spacing w:after="0"/>
      </w:pPr>
      <w:bookmarkStart w:id="55" w:name="_Description_coûts_éligibles"/>
      <w:bookmarkEnd w:id="55"/>
      <w:r>
        <w:t>Les dépenses éligibles sont directement affectées au projet et correspondent au coût de prestation pour la réalisation des études d’ingénierie préliminaire (FEED).</w:t>
      </w:r>
    </w:p>
    <w:p w14:paraId="5613A762" w14:textId="77777777" w:rsidR="00100C87" w:rsidRDefault="00100C87">
      <w:pPr>
        <w:pBdr>
          <w:top w:val="nil"/>
          <w:left w:val="nil"/>
          <w:bottom w:val="nil"/>
          <w:right w:val="nil"/>
          <w:between w:val="nil"/>
        </w:pBdr>
        <w:spacing w:after="0"/>
      </w:pPr>
    </w:p>
    <w:p w14:paraId="4B094EAA" w14:textId="77777777" w:rsidR="00100C87" w:rsidRDefault="00100C87">
      <w:pPr>
        <w:pBdr>
          <w:top w:val="nil"/>
          <w:left w:val="nil"/>
          <w:bottom w:val="nil"/>
          <w:right w:val="nil"/>
          <w:between w:val="nil"/>
        </w:pBdr>
        <w:spacing w:after="0"/>
      </w:pPr>
    </w:p>
    <w:p w14:paraId="3F1BB775" w14:textId="77777777" w:rsidR="00100C87" w:rsidRDefault="00316DA2">
      <w:pPr>
        <w:pStyle w:val="Titre2"/>
        <w:keepLines/>
        <w:spacing w:before="280" w:line="240" w:lineRule="auto"/>
        <w:jc w:val="left"/>
      </w:pPr>
      <w:bookmarkStart w:id="56" w:name="_Toc10712182"/>
      <w:bookmarkStart w:id="57" w:name="_Toc74823241"/>
      <w:bookmarkStart w:id="58" w:name="_Toc75875337"/>
      <w:bookmarkStart w:id="59" w:name="_Toc158208404"/>
      <w:r>
        <w:t>Aides proposées</w:t>
      </w:r>
      <w:bookmarkEnd w:id="56"/>
      <w:bookmarkEnd w:id="57"/>
      <w:bookmarkEnd w:id="58"/>
      <w:bookmarkEnd w:id="59"/>
    </w:p>
    <w:p w14:paraId="2559EC55" w14:textId="4826F000" w:rsidR="00100C87" w:rsidRDefault="00316DA2">
      <w:pPr>
        <w:spacing w:after="120"/>
      </w:pPr>
      <w:bookmarkStart w:id="60" w:name="_Toc10712183"/>
      <w:r>
        <w:t>Les intensités d’aide maximum applicables au financement des coûts éligibles sont les suivantes :</w:t>
      </w:r>
    </w:p>
    <w:p w14:paraId="05CC30C7" w14:textId="77777777" w:rsidR="00100C87" w:rsidRDefault="00100C87">
      <w:pPr>
        <w:spacing w:after="0"/>
        <w:jc w:val="left"/>
      </w:pPr>
    </w:p>
    <w:tbl>
      <w:tblPr>
        <w:tblStyle w:val="Grilledutableau"/>
        <w:tblW w:w="9434" w:type="dxa"/>
        <w:jc w:val="center"/>
        <w:tblLook w:val="04A0" w:firstRow="1" w:lastRow="0" w:firstColumn="1" w:lastColumn="0" w:noHBand="0" w:noVBand="1"/>
      </w:tblPr>
      <w:tblGrid>
        <w:gridCol w:w="2358"/>
        <w:gridCol w:w="2358"/>
        <w:gridCol w:w="2358"/>
        <w:gridCol w:w="2360"/>
      </w:tblGrid>
      <w:tr w:rsidR="00100C87" w14:paraId="0DDC9640" w14:textId="77777777">
        <w:trPr>
          <w:trHeight w:val="420"/>
          <w:jc w:val="center"/>
        </w:trPr>
        <w:tc>
          <w:tcPr>
            <w:tcW w:w="2358" w:type="dxa"/>
            <w:vMerge w:val="restart"/>
            <w:shd w:val="clear" w:color="auto" w:fill="17365D" w:themeFill="text2" w:themeFillShade="BF"/>
            <w:vAlign w:val="center"/>
          </w:tcPr>
          <w:p w14:paraId="0578091B" w14:textId="77777777" w:rsidR="00100C87" w:rsidRDefault="00100C87">
            <w:pPr>
              <w:jc w:val="center"/>
              <w:rPr>
                <w:rFonts w:ascii="Arial" w:hAnsi="Arial" w:cs="Arial"/>
              </w:rPr>
            </w:pPr>
          </w:p>
        </w:tc>
        <w:tc>
          <w:tcPr>
            <w:tcW w:w="7076" w:type="dxa"/>
            <w:gridSpan w:val="3"/>
            <w:shd w:val="clear" w:color="auto" w:fill="17365D" w:themeFill="text2" w:themeFillShade="BF"/>
            <w:vAlign w:val="center"/>
          </w:tcPr>
          <w:p w14:paraId="6901F6DF" w14:textId="77777777" w:rsidR="00100C87" w:rsidRDefault="00100C87">
            <w:pPr>
              <w:jc w:val="center"/>
              <w:rPr>
                <w:rFonts w:ascii="Arial" w:hAnsi="Arial" w:cs="Arial"/>
                <w:b/>
                <w:bCs/>
              </w:rPr>
            </w:pPr>
          </w:p>
          <w:p w14:paraId="0B68AD58" w14:textId="5410A31B" w:rsidR="00100C87" w:rsidRDefault="00316DA2">
            <w:pPr>
              <w:jc w:val="center"/>
              <w:rPr>
                <w:rFonts w:ascii="Arial" w:hAnsi="Arial" w:cs="Arial"/>
                <w:b/>
                <w:bCs/>
              </w:rPr>
            </w:pPr>
            <w:r>
              <w:rPr>
                <w:rFonts w:ascii="Arial" w:hAnsi="Arial" w:cs="Arial"/>
                <w:b/>
                <w:bCs/>
              </w:rPr>
              <w:t xml:space="preserve">Intensité maximum de l’aide </w:t>
            </w:r>
          </w:p>
          <w:p w14:paraId="49CEC4C3" w14:textId="77777777" w:rsidR="00100C87" w:rsidRDefault="00100C87">
            <w:pPr>
              <w:jc w:val="center"/>
              <w:rPr>
                <w:rFonts w:ascii="Arial" w:hAnsi="Arial" w:cs="Arial"/>
                <w:b/>
                <w:bCs/>
              </w:rPr>
            </w:pPr>
          </w:p>
          <w:p w14:paraId="1C5F44BC" w14:textId="77777777" w:rsidR="00100C87" w:rsidRDefault="00316DA2">
            <w:pPr>
              <w:jc w:val="center"/>
              <w:rPr>
                <w:rFonts w:ascii="Arial" w:hAnsi="Arial" w:cs="Arial"/>
                <w:b/>
                <w:bCs/>
              </w:rPr>
            </w:pPr>
            <w:r>
              <w:rPr>
                <w:rFonts w:ascii="Arial" w:hAnsi="Arial" w:cs="Arial"/>
                <w:b/>
                <w:bCs/>
              </w:rPr>
              <w:t>Bénéficiaire dans le cadre d’une activité économique</w:t>
            </w:r>
          </w:p>
        </w:tc>
      </w:tr>
      <w:tr w:rsidR="00100C87" w14:paraId="3AD8CB39" w14:textId="77777777">
        <w:trPr>
          <w:trHeight w:val="467"/>
          <w:jc w:val="center"/>
        </w:trPr>
        <w:tc>
          <w:tcPr>
            <w:tcW w:w="2358" w:type="dxa"/>
            <w:vMerge/>
            <w:shd w:val="clear" w:color="auto" w:fill="17365D" w:themeFill="text2" w:themeFillShade="BF"/>
            <w:vAlign w:val="center"/>
          </w:tcPr>
          <w:p w14:paraId="627CC055" w14:textId="77777777" w:rsidR="00100C87" w:rsidRDefault="00100C87">
            <w:pPr>
              <w:jc w:val="center"/>
              <w:rPr>
                <w:rFonts w:ascii="Arial" w:hAnsi="Arial" w:cs="Arial"/>
              </w:rPr>
            </w:pPr>
          </w:p>
        </w:tc>
        <w:tc>
          <w:tcPr>
            <w:tcW w:w="2358" w:type="dxa"/>
            <w:shd w:val="clear" w:color="auto" w:fill="17365D" w:themeFill="text2" w:themeFillShade="BF"/>
            <w:vAlign w:val="center"/>
          </w:tcPr>
          <w:p w14:paraId="66EB67B9" w14:textId="77777777" w:rsidR="00100C87" w:rsidRDefault="00316DA2">
            <w:pPr>
              <w:jc w:val="center"/>
              <w:rPr>
                <w:rFonts w:ascii="Arial" w:hAnsi="Arial" w:cs="Arial"/>
              </w:rPr>
            </w:pPr>
            <w:r>
              <w:rPr>
                <w:rFonts w:ascii="Arial" w:hAnsi="Arial" w:cs="Arial"/>
              </w:rPr>
              <w:t>Grande entreprise</w:t>
            </w:r>
          </w:p>
        </w:tc>
        <w:tc>
          <w:tcPr>
            <w:tcW w:w="2358" w:type="dxa"/>
            <w:shd w:val="clear" w:color="auto" w:fill="17365D" w:themeFill="text2" w:themeFillShade="BF"/>
            <w:vAlign w:val="center"/>
          </w:tcPr>
          <w:p w14:paraId="6FF72528" w14:textId="77777777" w:rsidR="00100C87" w:rsidRDefault="00316DA2">
            <w:pPr>
              <w:jc w:val="center"/>
              <w:rPr>
                <w:rFonts w:ascii="Arial" w:hAnsi="Arial" w:cs="Arial"/>
              </w:rPr>
            </w:pPr>
            <w:r>
              <w:rPr>
                <w:rFonts w:ascii="Arial" w:hAnsi="Arial" w:cs="Arial"/>
              </w:rPr>
              <w:t>Moyenne entreprise</w:t>
            </w:r>
          </w:p>
        </w:tc>
        <w:tc>
          <w:tcPr>
            <w:tcW w:w="2358" w:type="dxa"/>
            <w:shd w:val="clear" w:color="auto" w:fill="17365D" w:themeFill="text2" w:themeFillShade="BF"/>
            <w:vAlign w:val="center"/>
          </w:tcPr>
          <w:p w14:paraId="77596085" w14:textId="77777777" w:rsidR="00100C87" w:rsidRDefault="00316DA2">
            <w:pPr>
              <w:jc w:val="center"/>
              <w:rPr>
                <w:rFonts w:ascii="Arial" w:hAnsi="Arial" w:cs="Arial"/>
              </w:rPr>
            </w:pPr>
            <w:r>
              <w:rPr>
                <w:rFonts w:ascii="Arial" w:hAnsi="Arial" w:cs="Arial"/>
              </w:rPr>
              <w:t>Petite entreprise</w:t>
            </w:r>
          </w:p>
        </w:tc>
      </w:tr>
      <w:tr w:rsidR="00100C87" w14:paraId="4830299E" w14:textId="77777777">
        <w:trPr>
          <w:trHeight w:val="864"/>
          <w:jc w:val="center"/>
        </w:trPr>
        <w:tc>
          <w:tcPr>
            <w:tcW w:w="2358" w:type="dxa"/>
            <w:vAlign w:val="center"/>
          </w:tcPr>
          <w:p w14:paraId="29F91BC1" w14:textId="77777777" w:rsidR="00100C87" w:rsidRDefault="00100C87">
            <w:pPr>
              <w:jc w:val="left"/>
              <w:rPr>
                <w:rFonts w:ascii="Arial" w:hAnsi="Arial" w:cs="Arial"/>
                <w:i/>
              </w:rPr>
            </w:pPr>
          </w:p>
        </w:tc>
        <w:tc>
          <w:tcPr>
            <w:tcW w:w="2358" w:type="dxa"/>
            <w:vAlign w:val="center"/>
          </w:tcPr>
          <w:p w14:paraId="54AA90FB" w14:textId="7DE7D4DB" w:rsidR="00100C87" w:rsidRDefault="00316DA2">
            <w:pPr>
              <w:jc w:val="center"/>
              <w:rPr>
                <w:rFonts w:ascii="Arial" w:hAnsi="Arial" w:cs="Arial"/>
              </w:rPr>
            </w:pPr>
            <w:r>
              <w:rPr>
                <w:rFonts w:ascii="Arial" w:hAnsi="Arial" w:cs="Arial"/>
              </w:rPr>
              <w:t>60%</w:t>
            </w:r>
          </w:p>
        </w:tc>
        <w:tc>
          <w:tcPr>
            <w:tcW w:w="2358" w:type="dxa"/>
            <w:shd w:val="clear" w:color="auto" w:fill="auto"/>
            <w:vAlign w:val="center"/>
          </w:tcPr>
          <w:p w14:paraId="2E88CD2B" w14:textId="111CE895" w:rsidR="00100C87" w:rsidRDefault="00316DA2">
            <w:pPr>
              <w:jc w:val="center"/>
              <w:rPr>
                <w:rFonts w:ascii="Arial" w:hAnsi="Arial" w:cs="Arial"/>
              </w:rPr>
            </w:pPr>
            <w:r>
              <w:rPr>
                <w:rFonts w:ascii="Arial" w:hAnsi="Arial" w:cs="Arial"/>
              </w:rPr>
              <w:t>70%</w:t>
            </w:r>
          </w:p>
        </w:tc>
        <w:tc>
          <w:tcPr>
            <w:tcW w:w="2358" w:type="dxa"/>
            <w:vAlign w:val="center"/>
          </w:tcPr>
          <w:p w14:paraId="5133B83F" w14:textId="70254218" w:rsidR="00100C87" w:rsidRDefault="00316DA2">
            <w:pPr>
              <w:jc w:val="center"/>
              <w:rPr>
                <w:rFonts w:ascii="Arial" w:hAnsi="Arial" w:cs="Arial"/>
              </w:rPr>
            </w:pPr>
            <w:r>
              <w:rPr>
                <w:rFonts w:ascii="Arial" w:hAnsi="Arial" w:cs="Arial"/>
              </w:rPr>
              <w:t>80%</w:t>
            </w:r>
          </w:p>
        </w:tc>
      </w:tr>
    </w:tbl>
    <w:p w14:paraId="7AB97F57" w14:textId="77777777" w:rsidR="00100C87" w:rsidRDefault="00100C87">
      <w:pPr>
        <w:spacing w:after="0"/>
        <w:jc w:val="left"/>
      </w:pPr>
    </w:p>
    <w:p w14:paraId="52DF287B" w14:textId="77777777" w:rsidR="00100C87" w:rsidRDefault="00100C87">
      <w:pPr>
        <w:spacing w:after="0"/>
      </w:pPr>
    </w:p>
    <w:p w14:paraId="5620EAE5" w14:textId="3AF10DAF" w:rsidR="00100C87" w:rsidRDefault="00316DA2">
      <w:pPr>
        <w:spacing w:after="0"/>
      </w:pPr>
      <w:r>
        <w:t>Une proratisation de l’aide sera appliquée selon l’approche suivante, pour définir un « Taux Renouvelable » :</w:t>
      </w:r>
    </w:p>
    <w:p w14:paraId="47E048D4" w14:textId="77777777" w:rsidR="00100C87" w:rsidRDefault="00100C87">
      <w:pPr>
        <w:spacing w:after="0"/>
      </w:pPr>
    </w:p>
    <w:p w14:paraId="0256CD9A" w14:textId="77777777" w:rsidR="00100C87" w:rsidRDefault="00316DA2">
      <w:pPr>
        <w:pStyle w:val="Paragraphedeliste"/>
        <w:numPr>
          <w:ilvl w:val="0"/>
          <w:numId w:val="18"/>
        </w:numPr>
        <w:spacing w:after="0"/>
      </w:pPr>
      <w:r>
        <w:t xml:space="preserve">Pour les e-carburants : </w:t>
      </w:r>
    </w:p>
    <w:p w14:paraId="571A4597" w14:textId="77777777" w:rsidR="00100C87" w:rsidRDefault="00100C87">
      <w:pPr>
        <w:spacing w:after="0"/>
      </w:pPr>
    </w:p>
    <w:p w14:paraId="25EC97FD" w14:textId="77777777" w:rsidR="00100C87" w:rsidRDefault="00316DA2">
      <w:pPr>
        <w:spacing w:after="0"/>
        <w:rPr>
          <w:rStyle w:val="ui-provider"/>
        </w:rPr>
      </w:pPr>
      <w:r>
        <w:t xml:space="preserve">L’aide sera proratisée suivant </w:t>
      </w:r>
      <w:r>
        <w:rPr>
          <w:rStyle w:val="ui-provider"/>
        </w:rPr>
        <w:t>la part prévue de e-carburant à base d’hydrogène renouvelable dans le CAD final par rapport à celle d’origine « bas carbone ».</w:t>
      </w:r>
    </w:p>
    <w:p w14:paraId="008F7F22" w14:textId="77777777" w:rsidR="00100C87" w:rsidRDefault="00316DA2">
      <w:pPr>
        <w:spacing w:after="0"/>
        <w:rPr>
          <w:rStyle w:val="ui-provider"/>
        </w:rPr>
      </w:pPr>
      <w:r>
        <w:rPr>
          <w:rStyle w:val="ui-provider"/>
        </w:rPr>
        <w:t>Par exemple, pour un e-carburant avec 80% de H</w:t>
      </w:r>
      <w:r>
        <w:rPr>
          <w:rStyle w:val="ui-provider"/>
          <w:vertAlign w:val="subscript"/>
        </w:rPr>
        <w:t>2</w:t>
      </w:r>
      <w:r>
        <w:rPr>
          <w:rStyle w:val="ui-provider"/>
        </w:rPr>
        <w:t xml:space="preserve"> d’origine renouvelable et 20% d’origine bas </w:t>
      </w:r>
      <w:proofErr w:type="gramStart"/>
      <w:r>
        <w:rPr>
          <w:rStyle w:val="ui-provider"/>
        </w:rPr>
        <w:t>carbone</w:t>
      </w:r>
      <w:proofErr w:type="gramEnd"/>
      <w:r>
        <w:rPr>
          <w:rStyle w:val="ui-provider"/>
        </w:rPr>
        <w:t>, 80% du taux d’aide maximum affiché dans le tableau ci-dessus pourra être accordé.</w:t>
      </w:r>
    </w:p>
    <w:p w14:paraId="1C0CF400" w14:textId="77777777" w:rsidR="00100C87" w:rsidRDefault="00100C87">
      <w:pPr>
        <w:spacing w:after="0"/>
      </w:pPr>
    </w:p>
    <w:p w14:paraId="37F963C4" w14:textId="03FD42A0" w:rsidR="00100C87" w:rsidRDefault="00316DA2">
      <w:pPr>
        <w:pStyle w:val="Paragraphedeliste"/>
        <w:numPr>
          <w:ilvl w:val="0"/>
          <w:numId w:val="18"/>
        </w:numPr>
        <w:spacing w:after="0"/>
      </w:pPr>
      <w:r>
        <w:lastRenderedPageBreak/>
        <w:t xml:space="preserve">Pour les carburants hybrides ou </w:t>
      </w:r>
      <w:proofErr w:type="spellStart"/>
      <w:r>
        <w:t>ebio-carburants</w:t>
      </w:r>
      <w:proofErr w:type="spellEnd"/>
      <w:r>
        <w:t>, c’est-à-dire les carburants dont le contenu énergétique est issu pour partie de biomasse et pour partie de molécules d’origine non-biologique</w:t>
      </w:r>
      <w:r w:rsidR="003B6D31">
        <w:t> :</w:t>
      </w:r>
    </w:p>
    <w:p w14:paraId="75752B48" w14:textId="77777777" w:rsidR="00100C87" w:rsidRDefault="00100C87">
      <w:pPr>
        <w:spacing w:after="0"/>
      </w:pPr>
    </w:p>
    <w:p w14:paraId="2B0A5FD8" w14:textId="77777777" w:rsidR="00100C87" w:rsidRDefault="00316DA2">
      <w:pPr>
        <w:spacing w:after="0"/>
      </w:pPr>
      <w:r>
        <w:t>La même méthode de proratisation sera appliquée suivant la part prévue de contenu énergétique renouvelable du CAD final par rapport au contenu énergétique « bas carbone ».</w:t>
      </w:r>
    </w:p>
    <w:p w14:paraId="480BB085" w14:textId="77777777" w:rsidR="00100C87" w:rsidRDefault="00316DA2">
      <w:pPr>
        <w:spacing w:after="0"/>
      </w:pPr>
      <w:r>
        <w:t>Le contenu énergétique renouvelable correspond au contenu énergétique issu de la biomasse auquel s’ajoute le contenu énergétique issu d’hydrogène renouvelable.</w:t>
      </w:r>
    </w:p>
    <w:p w14:paraId="037FA9FF" w14:textId="77777777" w:rsidR="00100C87" w:rsidRDefault="00100C87">
      <w:pPr>
        <w:spacing w:after="0"/>
      </w:pPr>
    </w:p>
    <w:p w14:paraId="53A960A5" w14:textId="27BCBAB9" w:rsidR="00100C87" w:rsidRDefault="00316DA2">
      <w:pPr>
        <w:spacing w:after="0"/>
      </w:pPr>
      <w:r>
        <w:t>Ce taux renouvelable prévu sera déclaré par le porteur du projet au dépôt du dossier. Il sera discuté avec les experts lors de l’instruction du dossier et potentiellement revu.</w:t>
      </w:r>
    </w:p>
    <w:p w14:paraId="23ED7EF2" w14:textId="77777777" w:rsidR="00100C87" w:rsidRDefault="00100C87">
      <w:pPr>
        <w:spacing w:after="0"/>
      </w:pPr>
    </w:p>
    <w:p w14:paraId="692BDE0E" w14:textId="77777777" w:rsidR="00100C87" w:rsidRDefault="00316DA2">
      <w:pPr>
        <w:spacing w:after="0"/>
      </w:pPr>
      <w:r>
        <w:t xml:space="preserve">L’intensité de l’aide versée sera calculée sur la base des coûts éligibles présentés et sera modulée en fonction du </w:t>
      </w:r>
      <w:r w:rsidRPr="003B6D31">
        <w:t>taux renouvelable</w:t>
      </w:r>
      <w:r>
        <w:t>.</w:t>
      </w:r>
    </w:p>
    <w:p w14:paraId="52F2BE9D" w14:textId="1ACCEAE8" w:rsidR="00100C87" w:rsidRDefault="00100C87">
      <w:pPr>
        <w:spacing w:after="0"/>
      </w:pPr>
    </w:p>
    <w:p w14:paraId="2F47EA3A" w14:textId="77777777" w:rsidR="00100C87" w:rsidRDefault="00100C87"/>
    <w:p w14:paraId="74F17EF8" w14:textId="41D12E0C" w:rsidR="00100C87" w:rsidRDefault="00316DA2">
      <w:r>
        <w:t>Seront également définis les montants de l’avance à notification (15% maximum du montant de l’aide), des versements intermédiaires au cours du projet le cas échéant, et du solde maximal final (50% du montant de l’aide).</w:t>
      </w:r>
    </w:p>
    <w:p w14:paraId="6FA0F05E" w14:textId="77777777" w:rsidR="00100C87" w:rsidRDefault="00100C87"/>
    <w:p w14:paraId="0C324528" w14:textId="77777777" w:rsidR="00100C87" w:rsidRDefault="00316DA2">
      <w:pPr>
        <w:spacing w:after="120"/>
        <w:rPr>
          <w:b/>
        </w:rPr>
      </w:pPr>
      <w:r>
        <w:rPr>
          <w:b/>
        </w:rPr>
        <w:t>L’aide apportée sera sous forme de subvention.</w:t>
      </w:r>
    </w:p>
    <w:p w14:paraId="7F93BE82" w14:textId="77777777" w:rsidR="00100C87" w:rsidRDefault="00100C87">
      <w:pPr>
        <w:spacing w:after="0"/>
      </w:pPr>
    </w:p>
    <w:p w14:paraId="62007D28" w14:textId="6455A506" w:rsidR="00100C87" w:rsidRDefault="00316DA2">
      <w:pPr>
        <w:spacing w:after="0"/>
        <w:rPr>
          <w:u w:val="single"/>
        </w:rPr>
      </w:pPr>
      <w:r>
        <w:rPr>
          <w:u w:val="single"/>
        </w:rPr>
        <w:t xml:space="preserve">Le solde versé pourra être revu à la baisse ou ne sera pas versé si l’investissement industriel révèle un taux renouvelable en fin de projet inférieur à celui-ci prévu au moment de l’instruction ou une décision de ne pas poursuivre l’investissement industriel. </w:t>
      </w:r>
    </w:p>
    <w:p w14:paraId="47CE5227" w14:textId="77777777" w:rsidR="00100C87" w:rsidRDefault="00100C87">
      <w:pPr>
        <w:spacing w:after="0"/>
        <w:rPr>
          <w:u w:val="single"/>
        </w:rPr>
      </w:pPr>
    </w:p>
    <w:p w14:paraId="783F29F9" w14:textId="31684098" w:rsidR="00100C87" w:rsidRDefault="00316DA2">
      <w:pPr>
        <w:spacing w:after="0"/>
      </w:pPr>
      <w:r>
        <w:t>Pour cela, une déclaration sous forme d’attestation sur l’honneur sera demandée à la fin du projet, avant le versement du solde final de l’aide. Dans ce cadre, des contrôles sur la réalité du déclaratif pourront être menés pendant 10 ans à compter de la notification de l’aide.</w:t>
      </w:r>
    </w:p>
    <w:p w14:paraId="2A3A1BE3" w14:textId="77777777" w:rsidR="00100C87" w:rsidRDefault="00100C87"/>
    <w:p w14:paraId="3AEFB810" w14:textId="77777777" w:rsidR="003B6D31" w:rsidRDefault="003B6D31">
      <w:pPr>
        <w:rPr>
          <w:b/>
          <w:smallCaps/>
          <w:color w:val="3CB6EC"/>
          <w:sz w:val="24"/>
          <w:szCs w:val="24"/>
        </w:rPr>
      </w:pPr>
      <w:bookmarkStart w:id="61" w:name="_Toc75934739"/>
      <w:bookmarkEnd w:id="60"/>
      <w:r>
        <w:br w:type="page"/>
      </w:r>
    </w:p>
    <w:p w14:paraId="4A5B767A" w14:textId="157169AC" w:rsidR="00100C87" w:rsidRDefault="00316DA2">
      <w:pPr>
        <w:pStyle w:val="Titre1"/>
        <w:numPr>
          <w:ilvl w:val="0"/>
          <w:numId w:val="0"/>
        </w:numPr>
        <w:spacing w:line="240" w:lineRule="auto"/>
      </w:pPr>
      <w:bookmarkStart w:id="62" w:name="_Toc158208405"/>
      <w:r>
        <w:lastRenderedPageBreak/>
        <w:t>Annexe 1 : critères de performance environnementale</w:t>
      </w:r>
      <w:bookmarkEnd w:id="61"/>
      <w:bookmarkEnd w:id="62"/>
    </w:p>
    <w:p w14:paraId="31DCFEE3" w14:textId="77777777" w:rsidR="00100C87" w:rsidRDefault="00316DA2">
      <w:r>
        <w:t xml:space="preserve">Les projets causant un préjudice important du point de vue de l’environnement seront exclus (application du principe DNSH –Do No </w:t>
      </w:r>
      <w:proofErr w:type="spellStart"/>
      <w:r>
        <w:t>Significant</w:t>
      </w:r>
      <w:proofErr w:type="spellEnd"/>
      <w:r>
        <w:t xml:space="preserve"> </w:t>
      </w:r>
      <w:proofErr w:type="spellStart"/>
      <w:r>
        <w:t>Harm</w:t>
      </w:r>
      <w:proofErr w:type="spellEnd"/>
      <w:r>
        <w:t xml:space="preserve"> ou « absence de préjudice important ») au sens de l’article 17 du règlement européen sur la taxonomie</w:t>
      </w:r>
      <w:r>
        <w:rPr>
          <w:rStyle w:val="Appelnotedebasdep"/>
        </w:rPr>
        <w:footnoteReference w:id="5"/>
      </w:r>
      <w:r>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062B18C5" w14:textId="77777777" w:rsidR="00100C87" w:rsidRDefault="00316DA2">
      <w:r>
        <w:t>Ainsi, la taxonomie définit la durabilité au regard des six objectifs environnementaux suivants : :</w:t>
      </w:r>
    </w:p>
    <w:p w14:paraId="3E61E9ED" w14:textId="77777777" w:rsidR="00100C87" w:rsidRDefault="00316DA2">
      <w:pPr>
        <w:pStyle w:val="Paragraphedeliste"/>
        <w:numPr>
          <w:ilvl w:val="0"/>
          <w:numId w:val="13"/>
        </w:numPr>
        <w:spacing w:before="120" w:after="180"/>
      </w:pPr>
      <w:proofErr w:type="gramStart"/>
      <w:r>
        <w:t>l’atténuation</w:t>
      </w:r>
      <w:proofErr w:type="gramEnd"/>
      <w:r>
        <w:t xml:space="preserve"> du changement climatique ;</w:t>
      </w:r>
    </w:p>
    <w:p w14:paraId="4D57F0F4" w14:textId="77777777" w:rsidR="00100C87" w:rsidRDefault="00316DA2">
      <w:pPr>
        <w:pStyle w:val="Paragraphedeliste"/>
        <w:numPr>
          <w:ilvl w:val="0"/>
          <w:numId w:val="13"/>
        </w:numPr>
        <w:spacing w:before="120" w:after="180"/>
      </w:pPr>
      <w:proofErr w:type="gramStart"/>
      <w:r>
        <w:t>l’adaptation</w:t>
      </w:r>
      <w:proofErr w:type="gramEnd"/>
      <w:r>
        <w:t xml:space="preserve"> au changement climatique ;</w:t>
      </w:r>
    </w:p>
    <w:p w14:paraId="41C3A1E6" w14:textId="77777777" w:rsidR="00100C87" w:rsidRDefault="00316DA2">
      <w:pPr>
        <w:pStyle w:val="Paragraphedeliste"/>
        <w:numPr>
          <w:ilvl w:val="0"/>
          <w:numId w:val="13"/>
        </w:numPr>
        <w:spacing w:before="120" w:after="180"/>
      </w:pPr>
      <w:proofErr w:type="gramStart"/>
      <w:r>
        <w:t>l’utilisation</w:t>
      </w:r>
      <w:proofErr w:type="gramEnd"/>
      <w:r>
        <w:t xml:space="preserve"> durable et la protection des ressources aquatiques et marines ;</w:t>
      </w:r>
    </w:p>
    <w:p w14:paraId="0926C58E" w14:textId="77777777" w:rsidR="00100C87" w:rsidRDefault="00316DA2">
      <w:pPr>
        <w:pStyle w:val="Paragraphedeliste"/>
        <w:numPr>
          <w:ilvl w:val="0"/>
          <w:numId w:val="13"/>
        </w:numPr>
        <w:spacing w:before="120" w:after="180"/>
      </w:pPr>
      <w:proofErr w:type="gramStart"/>
      <w:r>
        <w:t>la</w:t>
      </w:r>
      <w:proofErr w:type="gramEnd"/>
      <w:r>
        <w:t xml:space="preserve"> transition vers une économie circulaire ; </w:t>
      </w:r>
    </w:p>
    <w:p w14:paraId="2F7599A0" w14:textId="77777777" w:rsidR="00100C87" w:rsidRDefault="00316DA2">
      <w:pPr>
        <w:pStyle w:val="Paragraphedeliste"/>
        <w:numPr>
          <w:ilvl w:val="0"/>
          <w:numId w:val="13"/>
        </w:numPr>
        <w:spacing w:before="120" w:after="180"/>
      </w:pPr>
      <w:proofErr w:type="gramStart"/>
      <w:r>
        <w:t>la</w:t>
      </w:r>
      <w:proofErr w:type="gramEnd"/>
      <w:r>
        <w:t xml:space="preserve"> prévention et la réduction de la pollution ; </w:t>
      </w:r>
    </w:p>
    <w:p w14:paraId="4D935C13" w14:textId="77777777" w:rsidR="00100C87" w:rsidRDefault="00316DA2">
      <w:pPr>
        <w:pStyle w:val="Paragraphedeliste"/>
        <w:numPr>
          <w:ilvl w:val="0"/>
          <w:numId w:val="13"/>
        </w:numPr>
        <w:spacing w:before="120" w:after="180"/>
      </w:pPr>
      <w:proofErr w:type="gramStart"/>
      <w:r>
        <w:t>la</w:t>
      </w:r>
      <w:proofErr w:type="gramEnd"/>
      <w:r>
        <w:t xml:space="preserve"> protection et la restauration de la biodiversité et des écosystèmes.</w:t>
      </w:r>
    </w:p>
    <w:p w14:paraId="294033A6" w14:textId="77777777" w:rsidR="00100C87" w:rsidRDefault="00316DA2">
      <w:r>
        <w:t>Pour l’évaluation technique de l’impact du projet vis-à-vis de chaque objectif environnemental, le déposant doit renseigner le document dédié disponible sur le site de l’appel à projet (Annexe 5 « Grille d’impacts ») et le joindre au dossier de candidature. Il s’agira d’autoévaluer les impacts prévisibles de la solution proposée (faisant l’objet de l’aide) par rapport à une solution de référence. Cette analyse tient compte du cycle de vie des process et du ou des produits ou livrables du projet, suivant les usages qui en sont faits. En tant que de besoin, ces estimations pourront être étayées par des analyses en cycle de vie plus complètes.</w:t>
      </w:r>
      <w:bookmarkStart w:id="63" w:name="_1ksv4uv"/>
      <w:bookmarkEnd w:id="24"/>
      <w:bookmarkEnd w:id="25"/>
      <w:bookmarkEnd w:id="63"/>
    </w:p>
    <w:p w14:paraId="1F0A2C9E" w14:textId="77777777" w:rsidR="00100C87" w:rsidRDefault="00316DA2">
      <w:r>
        <w:br w:type="page"/>
      </w:r>
    </w:p>
    <w:p w14:paraId="645E5D8C" w14:textId="77777777" w:rsidR="00100C87" w:rsidRDefault="00316DA2" w:rsidP="00267F4F">
      <w:pPr>
        <w:pStyle w:val="Titre1"/>
        <w:numPr>
          <w:ilvl w:val="0"/>
          <w:numId w:val="0"/>
        </w:numPr>
        <w:spacing w:line="240" w:lineRule="auto"/>
      </w:pPr>
      <w:bookmarkStart w:id="64" w:name="_Toc158208406"/>
      <w:r w:rsidRPr="00267F4F">
        <w:lastRenderedPageBreak/>
        <w:t>Annexe 2 : Ressources biomasse éligibles dans le cadre de l’étude</w:t>
      </w:r>
      <w:bookmarkEnd w:id="64"/>
    </w:p>
    <w:p w14:paraId="1337ADE3" w14:textId="77777777" w:rsidR="00100C87" w:rsidRDefault="00316DA2">
      <w:r>
        <w:rPr>
          <w:rFonts w:eastAsia="Marianne"/>
          <w:color w:val="000000" w:themeColor="text1"/>
        </w:rPr>
        <w:t xml:space="preserve">Sont attendus des projets mobilisant les ressources de biomasse suivantes : </w:t>
      </w:r>
    </w:p>
    <w:p w14:paraId="5A1691C3" w14:textId="38C62A37" w:rsidR="00100C87" w:rsidRDefault="00316DA2">
      <w:pPr>
        <w:pStyle w:val="Paragraphedeliste"/>
        <w:numPr>
          <w:ilvl w:val="0"/>
          <w:numId w:val="3"/>
        </w:numPr>
        <w:spacing w:after="0"/>
        <w:rPr>
          <w:rFonts w:eastAsia="Marianne"/>
        </w:rPr>
      </w:pPr>
      <w:r>
        <w:rPr>
          <w:rFonts w:eastAsia="Marianne"/>
        </w:rPr>
        <w:t>Bois forestiers</w:t>
      </w:r>
      <w:r w:rsidR="00D21B6D">
        <w:t> ;</w:t>
      </w:r>
    </w:p>
    <w:p w14:paraId="2EE2DDCD" w14:textId="72C4D36E" w:rsidR="00100C87" w:rsidRDefault="00316DA2">
      <w:pPr>
        <w:pStyle w:val="Paragraphedeliste"/>
        <w:numPr>
          <w:ilvl w:val="0"/>
          <w:numId w:val="3"/>
        </w:numPr>
        <w:spacing w:after="0"/>
        <w:jc w:val="left"/>
        <w:rPr>
          <w:rFonts w:eastAsia="Marianne"/>
        </w:rPr>
      </w:pPr>
      <w:r>
        <w:rPr>
          <w:rFonts w:eastAsia="Marianne"/>
        </w:rPr>
        <w:t>Fraction ligneuse des déchets verts</w:t>
      </w:r>
      <w:r w:rsidR="00D21B6D">
        <w:rPr>
          <w:rFonts w:eastAsia="Marianne"/>
        </w:rPr>
        <w:t> ;</w:t>
      </w:r>
    </w:p>
    <w:p w14:paraId="5063D3E5" w14:textId="204321FF" w:rsidR="00100C87" w:rsidRDefault="00316DA2">
      <w:pPr>
        <w:pStyle w:val="Paragraphedeliste"/>
        <w:numPr>
          <w:ilvl w:val="0"/>
          <w:numId w:val="3"/>
        </w:numPr>
        <w:spacing w:after="0"/>
        <w:rPr>
          <w:rFonts w:eastAsia="Marianne"/>
        </w:rPr>
      </w:pPr>
      <w:r>
        <w:rPr>
          <w:rFonts w:eastAsia="Marianne"/>
        </w:rPr>
        <w:t>Connexes et sous-produits de l’industrie de première transformation du bois</w:t>
      </w:r>
      <w:r w:rsidR="00D21B6D">
        <w:rPr>
          <w:rFonts w:eastAsia="Marianne"/>
        </w:rPr>
        <w:t> ;</w:t>
      </w:r>
    </w:p>
    <w:p w14:paraId="20C4CA8A" w14:textId="393D8389" w:rsidR="00100C87" w:rsidRDefault="00316DA2">
      <w:pPr>
        <w:pStyle w:val="Paragraphedeliste"/>
        <w:numPr>
          <w:ilvl w:val="0"/>
          <w:numId w:val="3"/>
        </w:numPr>
        <w:spacing w:after="0"/>
        <w:rPr>
          <w:rFonts w:eastAsia="Marianne"/>
        </w:rPr>
      </w:pPr>
      <w:r>
        <w:rPr>
          <w:rFonts w:eastAsia="Marianne"/>
        </w:rPr>
        <w:t>Sous-produits agricoles (à l’exclusion des céréales)</w:t>
      </w:r>
      <w:r w:rsidR="00D21B6D">
        <w:rPr>
          <w:rFonts w:eastAsia="Marianne"/>
        </w:rPr>
        <w:t> ;</w:t>
      </w:r>
    </w:p>
    <w:p w14:paraId="389ADB83" w14:textId="07EBF9E3" w:rsidR="00100C87" w:rsidRDefault="00316DA2">
      <w:pPr>
        <w:pStyle w:val="Paragraphedeliste"/>
        <w:numPr>
          <w:ilvl w:val="0"/>
          <w:numId w:val="3"/>
        </w:numPr>
        <w:spacing w:after="0"/>
        <w:rPr>
          <w:rFonts w:eastAsia="Marianne"/>
          <w:b/>
          <w:bCs/>
          <w:color w:val="2E74B5"/>
          <w:sz w:val="24"/>
          <w:szCs w:val="24"/>
        </w:rPr>
      </w:pPr>
      <w:r>
        <w:rPr>
          <w:rFonts w:eastAsia="Marianne"/>
        </w:rPr>
        <w:t xml:space="preserve">Bois en fin de vie bénéficiant d’une sortie de statut de déchet et respectant les caractéristiques de la matière première éligible </w:t>
      </w:r>
      <w:r w:rsidR="00D21B6D">
        <w:rPr>
          <w:rFonts w:eastAsia="Marianne"/>
        </w:rPr>
        <w:t xml:space="preserve">à la norme </w:t>
      </w:r>
      <w:r w:rsidR="00D21B6D" w:rsidRPr="00D21B6D">
        <w:rPr>
          <w:rFonts w:eastAsia="Marianne"/>
        </w:rPr>
        <w:t>NF EN ISO 17225-2 en sa dernière version en vigueur</w:t>
      </w:r>
      <w:r w:rsidR="00D21B6D">
        <w:rPr>
          <w:rFonts w:eastAsia="Marianne"/>
        </w:rPr>
        <w:t>.</w:t>
      </w:r>
    </w:p>
    <w:p w14:paraId="27E40017" w14:textId="77777777" w:rsidR="00100C87" w:rsidRDefault="00100C87">
      <w:pPr>
        <w:spacing w:after="0"/>
        <w:rPr>
          <w:rFonts w:eastAsia="Marianne"/>
          <w:b/>
          <w:bCs/>
          <w:color w:val="2E74B5"/>
          <w:sz w:val="24"/>
          <w:szCs w:val="24"/>
        </w:rPr>
      </w:pPr>
    </w:p>
    <w:p w14:paraId="70E4417A" w14:textId="77777777" w:rsidR="00100C87" w:rsidRDefault="00316DA2">
      <w:pPr>
        <w:spacing w:after="0"/>
        <w:rPr>
          <w:rFonts w:eastAsia="Marianne"/>
          <w:b/>
          <w:bCs/>
          <w:color w:val="2E74B5"/>
          <w:sz w:val="24"/>
          <w:szCs w:val="24"/>
        </w:rPr>
      </w:pPr>
      <w:r>
        <w:rPr>
          <w:rFonts w:eastAsia="Marianne"/>
          <w:b/>
          <w:bCs/>
          <w:color w:val="2E74B5"/>
          <w:sz w:val="24"/>
          <w:szCs w:val="24"/>
        </w:rPr>
        <w:t>Ressources Bois forestiers ou connexes des industries du bois</w:t>
      </w:r>
    </w:p>
    <w:p w14:paraId="33C1DB87" w14:textId="7EEFCF42" w:rsidR="00100C87" w:rsidRDefault="00316DA2">
      <w:pPr>
        <w:rPr>
          <w:rFonts w:eastAsia="Marianne"/>
          <w:color w:val="000000" w:themeColor="text1"/>
        </w:rPr>
      </w:pPr>
      <w:r>
        <w:rPr>
          <w:rFonts w:eastAsia="Marianne"/>
        </w:rPr>
        <w:t xml:space="preserve">Il convient de favoriser l’utilisation des bois de qualité comme matériau, de favoriser le recyclage matière des bois en fin de </w:t>
      </w:r>
      <w:r>
        <w:rPr>
          <w:rFonts w:eastAsia="Marianne"/>
          <w:color w:val="000000" w:themeColor="text1"/>
        </w:rPr>
        <w:t>vie pour allonger la durée de vie, de limiter au maximum les concurrences d’usages sur des co-produits déjà valorisés et de favoriser l’amélioration qualitative des peuplements par le développement de débouchés supplémentaires.</w:t>
      </w:r>
    </w:p>
    <w:p w14:paraId="6756EA9C" w14:textId="77777777" w:rsidR="00100C87" w:rsidRDefault="00100C87">
      <w:pPr>
        <w:rPr>
          <w:rFonts w:eastAsia="Marianne"/>
          <w:b/>
          <w:bCs/>
          <w:color w:val="000000" w:themeColor="text1"/>
        </w:rPr>
      </w:pPr>
    </w:p>
    <w:p w14:paraId="0C735DC8" w14:textId="41437986" w:rsidR="00100C87" w:rsidRDefault="00316DA2">
      <w:pPr>
        <w:rPr>
          <w:rFonts w:eastAsia="Marianne"/>
          <w:b/>
          <w:bCs/>
          <w:color w:val="000000" w:themeColor="text1"/>
        </w:rPr>
      </w:pPr>
      <w:r>
        <w:rPr>
          <w:rFonts w:eastAsia="Marianne"/>
          <w:b/>
          <w:bCs/>
          <w:color w:val="000000" w:themeColor="text1"/>
        </w:rPr>
        <w:t xml:space="preserve">Ainsi, les projets qui présenteront les taux d’incorporation de feuillus les plus élevés seront considérés comme prioritaires. Les projets dont les garanties en termes de maitrise de leur approvisionnement seront jugées insuffisantes seront écartés. </w:t>
      </w:r>
      <w:r>
        <w:rPr>
          <w:rFonts w:eastAsia="Marianne"/>
          <w:color w:val="000000" w:themeColor="text1"/>
        </w:rPr>
        <w:t>Des exemples de garanties possibles sont un engagement à avoir des contrats d’approvisionnement sur du long terme (minimum 5 ans), la maîtrise de la ressource, la bonne articulation des usages.</w:t>
      </w:r>
      <w:r>
        <w:rPr>
          <w:rFonts w:eastAsia="Marianne"/>
          <w:b/>
          <w:bCs/>
          <w:color w:val="000000" w:themeColor="text1"/>
        </w:rPr>
        <w:t xml:space="preserve"> </w:t>
      </w:r>
    </w:p>
    <w:p w14:paraId="40E185D7" w14:textId="77777777" w:rsidR="00100C87" w:rsidRDefault="00100C87">
      <w:pPr>
        <w:rPr>
          <w:rFonts w:eastAsia="Marianne"/>
          <w:color w:val="000000" w:themeColor="text1"/>
        </w:rPr>
      </w:pPr>
    </w:p>
    <w:p w14:paraId="26D86E30" w14:textId="09BE8B65" w:rsidR="00100C87" w:rsidRDefault="00316DA2">
      <w:pPr>
        <w:rPr>
          <w:rFonts w:eastAsia="Times New Roman"/>
          <w:sz w:val="24"/>
          <w:szCs w:val="24"/>
        </w:rPr>
      </w:pPr>
      <w:r>
        <w:rPr>
          <w:rFonts w:eastAsia="Marianne"/>
          <w:color w:val="000000" w:themeColor="text1"/>
        </w:rPr>
        <w:t xml:space="preserve">Pour l’ensemble des plans d’approvisionnement et dans le cas où la ressource identifiée fait déjà l’objet d’une valorisation, il sera précisé dans le projet déposé l’intérêt économique et </w:t>
      </w:r>
      <w:r>
        <w:rPr>
          <w:rFonts w:eastAsia="Marianne"/>
        </w:rPr>
        <w:t xml:space="preserve">environnemental d’une utilisation en production de carburants aéronautiques afin de justifier le changement d’affectation et de veiller à une bonne articulation des usages. </w:t>
      </w:r>
    </w:p>
    <w:p w14:paraId="5807DC30" w14:textId="77777777" w:rsidR="00100C87" w:rsidRDefault="00100C87">
      <w:pPr>
        <w:rPr>
          <w:rFonts w:eastAsia="Times New Roman"/>
          <w:sz w:val="24"/>
          <w:szCs w:val="24"/>
        </w:rPr>
      </w:pPr>
    </w:p>
    <w:p w14:paraId="4096F27B" w14:textId="77777777" w:rsidR="00100C87" w:rsidRDefault="00316DA2">
      <w:pPr>
        <w:rPr>
          <w:rFonts w:eastAsia="Marianne"/>
          <w:b/>
          <w:bCs/>
          <w:color w:val="000000" w:themeColor="text1"/>
        </w:rPr>
      </w:pPr>
      <w:r>
        <w:rPr>
          <w:rFonts w:eastAsia="Marianne"/>
        </w:rPr>
        <w:t xml:space="preserve">Pour la biomasse issue de forêts, </w:t>
      </w:r>
      <w:r>
        <w:rPr>
          <w:rFonts w:eastAsia="Marianne"/>
          <w:b/>
          <w:bCs/>
        </w:rPr>
        <w:t xml:space="preserve">un engagement sur un taux de contractualisation </w:t>
      </w:r>
      <w:r>
        <w:rPr>
          <w:rFonts w:eastAsia="Marianne"/>
          <w:b/>
          <w:bCs/>
          <w:color w:val="000000" w:themeColor="text1"/>
        </w:rPr>
        <w:t>bois minimum de 30%</w:t>
      </w:r>
      <w:hyperlink r:id="rId30" w:anchor="_ftn1">
        <w:r>
          <w:rPr>
            <w:rStyle w:val="Lienhypertexte"/>
            <w:rFonts w:eastAsia="Marianne"/>
            <w:b/>
            <w:bCs/>
            <w:color w:val="000000" w:themeColor="text1"/>
            <w:vertAlign w:val="superscript"/>
          </w:rPr>
          <w:t>[1]</w:t>
        </w:r>
      </w:hyperlink>
      <w:r>
        <w:rPr>
          <w:rFonts w:eastAsia="Marianne"/>
          <w:b/>
          <w:bCs/>
          <w:color w:val="000000" w:themeColor="text1"/>
        </w:rPr>
        <w:t xml:space="preserve"> à l’horizon 2025 pour l’approvisionnement global de l’entreprise en bois rond, rondins et plaquettes forestières donnera lieu à un taux d’aide plus élevé (+10%) que pour les projets ne présentant pas cet engagement (dans la limite des taux d’aides maximum de l’encadrement communautaire). Ce critère sera évalué</w:t>
      </w:r>
      <w:r>
        <w:rPr>
          <w:rFonts w:eastAsia="Marianne"/>
          <w:color w:val="000000" w:themeColor="text1"/>
        </w:rPr>
        <w:t xml:space="preserve"> </w:t>
      </w:r>
      <w:r>
        <w:rPr>
          <w:rFonts w:eastAsia="Marianne"/>
          <w:b/>
          <w:bCs/>
          <w:color w:val="000000" w:themeColor="text1"/>
        </w:rPr>
        <w:t>sur la base du montant d'achat externe de bois rond, rondins et plaquettes forestières, contractualisé via des contrats reconductibles ou pluriannuels. Ces contrats sont signés avec les acteurs privés ou publics de l’amont de la filière. Le calcul du taux de contractualisation intègre les achats externes en bois rond, rondins et plaquettes forestières réalisés par la ou les filiales alimentant l’entreprise le cas échéant. Une déclaration sur l’honneur de l’entreprise sera demandée à la date de dépôt du dossier concernant cet engagement sur un taux de contractualisation à l’horizon 2025. Cet engagement fera l’objet de contrôles et de demandes de pièces justificatives (contrats notamment), au moment du versement du solde.</w:t>
      </w:r>
    </w:p>
    <w:p w14:paraId="79E138BD" w14:textId="77777777" w:rsidR="00100C87" w:rsidRDefault="00100C87">
      <w:pPr>
        <w:jc w:val="left"/>
        <w:rPr>
          <w:rFonts w:eastAsia="Marianne"/>
          <w:color w:val="000000" w:themeColor="text1"/>
        </w:rPr>
      </w:pPr>
    </w:p>
    <w:p w14:paraId="504AA59E" w14:textId="77777777" w:rsidR="00100C87" w:rsidRDefault="00316DA2">
      <w:pPr>
        <w:rPr>
          <w:rFonts w:eastAsia="Marianne"/>
          <w:color w:val="000000" w:themeColor="text1"/>
        </w:rPr>
      </w:pPr>
      <w:r>
        <w:rPr>
          <w:rFonts w:eastAsia="Marianne"/>
          <w:color w:val="000000" w:themeColor="text1"/>
        </w:rPr>
        <w:t>L’objectif principal de la sylviculture est la production de bois d’œuvre. Cependant, au cours de la vie du peuplement, plusieurs opérations nécessaires à l’amélioration qualitative des peuplements génèrent des récoltes de bois d’industrie et de bois énergie (bois issus de travaux et d’éclaircies de faibles diamètres, houppiers, bois de faibles qualités)</w:t>
      </w:r>
      <w:r>
        <w:rPr>
          <w:rFonts w:eastAsia="Marianne"/>
          <w:b/>
          <w:bCs/>
          <w:color w:val="000000" w:themeColor="text1"/>
        </w:rPr>
        <w:t xml:space="preserve">. </w:t>
      </w:r>
      <w:r>
        <w:rPr>
          <w:rFonts w:eastAsia="Marianne"/>
          <w:color w:val="000000" w:themeColor="text1"/>
        </w:rPr>
        <w:t xml:space="preserve">L’application du code forestier, du code de l’environnement et du Règlement Bois sur l’Union Européenne (RBUE) permet de garantir la gestion durable des forêts françaises. Le Programme National de la Forêt et du Bois (PNFB 2016-2026) définit la gestion durable des forêts comme suit : </w:t>
      </w:r>
      <w:r>
        <w:rPr>
          <w:rFonts w:eastAsia="Marianne"/>
          <w:i/>
          <w:iCs/>
          <w:color w:val="000000" w:themeColor="text1"/>
        </w:rPr>
        <w:t xml:space="preserve">« La gestion durable des forêts garantit leur diversité biologique, leur productivité, leur capacité de régénération, leur vitalité et leur capacité de satisfaire, actuellement et pour l’avenir, les fonctions économiques, écologiques et sociales pertinentes aux niveaux local, national et </w:t>
      </w:r>
      <w:r>
        <w:rPr>
          <w:rFonts w:eastAsia="Marianne"/>
          <w:i/>
          <w:iCs/>
          <w:color w:val="000000" w:themeColor="text1"/>
        </w:rPr>
        <w:lastRenderedPageBreak/>
        <w:t xml:space="preserve">international, sans causer de préjudices à d’autres écosystèmes ». </w:t>
      </w:r>
      <w:r>
        <w:br/>
      </w:r>
      <w:r>
        <w:rPr>
          <w:rFonts w:eastAsia="Marianne"/>
          <w:color w:val="000000" w:themeColor="text1"/>
        </w:rPr>
        <w:t>L’article L122-3 du code forestier précisent les différents documents de gestion durable que les propriétaires privés et publics doivent mettre en place. Par ailleurs, un lien est établi en application de l’article L. 124-1 du code forestier entre la garantie de gestion durable et la mise en œuvre effective des programmes de coupes et travaux prévu dans ces documents de gestion durable. Pour les forêts ne disposant pas de garanties de gestion durable, un régime d’autorisation de coupes s’applique.</w:t>
      </w:r>
    </w:p>
    <w:p w14:paraId="5AC07B15" w14:textId="77777777" w:rsidR="00100C87" w:rsidRDefault="00100C87">
      <w:pPr>
        <w:rPr>
          <w:rFonts w:eastAsia="Marianne"/>
          <w:color w:val="000000" w:themeColor="text1"/>
        </w:rPr>
      </w:pPr>
    </w:p>
    <w:p w14:paraId="253EC8EB" w14:textId="77777777" w:rsidR="00100C87" w:rsidRDefault="00316DA2">
      <w:pPr>
        <w:rPr>
          <w:rFonts w:eastAsia="Marianne"/>
          <w:b/>
          <w:bCs/>
          <w:color w:val="000000" w:themeColor="text1"/>
        </w:rPr>
      </w:pPr>
      <w:r>
        <w:rPr>
          <w:rFonts w:eastAsia="Marianne"/>
          <w:color w:val="000000" w:themeColor="text1"/>
        </w:rPr>
        <w:t xml:space="preserve">Afin de contribuer au développement des filières de commercialisation de bois permettant de garantir une gestion durable des forêts, </w:t>
      </w:r>
      <w:r>
        <w:rPr>
          <w:rFonts w:eastAsia="Marianne"/>
          <w:b/>
          <w:bCs/>
          <w:color w:val="000000" w:themeColor="text1"/>
        </w:rPr>
        <w:t>l’engagement du porteur de projet dans la certification forestière (PEFC, FSC ou équivalent) est exigé :</w:t>
      </w:r>
    </w:p>
    <w:p w14:paraId="74AEB59C" w14:textId="77777777" w:rsidR="00100C87" w:rsidRDefault="00316DA2">
      <w:pPr>
        <w:pStyle w:val="Paragraphedeliste"/>
        <w:numPr>
          <w:ilvl w:val="0"/>
          <w:numId w:val="1"/>
        </w:numPr>
        <w:spacing w:after="0"/>
        <w:rPr>
          <w:rFonts w:eastAsia="Marianne"/>
          <w:b/>
          <w:bCs/>
        </w:rPr>
      </w:pPr>
      <w:r>
        <w:rPr>
          <w:rFonts w:eastAsia="Marianne"/>
          <w:b/>
          <w:bCs/>
        </w:rPr>
        <w:t>Pour les bois issus de forêt et les connexes de scierie, le porteur de projet devra respecter un taux d’utilisation de bois certifiés PEFC ou FSC ou équivalent supérieur ou égal à la moyenne pondérée des taux minimum exigés par région (Annexe 9).</w:t>
      </w:r>
      <w:r>
        <w:rPr>
          <w:rFonts w:eastAsia="Marianne"/>
        </w:rPr>
        <w:t xml:space="preserve"> Ces taux correspondent aux taux régionaux de certification des surfaces forestières additionnés de 10 points. Dans des régions à fortes disparités, il pourra être envisagé de considérer le taux de certification départemental. Les fournisseurs de bois forestiers devront être certifiés PEFC ou FSC ou équivalent à 100% et les entrepreneurs de travaux forestiers devront être engagés dans la démarche ETF - Gestion durable de la forêt gérée par </w:t>
      </w:r>
      <w:proofErr w:type="spellStart"/>
      <w:r>
        <w:rPr>
          <w:rFonts w:eastAsia="Marianne"/>
        </w:rPr>
        <w:t>Qualiterritoire</w:t>
      </w:r>
      <w:proofErr w:type="spellEnd"/>
      <w:r>
        <w:rPr>
          <w:rFonts w:eastAsia="Marianne"/>
          <w:b/>
          <w:bCs/>
        </w:rPr>
        <w:t xml:space="preserve">. </w:t>
      </w:r>
    </w:p>
    <w:p w14:paraId="6D7A247F" w14:textId="77777777" w:rsidR="00100C87" w:rsidRDefault="00316DA2">
      <w:pPr>
        <w:pStyle w:val="Paragraphedeliste"/>
        <w:numPr>
          <w:ilvl w:val="0"/>
          <w:numId w:val="1"/>
        </w:numPr>
        <w:spacing w:after="0"/>
        <w:rPr>
          <w:rFonts w:eastAsia="Marianne"/>
        </w:rPr>
      </w:pPr>
      <w:r>
        <w:rPr>
          <w:rFonts w:eastAsia="Marianne"/>
          <w:b/>
          <w:bCs/>
        </w:rPr>
        <w:t>Pour les bois issus de l’importation, le bois forestier ou issu de connexes sera certifié à 100% (PEFC, FSC ou équivalent).</w:t>
      </w:r>
      <w:r>
        <w:rPr>
          <w:rFonts w:eastAsia="Marianne"/>
        </w:rPr>
        <w:t xml:space="preserve"> De manière alternative, le bois importé sera certifié (PEFC/FSC ou équivalent) à hauteur du taux moyen du pays d’importation additionné de 10 points avec des fournisseurs certifiés PEFC ou FSC ou équivalent à 100% et devra fournir à l’ADEME une autorisation de prélèvement traduite en français des instances territoriales étrangères en charge de l’environnement et de la gestion forestière. </w:t>
      </w:r>
    </w:p>
    <w:p w14:paraId="2F81BFBD" w14:textId="377391E4" w:rsidR="00100C87" w:rsidRDefault="00316DA2">
      <w:pPr>
        <w:rPr>
          <w:rFonts w:eastAsia="Marianne"/>
          <w:color w:val="000000" w:themeColor="text1"/>
        </w:rPr>
      </w:pPr>
      <w:r>
        <w:rPr>
          <w:rFonts w:eastAsia="Marianne"/>
        </w:rPr>
        <w:t xml:space="preserve"> </w:t>
      </w:r>
    </w:p>
    <w:p w14:paraId="1FA58FBB" w14:textId="77777777" w:rsidR="00100C87" w:rsidRDefault="00316DA2">
      <w:pPr>
        <w:rPr>
          <w:rFonts w:eastAsia="Marianne"/>
          <w:color w:val="000000" w:themeColor="text1"/>
        </w:rPr>
      </w:pPr>
      <w:r>
        <w:rPr>
          <w:rFonts w:eastAsia="Marianne"/>
          <w:b/>
          <w:bCs/>
          <w:color w:val="000000" w:themeColor="text1"/>
        </w:rPr>
        <w:t xml:space="preserve">Le </w:t>
      </w:r>
      <w:r>
        <w:rPr>
          <w:rFonts w:eastAsia="Marianne"/>
          <w:b/>
          <w:bCs/>
        </w:rPr>
        <w:t xml:space="preserve">recours au bois d’importation </w:t>
      </w:r>
      <w:r>
        <w:rPr>
          <w:rFonts w:eastAsia="Marianne"/>
        </w:rPr>
        <w:t xml:space="preserve">doit être </w:t>
      </w:r>
      <w:r>
        <w:rPr>
          <w:rFonts w:eastAsia="Marianne"/>
          <w:b/>
          <w:bCs/>
        </w:rPr>
        <w:t xml:space="preserve">strictement limité aux projets situés dans des territoires transfrontaliers </w:t>
      </w:r>
      <w:r>
        <w:rPr>
          <w:rFonts w:eastAsia="Marianne"/>
        </w:rPr>
        <w:t xml:space="preserve">et étudié au cas par cas pour veiller à la bonne articulation des usages et devra privilégier les modes de transport bas carbone. Dans le cas de projets frontaliers, l’importation sera possible si elle s’inscrit dans un </w:t>
      </w:r>
      <w:r>
        <w:rPr>
          <w:rFonts w:eastAsia="Marianne"/>
          <w:color w:val="000000" w:themeColor="text1"/>
        </w:rPr>
        <w:t>rayon d’approvisionnement en cohérence avec la taille du projet.</w:t>
      </w:r>
    </w:p>
    <w:p w14:paraId="2D87A9CA" w14:textId="77777777" w:rsidR="00100C87" w:rsidRDefault="00316DA2">
      <w:pPr>
        <w:rPr>
          <w:rFonts w:eastAsia="Marianne"/>
          <w:color w:val="000000" w:themeColor="text1"/>
        </w:rPr>
      </w:pPr>
      <w:r>
        <w:rPr>
          <w:rFonts w:eastAsia="Marianne"/>
          <w:color w:val="000000" w:themeColor="text1"/>
        </w:rPr>
        <w:t xml:space="preserve">Sinon, l'importation doit être définie de façon temporaire, limitée en volume, après s’être assuré que des moyens ont été donnés pour mobiliser les biocombustibles disponibles dans l’aire d’approvisionnement et avoir fait l’objet d'un bilan environnemental (de type analyse de cycle de vie). Le candidat s'assure que son plan d'approvisionnement est en conformité avec la législation en vigueur et en particulier le règlement bois de l’Union Européenne (RBUE) adopté en France le 3 mars 2013 (consultable sur : </w:t>
      </w:r>
      <w:hyperlink r:id="rId31">
        <w:r>
          <w:rPr>
            <w:rStyle w:val="Lienhypertexte"/>
            <w:rFonts w:eastAsia="Marianne"/>
            <w:color w:val="0563C1"/>
          </w:rPr>
          <w:t>http://eur-lex.europa.eu</w:t>
        </w:r>
      </w:hyperlink>
      <w:r>
        <w:rPr>
          <w:rFonts w:eastAsia="Marianne"/>
          <w:color w:val="000000" w:themeColor="text1"/>
        </w:rPr>
        <w:t>).</w:t>
      </w:r>
    </w:p>
    <w:p w14:paraId="48896E58" w14:textId="77777777" w:rsidR="00100C87" w:rsidRDefault="00316DA2">
      <w:pPr>
        <w:rPr>
          <w:rFonts w:eastAsia="Marianne"/>
          <w:b/>
          <w:bCs/>
          <w:color w:val="2E74B5"/>
          <w:sz w:val="24"/>
          <w:szCs w:val="24"/>
        </w:rPr>
      </w:pPr>
      <w:r>
        <w:rPr>
          <w:rFonts w:eastAsia="Marianne"/>
          <w:color w:val="000000" w:themeColor="text1"/>
        </w:rPr>
        <w:t xml:space="preserve"> </w:t>
      </w:r>
    </w:p>
    <w:p w14:paraId="5B5AF624" w14:textId="77777777" w:rsidR="00100C87" w:rsidRDefault="00316DA2">
      <w:pPr>
        <w:rPr>
          <w:rFonts w:eastAsia="Marianne"/>
          <w:b/>
          <w:bCs/>
          <w:color w:val="2E74B5"/>
          <w:sz w:val="24"/>
          <w:szCs w:val="24"/>
        </w:rPr>
      </w:pPr>
      <w:r>
        <w:rPr>
          <w:rFonts w:eastAsia="Marianne"/>
          <w:b/>
          <w:bCs/>
          <w:color w:val="2E74B5"/>
          <w:sz w:val="24"/>
          <w:szCs w:val="24"/>
        </w:rPr>
        <w:t>Ressources agricoles</w:t>
      </w:r>
    </w:p>
    <w:p w14:paraId="4BA1AA8E" w14:textId="77777777" w:rsidR="00100C87" w:rsidRDefault="00316DA2">
      <w:pPr>
        <w:spacing w:after="80"/>
      </w:pPr>
      <w:r>
        <w:rPr>
          <w:rFonts w:eastAsia="Marianne"/>
        </w:rPr>
        <w:t xml:space="preserve">Les coproduits agricoles peuvent déjà trouver de nombreux usages en alimentation humaine, animale ou matière qui sont prioritaires par rapport à un usage énergétique. Les dossiers devront apporter la preuve d’un choix de gisement permettant l’utilisation de coproduits peu valorisés actuellement. </w:t>
      </w:r>
    </w:p>
    <w:p w14:paraId="1418DD82" w14:textId="77777777" w:rsidR="00100C87" w:rsidRDefault="00316DA2">
      <w:pPr>
        <w:rPr>
          <w:rFonts w:eastAsia="Marianne"/>
          <w:color w:val="000000" w:themeColor="text1"/>
        </w:rPr>
      </w:pPr>
      <w:r>
        <w:rPr>
          <w:rFonts w:eastAsia="Marianne"/>
          <w:color w:val="000000" w:themeColor="text1"/>
        </w:rPr>
        <w:t xml:space="preserve">Ces exigences vis-à-vis de l'approvisionnement ne se substituent pas à la réglementation en vigueur. Les projets non conformes à la réglementation ne seront pas éligibles. </w:t>
      </w:r>
    </w:p>
    <w:p w14:paraId="18F6887D" w14:textId="77777777" w:rsidR="00100C87" w:rsidRDefault="00316DA2">
      <w:r>
        <w:rPr>
          <w:rFonts w:eastAsia="Marianne"/>
          <w:color w:val="000000" w:themeColor="text1"/>
        </w:rPr>
        <w:t>Les porteurs de projet peuvent, pour l’élaboration du plan d’approvisionnement,</w:t>
      </w:r>
      <w:r>
        <w:rPr>
          <w:rFonts w:eastAsia="Marianne"/>
          <w:color w:val="0000FF"/>
        </w:rPr>
        <w:t xml:space="preserve"> </w:t>
      </w:r>
      <w:r>
        <w:rPr>
          <w:rFonts w:eastAsia="Marianne"/>
          <w:color w:val="000000" w:themeColor="text1"/>
        </w:rPr>
        <w:t>se rapprocher de la Direction Régionale de l’ADEME.</w:t>
      </w:r>
    </w:p>
    <w:p w14:paraId="44DEE918" w14:textId="77777777" w:rsidR="00100C87" w:rsidRDefault="00316DA2">
      <w:r>
        <w:rPr>
          <w:rFonts w:eastAsia="Marianne"/>
          <w:color w:val="000000" w:themeColor="text1"/>
        </w:rPr>
        <w:t xml:space="preserve"> </w:t>
      </w:r>
    </w:p>
    <w:p w14:paraId="36A114B6" w14:textId="77777777" w:rsidR="00100C87" w:rsidRDefault="00316DA2">
      <w:pPr>
        <w:rPr>
          <w:rFonts w:eastAsia="Marianne"/>
          <w:b/>
          <w:bCs/>
          <w:color w:val="000000" w:themeColor="text1"/>
        </w:rPr>
      </w:pPr>
      <w:r>
        <w:rPr>
          <w:rFonts w:eastAsia="Marianne"/>
          <w:b/>
          <w:bCs/>
          <w:color w:val="000000" w:themeColor="text1"/>
        </w:rPr>
        <w:t xml:space="preserve">L’ensemble du plan d’approvisionnement devra être présenté dans le dossier. </w:t>
      </w:r>
    </w:p>
    <w:p w14:paraId="5CA45F89" w14:textId="61F3CBE9" w:rsidR="00100C87" w:rsidRDefault="00100C87"/>
    <w:p w14:paraId="28F1E74F" w14:textId="77777777" w:rsidR="00100C87" w:rsidRDefault="00267F4F">
      <w:pPr>
        <w:spacing w:after="80"/>
      </w:pPr>
      <w:hyperlink r:id="rId32" w:anchor="_ftnref1">
        <w:r w:rsidR="00316DA2">
          <w:rPr>
            <w:rStyle w:val="Lienhypertexte"/>
            <w:rFonts w:eastAsia="Calibri"/>
            <w:color w:val="0563C1"/>
            <w:sz w:val="20"/>
            <w:szCs w:val="20"/>
            <w:vertAlign w:val="superscript"/>
          </w:rPr>
          <w:t>[1]</w:t>
        </w:r>
      </w:hyperlink>
      <w:r w:rsidR="00316DA2">
        <w:rPr>
          <w:rFonts w:eastAsia="Calibri"/>
          <w:sz w:val="20"/>
          <w:szCs w:val="20"/>
        </w:rPr>
        <w:t xml:space="preserve"> Cible qui pourra être ajustée en fonction de l’accord de la filière chêne en cours</w:t>
      </w:r>
    </w:p>
    <w:sectPr w:rsidR="00100C87">
      <w:headerReference w:type="even" r:id="rId33"/>
      <w:headerReference w:type="default" r:id="rId34"/>
      <w:footerReference w:type="default" r:id="rId35"/>
      <w:headerReference w:type="first" r:id="rId36"/>
      <w:footerReference w:type="first" r:id="rId37"/>
      <w:pgSz w:w="11906" w:h="16838"/>
      <w:pgMar w:top="1134" w:right="1418" w:bottom="1134" w:left="1418" w:header="567" w:footer="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881F" w14:textId="77777777" w:rsidR="00100C87" w:rsidRDefault="00316DA2">
      <w:pPr>
        <w:spacing w:after="0"/>
      </w:pPr>
      <w:r>
        <w:separator/>
      </w:r>
    </w:p>
  </w:endnote>
  <w:endnote w:type="continuationSeparator" w:id="0">
    <w:p w14:paraId="4149FA7E" w14:textId="77777777" w:rsidR="00100C87" w:rsidRDefault="00316DA2">
      <w:pPr>
        <w:spacing w:after="0"/>
      </w:pPr>
      <w:r>
        <w:continuationSeparator/>
      </w:r>
    </w:p>
  </w:endnote>
  <w:endnote w:type="continuationNotice" w:id="1">
    <w:p w14:paraId="108AC36E" w14:textId="77777777" w:rsidR="00100C87" w:rsidRDefault="00100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8" w:space="0" w:color="00B0F0"/>
      </w:tblBorders>
      <w:tblLayout w:type="fixed"/>
      <w:tblLook w:val="0400" w:firstRow="0" w:lastRow="0" w:firstColumn="0" w:lastColumn="0" w:noHBand="0" w:noVBand="1"/>
    </w:tblPr>
    <w:tblGrid>
      <w:gridCol w:w="8647"/>
      <w:gridCol w:w="425"/>
    </w:tblGrid>
    <w:tr w:rsidR="00100C87" w14:paraId="47D98D2B" w14:textId="77777777">
      <w:trPr>
        <w:trHeight w:val="456"/>
      </w:trPr>
      <w:tc>
        <w:tcPr>
          <w:tcW w:w="8647" w:type="dxa"/>
          <w:tcBorders>
            <w:top w:val="single" w:sz="8" w:space="0" w:color="00B0F0"/>
          </w:tcBorders>
          <w:shd w:val="clear" w:color="auto" w:fill="auto"/>
        </w:tcPr>
        <w:p w14:paraId="33E9BBE3" w14:textId="77777777" w:rsidR="00100C87" w:rsidRDefault="00316DA2">
          <w:pPr>
            <w:pBdr>
              <w:top w:val="nil"/>
              <w:left w:val="nil"/>
              <w:bottom w:val="nil"/>
              <w:right w:val="nil"/>
              <w:between w:val="nil"/>
            </w:pBdr>
            <w:tabs>
              <w:tab w:val="center" w:pos="4536"/>
              <w:tab w:val="right" w:pos="9072"/>
            </w:tabs>
            <w:ind w:right="1452"/>
            <w:rPr>
              <w:rFonts w:eastAsia="Times New Roman"/>
              <w:color w:val="000000"/>
              <w:sz w:val="16"/>
              <w:szCs w:val="16"/>
            </w:rPr>
          </w:pPr>
          <w:r>
            <w:rPr>
              <w:rFonts w:eastAsia="Times New Roman"/>
              <w:color w:val="000000"/>
              <w:sz w:val="16"/>
              <w:szCs w:val="16"/>
            </w:rPr>
            <w:t>AAP</w:t>
          </w:r>
          <w:proofErr w:type="gramStart"/>
          <w:r>
            <w:rPr>
              <w:rFonts w:eastAsia="Times New Roman"/>
              <w:color w:val="000000"/>
              <w:sz w:val="16"/>
              <w:szCs w:val="16"/>
            </w:rPr>
            <w:t xml:space="preserve"> «Développement</w:t>
          </w:r>
          <w:proofErr w:type="gramEnd"/>
          <w:r>
            <w:rPr>
              <w:rFonts w:eastAsia="Times New Roman"/>
              <w:color w:val="000000"/>
              <w:sz w:val="16"/>
              <w:szCs w:val="16"/>
            </w:rPr>
            <w:t xml:space="preserve"> d’une filière de production française de carburants aéronautiques durables – - Soutien aux études d’ingénierie préliminaire (FEED)»</w:t>
          </w:r>
        </w:p>
      </w:tc>
      <w:tc>
        <w:tcPr>
          <w:tcW w:w="425" w:type="dxa"/>
          <w:tcBorders>
            <w:top w:val="single" w:sz="8" w:space="0" w:color="00B0F0"/>
          </w:tcBorders>
          <w:shd w:val="clear" w:color="auto" w:fill="auto"/>
        </w:tcPr>
        <w:p w14:paraId="28D9D553" w14:textId="47E18FE6" w:rsidR="00100C87" w:rsidRDefault="00316DA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6"/>
              <w:szCs w:val="16"/>
            </w:rPr>
          </w:pPr>
          <w:r>
            <w:rPr>
              <w:rFonts w:eastAsia="Times New Roman"/>
              <w:color w:val="000000"/>
              <w:sz w:val="16"/>
              <w:szCs w:val="16"/>
            </w:rPr>
            <w:fldChar w:fldCharType="begin"/>
          </w:r>
          <w:r>
            <w:rPr>
              <w:rFonts w:eastAsia="Times New Roman"/>
              <w:color w:val="000000"/>
              <w:sz w:val="16"/>
              <w:szCs w:val="16"/>
            </w:rPr>
            <w:instrText>PAGE</w:instrText>
          </w:r>
          <w:r>
            <w:rPr>
              <w:rFonts w:eastAsia="Times New Roman"/>
              <w:color w:val="000000"/>
              <w:sz w:val="16"/>
              <w:szCs w:val="16"/>
            </w:rPr>
            <w:fldChar w:fldCharType="separate"/>
          </w:r>
          <w:r w:rsidR="003B6D31">
            <w:rPr>
              <w:rFonts w:eastAsia="Times New Roman"/>
              <w:noProof/>
              <w:color w:val="000000"/>
              <w:sz w:val="16"/>
              <w:szCs w:val="16"/>
            </w:rPr>
            <w:t>12</w:t>
          </w:r>
          <w:r>
            <w:rPr>
              <w:rFonts w:eastAsia="Times New Roman"/>
              <w:color w:val="000000"/>
              <w:sz w:val="16"/>
              <w:szCs w:val="16"/>
            </w:rPr>
            <w:fldChar w:fldCharType="end"/>
          </w:r>
        </w:p>
      </w:tc>
    </w:tr>
  </w:tbl>
  <w:p w14:paraId="0009976C" w14:textId="77777777" w:rsidR="00100C87" w:rsidRDefault="00100C87">
    <w:pPr>
      <w:pStyle w:val="Pieddepag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8237"/>
      <w:gridCol w:w="833"/>
    </w:tblGrid>
    <w:tr w:rsidR="00100C87" w14:paraId="6525A5D2" w14:textId="77777777">
      <w:tc>
        <w:tcPr>
          <w:tcW w:w="8897" w:type="dxa"/>
          <w:tcBorders>
            <w:top w:val="nil"/>
            <w:left w:val="nil"/>
            <w:bottom w:val="nil"/>
            <w:right w:val="nil"/>
          </w:tcBorders>
        </w:tcPr>
        <w:p w14:paraId="01B951DE" w14:textId="77777777" w:rsidR="00100C87" w:rsidRDefault="00316DA2">
          <w:pPr>
            <w:pStyle w:val="Pieddepage"/>
            <w:tabs>
              <w:tab w:val="center" w:pos="6096"/>
            </w:tabs>
            <w:rPr>
              <w:color w:val="000000" w:themeColor="text1"/>
              <w:sz w:val="18"/>
              <w:szCs w:val="18"/>
            </w:rPr>
          </w:pPr>
          <w:r>
            <w:rPr>
              <w:color w:val="000000" w:themeColor="text1"/>
              <w:sz w:val="18"/>
              <w:szCs w:val="18"/>
            </w:rPr>
            <w:t>ADEIP – Transports et mobilité durable</w:t>
          </w:r>
        </w:p>
      </w:tc>
      <w:tc>
        <w:tcPr>
          <w:tcW w:w="881" w:type="dxa"/>
          <w:tcBorders>
            <w:top w:val="nil"/>
            <w:left w:val="nil"/>
            <w:bottom w:val="nil"/>
            <w:right w:val="nil"/>
          </w:tcBorders>
          <w:vAlign w:val="center"/>
        </w:tcPr>
        <w:p w14:paraId="3D8652DC" w14:textId="77777777" w:rsidR="00100C87" w:rsidRDefault="00316DA2">
          <w:pPr>
            <w:pStyle w:val="Pieddepage"/>
            <w:tabs>
              <w:tab w:val="center" w:pos="6096"/>
            </w:tabs>
            <w:jc w:val="center"/>
            <w:rPr>
              <w:bCs/>
              <w:color w:val="000000"/>
              <w:sz w:val="18"/>
              <w:szCs w:val="32"/>
            </w:rPr>
          </w:pPr>
          <w:r>
            <w:rPr>
              <w:bCs/>
              <w:color w:val="000000"/>
              <w:sz w:val="18"/>
              <w:szCs w:val="32"/>
            </w:rPr>
            <w:fldChar w:fldCharType="begin"/>
          </w:r>
          <w:r>
            <w:rPr>
              <w:bCs/>
              <w:color w:val="000000"/>
              <w:sz w:val="18"/>
              <w:szCs w:val="32"/>
            </w:rPr>
            <w:instrText>PAGE   \* MERGEFORMAT</w:instrText>
          </w:r>
          <w:r>
            <w:rPr>
              <w:bCs/>
              <w:color w:val="000000"/>
              <w:sz w:val="18"/>
              <w:szCs w:val="32"/>
            </w:rPr>
            <w:fldChar w:fldCharType="separate"/>
          </w:r>
          <w:r>
            <w:rPr>
              <w:bCs/>
              <w:noProof/>
              <w:color w:val="000000"/>
              <w:sz w:val="18"/>
              <w:szCs w:val="32"/>
            </w:rPr>
            <w:t>2</w:t>
          </w:r>
          <w:r>
            <w:rPr>
              <w:bCs/>
              <w:color w:val="000000"/>
              <w:sz w:val="18"/>
              <w:szCs w:val="32"/>
            </w:rPr>
            <w:fldChar w:fldCharType="end"/>
          </w:r>
        </w:p>
      </w:tc>
    </w:tr>
  </w:tbl>
  <w:p w14:paraId="70575722" w14:textId="77777777" w:rsidR="00100C87" w:rsidRDefault="00100C8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8" w:space="0" w:color="00B0F0"/>
      </w:tblBorders>
      <w:tblLayout w:type="fixed"/>
      <w:tblLook w:val="0400" w:firstRow="0" w:lastRow="0" w:firstColumn="0" w:lastColumn="0" w:noHBand="0" w:noVBand="1"/>
    </w:tblPr>
    <w:tblGrid>
      <w:gridCol w:w="8789"/>
      <w:gridCol w:w="283"/>
    </w:tblGrid>
    <w:tr w:rsidR="00100C87" w14:paraId="35F53117" w14:textId="77777777">
      <w:trPr>
        <w:trHeight w:val="456"/>
      </w:trPr>
      <w:tc>
        <w:tcPr>
          <w:tcW w:w="8789" w:type="dxa"/>
          <w:tcBorders>
            <w:top w:val="single" w:sz="8" w:space="0" w:color="00B0F0"/>
          </w:tcBorders>
          <w:shd w:val="clear" w:color="auto" w:fill="auto"/>
        </w:tcPr>
        <w:p w14:paraId="6F042039" w14:textId="77777777" w:rsidR="00100C87" w:rsidRDefault="00316DA2">
          <w:pPr>
            <w:pBdr>
              <w:top w:val="nil"/>
              <w:left w:val="nil"/>
              <w:bottom w:val="nil"/>
              <w:right w:val="nil"/>
              <w:between w:val="nil"/>
            </w:pBdr>
            <w:tabs>
              <w:tab w:val="center" w:pos="4536"/>
              <w:tab w:val="right" w:pos="9072"/>
            </w:tabs>
            <w:ind w:right="1549"/>
            <w:rPr>
              <w:rFonts w:eastAsia="Times New Roman"/>
              <w:color w:val="000000"/>
              <w:sz w:val="18"/>
              <w:szCs w:val="18"/>
            </w:rPr>
          </w:pPr>
          <w:r>
            <w:rPr>
              <w:rFonts w:eastAsia="Times New Roman"/>
              <w:color w:val="000000"/>
              <w:sz w:val="16"/>
              <w:szCs w:val="16"/>
            </w:rPr>
            <w:t>AAP</w:t>
          </w:r>
          <w:proofErr w:type="gramStart"/>
          <w:r>
            <w:rPr>
              <w:rFonts w:eastAsia="Times New Roman"/>
              <w:color w:val="000000"/>
              <w:sz w:val="16"/>
              <w:szCs w:val="16"/>
            </w:rPr>
            <w:t xml:space="preserve"> «Développement</w:t>
          </w:r>
          <w:proofErr w:type="gramEnd"/>
          <w:r>
            <w:rPr>
              <w:rFonts w:eastAsia="Times New Roman"/>
              <w:color w:val="000000"/>
              <w:sz w:val="16"/>
              <w:szCs w:val="16"/>
            </w:rPr>
            <w:t xml:space="preserve"> d’une filière de production française de carburants aéronautiques durables – - Soutien aux études d’ingénierie préliminaire (FEED)»</w:t>
          </w:r>
        </w:p>
      </w:tc>
      <w:tc>
        <w:tcPr>
          <w:tcW w:w="283" w:type="dxa"/>
          <w:tcBorders>
            <w:top w:val="single" w:sz="8" w:space="0" w:color="00B0F0"/>
          </w:tcBorders>
          <w:shd w:val="clear" w:color="auto" w:fill="auto"/>
        </w:tcPr>
        <w:p w14:paraId="0C550D8A" w14:textId="6AEF989E" w:rsidR="00100C87" w:rsidRDefault="00316DA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3B6D31">
            <w:rPr>
              <w:rFonts w:eastAsia="Times New Roman"/>
              <w:noProof/>
              <w:color w:val="000000"/>
              <w:sz w:val="18"/>
              <w:szCs w:val="18"/>
            </w:rPr>
            <w:t>2</w:t>
          </w:r>
          <w:r>
            <w:rPr>
              <w:rFonts w:eastAsia="Times New Roman"/>
              <w:color w:val="000000"/>
              <w:sz w:val="18"/>
              <w:szCs w:val="18"/>
            </w:rPr>
            <w:fldChar w:fldCharType="end"/>
          </w:r>
        </w:p>
      </w:tc>
    </w:tr>
  </w:tbl>
  <w:p w14:paraId="1A68FD8C" w14:textId="77777777" w:rsidR="00100C87" w:rsidRDefault="00100C87">
    <w:pPr>
      <w:widowControl w:val="0"/>
      <w:pBdr>
        <w:top w:val="nil"/>
        <w:left w:val="nil"/>
        <w:bottom w:val="nil"/>
        <w:right w:val="nil"/>
        <w:between w:val="nil"/>
      </w:pBdr>
      <w:spacing w:after="0" w:line="276"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2" w:type="dxa"/>
      <w:tblBorders>
        <w:top w:val="single" w:sz="8" w:space="0" w:color="00B0F0"/>
      </w:tblBorders>
      <w:tblLayout w:type="fixed"/>
      <w:tblLook w:val="0400" w:firstRow="0" w:lastRow="0" w:firstColumn="0" w:lastColumn="0" w:noHBand="0" w:noVBand="1"/>
    </w:tblPr>
    <w:tblGrid>
      <w:gridCol w:w="14034"/>
      <w:gridCol w:w="708"/>
    </w:tblGrid>
    <w:tr w:rsidR="00100C87" w14:paraId="5AAE8F6F" w14:textId="77777777">
      <w:trPr>
        <w:trHeight w:val="456"/>
      </w:trPr>
      <w:tc>
        <w:tcPr>
          <w:tcW w:w="14034" w:type="dxa"/>
          <w:tcBorders>
            <w:top w:val="single" w:sz="8" w:space="0" w:color="00B0F0"/>
          </w:tcBorders>
          <w:shd w:val="clear" w:color="auto" w:fill="auto"/>
        </w:tcPr>
        <w:p w14:paraId="7CC29D79" w14:textId="77777777" w:rsidR="00100C87" w:rsidRDefault="00316DA2">
          <w:pPr>
            <w:pBdr>
              <w:top w:val="nil"/>
              <w:left w:val="nil"/>
              <w:bottom w:val="nil"/>
              <w:right w:val="nil"/>
              <w:between w:val="nil"/>
            </w:pBdr>
            <w:tabs>
              <w:tab w:val="center" w:pos="4536"/>
              <w:tab w:val="right" w:pos="9072"/>
            </w:tabs>
            <w:ind w:right="1549"/>
            <w:rPr>
              <w:rFonts w:eastAsia="Times New Roman"/>
              <w:color w:val="000000"/>
              <w:sz w:val="18"/>
              <w:szCs w:val="18"/>
            </w:rPr>
          </w:pPr>
          <w:r>
            <w:rPr>
              <w:rFonts w:eastAsia="Times New Roman"/>
              <w:color w:val="000000"/>
              <w:sz w:val="16"/>
              <w:szCs w:val="16"/>
            </w:rPr>
            <w:t>AAP</w:t>
          </w:r>
          <w:proofErr w:type="gramStart"/>
          <w:r>
            <w:rPr>
              <w:rFonts w:eastAsia="Times New Roman"/>
              <w:color w:val="000000"/>
              <w:sz w:val="16"/>
              <w:szCs w:val="16"/>
            </w:rPr>
            <w:t xml:space="preserve"> «Développement</w:t>
          </w:r>
          <w:proofErr w:type="gramEnd"/>
          <w:r>
            <w:rPr>
              <w:rFonts w:eastAsia="Times New Roman"/>
              <w:color w:val="000000"/>
              <w:sz w:val="16"/>
              <w:szCs w:val="16"/>
            </w:rPr>
            <w:t xml:space="preserve"> d’une filière de production française de carburants aéronautiques durables – - Soutien aux études d’ingénierie préliminaire (FEED)»</w:t>
          </w:r>
        </w:p>
      </w:tc>
      <w:tc>
        <w:tcPr>
          <w:tcW w:w="708" w:type="dxa"/>
          <w:tcBorders>
            <w:top w:val="single" w:sz="8" w:space="0" w:color="00B0F0"/>
          </w:tcBorders>
          <w:shd w:val="clear" w:color="auto" w:fill="auto"/>
        </w:tcPr>
        <w:p w14:paraId="51202EC1" w14:textId="153B8035" w:rsidR="00100C87" w:rsidRDefault="00316DA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3B6D31">
            <w:rPr>
              <w:rFonts w:eastAsia="Times New Roman"/>
              <w:noProof/>
              <w:color w:val="000000"/>
              <w:sz w:val="18"/>
              <w:szCs w:val="18"/>
            </w:rPr>
            <w:t>14</w:t>
          </w:r>
          <w:r>
            <w:rPr>
              <w:rFonts w:eastAsia="Times New Roman"/>
              <w:color w:val="000000"/>
              <w:sz w:val="18"/>
              <w:szCs w:val="18"/>
            </w:rPr>
            <w:fldChar w:fldCharType="end"/>
          </w:r>
        </w:p>
      </w:tc>
    </w:tr>
  </w:tbl>
  <w:p w14:paraId="75C16FAF" w14:textId="77777777" w:rsidR="00100C87" w:rsidRDefault="00100C8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2" w:type="dxa"/>
      <w:tblBorders>
        <w:top w:val="single" w:sz="8" w:space="0" w:color="00B0F0"/>
      </w:tblBorders>
      <w:tblLayout w:type="fixed"/>
      <w:tblLook w:val="0400" w:firstRow="0" w:lastRow="0" w:firstColumn="0" w:lastColumn="0" w:noHBand="0" w:noVBand="1"/>
    </w:tblPr>
    <w:tblGrid>
      <w:gridCol w:w="14317"/>
      <w:gridCol w:w="425"/>
    </w:tblGrid>
    <w:tr w:rsidR="00100C87" w14:paraId="1DE64377" w14:textId="77777777">
      <w:trPr>
        <w:trHeight w:val="456"/>
      </w:trPr>
      <w:tc>
        <w:tcPr>
          <w:tcW w:w="14317" w:type="dxa"/>
          <w:tcBorders>
            <w:top w:val="single" w:sz="8" w:space="0" w:color="00B0F0"/>
          </w:tcBorders>
          <w:shd w:val="clear" w:color="auto" w:fill="auto"/>
        </w:tcPr>
        <w:p w14:paraId="6009BC29" w14:textId="77777777" w:rsidR="00100C87" w:rsidRDefault="00316DA2">
          <w:pPr>
            <w:pBdr>
              <w:top w:val="nil"/>
              <w:left w:val="nil"/>
              <w:bottom w:val="nil"/>
              <w:right w:val="nil"/>
              <w:between w:val="nil"/>
            </w:pBdr>
            <w:tabs>
              <w:tab w:val="center" w:pos="4536"/>
              <w:tab w:val="right" w:pos="9072"/>
            </w:tabs>
            <w:ind w:right="1549"/>
            <w:rPr>
              <w:rFonts w:eastAsia="Times New Roman"/>
              <w:color w:val="000000"/>
              <w:sz w:val="18"/>
              <w:szCs w:val="18"/>
            </w:rPr>
          </w:pPr>
          <w:r>
            <w:rPr>
              <w:rFonts w:eastAsia="Times New Roman"/>
              <w:color w:val="000000"/>
              <w:sz w:val="16"/>
              <w:szCs w:val="16"/>
            </w:rPr>
            <w:t>AAP</w:t>
          </w:r>
          <w:proofErr w:type="gramStart"/>
          <w:r>
            <w:rPr>
              <w:rFonts w:eastAsia="Times New Roman"/>
              <w:color w:val="000000"/>
              <w:sz w:val="16"/>
              <w:szCs w:val="16"/>
            </w:rPr>
            <w:t xml:space="preserve"> «Développement</w:t>
          </w:r>
          <w:proofErr w:type="gramEnd"/>
          <w:r>
            <w:rPr>
              <w:rFonts w:eastAsia="Times New Roman"/>
              <w:color w:val="000000"/>
              <w:sz w:val="16"/>
              <w:szCs w:val="16"/>
            </w:rPr>
            <w:t xml:space="preserve"> d’une filière de production française de carburants aéronautiques durables – - Soutien aux études d’ingénierie préliminaire (FEED)»</w:t>
          </w:r>
        </w:p>
      </w:tc>
      <w:tc>
        <w:tcPr>
          <w:tcW w:w="425" w:type="dxa"/>
          <w:tcBorders>
            <w:top w:val="single" w:sz="8" w:space="0" w:color="00B0F0"/>
          </w:tcBorders>
          <w:shd w:val="clear" w:color="auto" w:fill="auto"/>
        </w:tcPr>
        <w:p w14:paraId="708448B5" w14:textId="49E3CECC" w:rsidR="00100C87" w:rsidRDefault="00316DA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3B6D31">
            <w:rPr>
              <w:rFonts w:eastAsia="Times New Roman"/>
              <w:noProof/>
              <w:color w:val="000000"/>
              <w:sz w:val="18"/>
              <w:szCs w:val="18"/>
            </w:rPr>
            <w:t>13</w:t>
          </w:r>
          <w:r>
            <w:rPr>
              <w:rFonts w:eastAsia="Times New Roman"/>
              <w:color w:val="000000"/>
              <w:sz w:val="18"/>
              <w:szCs w:val="18"/>
            </w:rPr>
            <w:fldChar w:fldCharType="end"/>
          </w:r>
        </w:p>
      </w:tc>
    </w:tr>
  </w:tbl>
  <w:p w14:paraId="25B6DB83" w14:textId="77777777" w:rsidR="00100C87" w:rsidRDefault="00100C87">
    <w:pPr>
      <w:widowControl w:val="0"/>
      <w:pBdr>
        <w:top w:val="nil"/>
        <w:left w:val="nil"/>
        <w:bottom w:val="nil"/>
        <w:right w:val="nil"/>
        <w:between w:val="nil"/>
      </w:pBdr>
      <w:spacing w:after="0" w:line="276"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8" w:space="0" w:color="00B0F0"/>
      </w:tblBorders>
      <w:tblLayout w:type="fixed"/>
      <w:tblLook w:val="0400" w:firstRow="0" w:lastRow="0" w:firstColumn="0" w:lastColumn="0" w:noHBand="0" w:noVBand="1"/>
    </w:tblPr>
    <w:tblGrid>
      <w:gridCol w:w="8647"/>
      <w:gridCol w:w="425"/>
    </w:tblGrid>
    <w:tr w:rsidR="00100C87" w14:paraId="17CF2B90" w14:textId="77777777">
      <w:trPr>
        <w:trHeight w:val="456"/>
      </w:trPr>
      <w:tc>
        <w:tcPr>
          <w:tcW w:w="8647" w:type="dxa"/>
          <w:tcBorders>
            <w:top w:val="single" w:sz="8" w:space="0" w:color="00B0F0"/>
          </w:tcBorders>
          <w:shd w:val="clear" w:color="auto" w:fill="auto"/>
        </w:tcPr>
        <w:p w14:paraId="7C3D3879" w14:textId="77777777" w:rsidR="00100C87" w:rsidRDefault="00316DA2">
          <w:pPr>
            <w:pBdr>
              <w:top w:val="nil"/>
              <w:left w:val="nil"/>
              <w:bottom w:val="nil"/>
              <w:right w:val="nil"/>
              <w:between w:val="nil"/>
            </w:pBdr>
            <w:tabs>
              <w:tab w:val="center" w:pos="4536"/>
              <w:tab w:val="right" w:pos="9072"/>
            </w:tabs>
            <w:ind w:right="1310"/>
            <w:rPr>
              <w:rFonts w:eastAsia="Times New Roman"/>
              <w:color w:val="000000"/>
              <w:sz w:val="16"/>
              <w:szCs w:val="16"/>
            </w:rPr>
          </w:pPr>
          <w:r>
            <w:rPr>
              <w:rFonts w:eastAsia="Times New Roman"/>
              <w:color w:val="000000"/>
              <w:sz w:val="16"/>
              <w:szCs w:val="16"/>
            </w:rPr>
            <w:t>AAP</w:t>
          </w:r>
          <w:proofErr w:type="gramStart"/>
          <w:r>
            <w:rPr>
              <w:rFonts w:eastAsia="Times New Roman"/>
              <w:color w:val="000000"/>
              <w:sz w:val="16"/>
              <w:szCs w:val="16"/>
            </w:rPr>
            <w:t xml:space="preserve"> «Développement</w:t>
          </w:r>
          <w:proofErr w:type="gramEnd"/>
          <w:r>
            <w:rPr>
              <w:rFonts w:eastAsia="Times New Roman"/>
              <w:color w:val="000000"/>
              <w:sz w:val="16"/>
              <w:szCs w:val="16"/>
            </w:rPr>
            <w:t xml:space="preserve"> d’une filière de production française de carburants aéronautiques durables – - Soutien aux études d’ingénierie préliminaire (FEED)»</w:t>
          </w:r>
        </w:p>
      </w:tc>
      <w:tc>
        <w:tcPr>
          <w:tcW w:w="425" w:type="dxa"/>
          <w:tcBorders>
            <w:top w:val="single" w:sz="8" w:space="0" w:color="00B0F0"/>
          </w:tcBorders>
          <w:shd w:val="clear" w:color="auto" w:fill="auto"/>
        </w:tcPr>
        <w:p w14:paraId="53AC65EE" w14:textId="28BB5D39" w:rsidR="00100C87" w:rsidRDefault="00316DA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6"/>
              <w:szCs w:val="16"/>
            </w:rPr>
          </w:pPr>
          <w:r>
            <w:rPr>
              <w:rFonts w:eastAsia="Times New Roman"/>
              <w:color w:val="000000"/>
              <w:sz w:val="16"/>
              <w:szCs w:val="16"/>
            </w:rPr>
            <w:fldChar w:fldCharType="begin"/>
          </w:r>
          <w:r>
            <w:rPr>
              <w:rFonts w:eastAsia="Times New Roman"/>
              <w:color w:val="000000"/>
              <w:sz w:val="16"/>
              <w:szCs w:val="16"/>
            </w:rPr>
            <w:instrText>PAGE</w:instrText>
          </w:r>
          <w:r>
            <w:rPr>
              <w:rFonts w:eastAsia="Times New Roman"/>
              <w:color w:val="000000"/>
              <w:sz w:val="16"/>
              <w:szCs w:val="16"/>
            </w:rPr>
            <w:fldChar w:fldCharType="separate"/>
          </w:r>
          <w:r w:rsidR="003B6D31">
            <w:rPr>
              <w:rFonts w:eastAsia="Times New Roman"/>
              <w:noProof/>
              <w:color w:val="000000"/>
              <w:sz w:val="16"/>
              <w:szCs w:val="16"/>
            </w:rPr>
            <w:t>20</w:t>
          </w:r>
          <w:r>
            <w:rPr>
              <w:rFonts w:eastAsia="Times New Roman"/>
              <w:color w:val="000000"/>
              <w:sz w:val="16"/>
              <w:szCs w:val="16"/>
            </w:rPr>
            <w:fldChar w:fldCharType="end"/>
          </w:r>
        </w:p>
      </w:tc>
    </w:tr>
  </w:tbl>
  <w:p w14:paraId="01C6ED76" w14:textId="77777777" w:rsidR="00100C87" w:rsidRDefault="00100C87">
    <w:pPr>
      <w:widowControl w:val="0"/>
      <w:pBdr>
        <w:top w:val="nil"/>
        <w:left w:val="nil"/>
        <w:bottom w:val="nil"/>
        <w:right w:val="nil"/>
        <w:between w:val="nil"/>
      </w:pBdr>
      <w:spacing w:after="0" w:line="276" w:lineRule="auto"/>
      <w:jc w:val="left"/>
      <w:rPr>
        <w:color w:val="000000"/>
      </w:rPr>
    </w:pPr>
  </w:p>
  <w:p w14:paraId="4790798B" w14:textId="77777777" w:rsidR="00100C87" w:rsidRDefault="00100C87">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ADF9" w14:textId="77777777" w:rsidR="00100C87" w:rsidRDefault="00316DA2">
    <w:pPr>
      <w:pStyle w:val="Pieddepage"/>
    </w:pPr>
    <w:r>
      <w:rPr>
        <w:noProof/>
      </w:rPr>
      <w:drawing>
        <wp:anchor distT="0" distB="0" distL="0" distR="0" simplePos="0" relativeHeight="251658240" behindDoc="0" locked="0" layoutInCell="1" hidden="0" allowOverlap="1" wp14:anchorId="55A67E26" wp14:editId="6F4249B3">
          <wp:simplePos x="0" y="0"/>
          <wp:positionH relativeFrom="column">
            <wp:posOffset>-485775</wp:posOffset>
          </wp:positionH>
          <wp:positionV relativeFrom="paragraph">
            <wp:posOffset>161925</wp:posOffset>
          </wp:positionV>
          <wp:extent cx="7200265" cy="1117600"/>
          <wp:effectExtent l="0" t="0" r="0" b="0"/>
          <wp:wrapSquare wrapText="bothSides" distT="0" distB="0" distL="0" distR="0"/>
          <wp:docPr id="22" name="Image 22"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r>
      <w:rPr>
        <w:noProof/>
      </w:rPr>
      <w:drawing>
        <wp:anchor distT="0" distB="0" distL="0" distR="0" simplePos="0" relativeHeight="251658241" behindDoc="0" locked="0" layoutInCell="1" hidden="0" allowOverlap="1" wp14:anchorId="5D124652" wp14:editId="2120A004">
          <wp:simplePos x="0" y="0"/>
          <wp:positionH relativeFrom="column">
            <wp:posOffset>152400</wp:posOffset>
          </wp:positionH>
          <wp:positionV relativeFrom="paragraph">
            <wp:posOffset>314325</wp:posOffset>
          </wp:positionV>
          <wp:extent cx="7200265" cy="1117600"/>
          <wp:effectExtent l="0" t="0" r="0" b="0"/>
          <wp:wrapSquare wrapText="bothSides" distT="0" distB="0" distL="0" distR="0"/>
          <wp:docPr id="23" name="Image 23"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5378" w14:textId="77777777" w:rsidR="00100C87" w:rsidRDefault="00316DA2">
      <w:pPr>
        <w:spacing w:after="0"/>
      </w:pPr>
      <w:r>
        <w:separator/>
      </w:r>
    </w:p>
  </w:footnote>
  <w:footnote w:type="continuationSeparator" w:id="0">
    <w:p w14:paraId="6B12D161" w14:textId="77777777" w:rsidR="00100C87" w:rsidRDefault="00316DA2">
      <w:pPr>
        <w:spacing w:after="0"/>
      </w:pPr>
      <w:r>
        <w:continuationSeparator/>
      </w:r>
    </w:p>
  </w:footnote>
  <w:footnote w:type="continuationNotice" w:id="1">
    <w:p w14:paraId="6EAA48D4" w14:textId="77777777" w:rsidR="00100C87" w:rsidRDefault="00100C87">
      <w:pPr>
        <w:spacing w:after="0"/>
      </w:pPr>
    </w:p>
  </w:footnote>
  <w:footnote w:id="2">
    <w:p w14:paraId="15D1F4A0" w14:textId="0AE6C8AA" w:rsidR="00DE144F" w:rsidRDefault="00DE144F">
      <w:pPr>
        <w:pStyle w:val="Notedebasdepage"/>
      </w:pPr>
      <w:r>
        <w:rPr>
          <w:rStyle w:val="Appelnotedebasdep"/>
        </w:rPr>
        <w:footnoteRef/>
      </w:r>
      <w:r>
        <w:t xml:space="preserve"> </w:t>
      </w:r>
      <w:bookmarkStart w:id="1" w:name="_Hlk153375575"/>
      <w:r>
        <w:t>Sous réserve de publication au Journal officiel de l’arrêté de la Première ministre approuvant le cahier des charges de cet appel à projets</w:t>
      </w:r>
      <w:bookmarkEnd w:id="1"/>
    </w:p>
  </w:footnote>
  <w:footnote w:id="3">
    <w:p w14:paraId="64D92C4A" w14:textId="77777777" w:rsidR="00100C87" w:rsidRDefault="00316DA2">
      <w:pPr>
        <w:pStyle w:val="Notedebasdepage"/>
        <w:rPr>
          <w:sz w:val="18"/>
          <w:szCs w:val="18"/>
        </w:rPr>
      </w:pPr>
      <w:r>
        <w:rPr>
          <w:rStyle w:val="Appelnotedebasdep"/>
        </w:rPr>
        <w:footnoteRef/>
      </w:r>
      <w:r>
        <w:t xml:space="preserve"> </w:t>
      </w:r>
      <w:r>
        <w:rPr>
          <w:sz w:val="18"/>
          <w:szCs w:val="18"/>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4">
    <w:p w14:paraId="5BC760DB" w14:textId="77777777" w:rsidR="00100C87" w:rsidRDefault="00316DA2">
      <w:pPr>
        <w:pStyle w:val="Notedebasdepage"/>
        <w:rPr>
          <w:sz w:val="18"/>
          <w:szCs w:val="18"/>
        </w:rPr>
      </w:pPr>
      <w:r>
        <w:rPr>
          <w:rStyle w:val="Appelnotedebasdep"/>
        </w:rPr>
        <w:footnoteRef/>
      </w:r>
      <w:r>
        <w:t xml:space="preserve"> </w:t>
      </w:r>
      <w:r>
        <w:rPr>
          <w:sz w:val="18"/>
          <w:szCs w:val="18"/>
        </w:rPr>
        <w:t xml:space="preserve">Règlement (UE) 2021/241 du Parlement européen et du Conseil du 12 février 2021 établissant la facilité pour la reprise et la résilience. </w:t>
      </w:r>
    </w:p>
  </w:footnote>
  <w:footnote w:id="5">
    <w:p w14:paraId="0ADB9AFC" w14:textId="77777777" w:rsidR="00100C87" w:rsidRDefault="00316DA2">
      <w:pPr>
        <w:pStyle w:val="Notedebasdepage"/>
      </w:pPr>
      <w:r>
        <w:rPr>
          <w:rStyle w:val="Appelnotedebasdep"/>
          <w:sz w:val="18"/>
        </w:rPr>
        <w:footnoteRef/>
      </w:r>
      <w:r>
        <w:rPr>
          <w:sz w:val="18"/>
        </w:rPr>
        <w:t xml:space="preserve"> </w:t>
      </w:r>
      <w:r>
        <w:rPr>
          <w:sz w:val="18"/>
          <w:szCs w:val="23"/>
        </w:rPr>
        <w:t>Règlement (UE) 2020/852 sur l’établissement d’un cadre visant à favoriser les investissements durables, en mettant en place un système de classification (ou</w:t>
      </w:r>
      <w:proofErr w:type="gramStart"/>
      <w:r>
        <w:rPr>
          <w:sz w:val="18"/>
          <w:szCs w:val="23"/>
        </w:rPr>
        <w:t xml:space="preserve"> «taxonomie</w:t>
      </w:r>
      <w:proofErr w:type="gramEnd"/>
      <w:r>
        <w:rPr>
          <w:sz w:val="18"/>
          <w:szCs w:val="23"/>
        </w:rPr>
        <w:t>») pour les activités économiques durables sur le plan environnemental, publié au journal officiel de l’UE le 22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0FAB" w14:textId="77777777" w:rsidR="00100C87" w:rsidRDefault="00100C8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D0D" w14:textId="77777777" w:rsidR="00100C87" w:rsidRDefault="00100C87">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A714" w14:textId="77777777" w:rsidR="00100C87" w:rsidRDefault="00100C8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A91C" w14:textId="77777777" w:rsidR="00100C87" w:rsidRDefault="00100C87">
    <w:pPr>
      <w:pBdr>
        <w:top w:val="nil"/>
        <w:left w:val="nil"/>
        <w:bottom w:val="nil"/>
        <w:right w:val="nil"/>
        <w:between w:val="nil"/>
      </w:pBdr>
      <w:tabs>
        <w:tab w:val="center" w:pos="4536"/>
        <w:tab w:val="right" w:pos="9072"/>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87AC" w14:textId="77777777" w:rsidR="00100C87" w:rsidRDefault="00100C87">
    <w:pPr>
      <w:pBdr>
        <w:top w:val="nil"/>
        <w:left w:val="nil"/>
        <w:bottom w:val="nil"/>
        <w:right w:val="nil"/>
        <w:between w:val="nil"/>
      </w:pBdr>
      <w:tabs>
        <w:tab w:val="center" w:pos="4536"/>
        <w:tab w:val="right" w:pos="9072"/>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8699" w14:textId="77777777" w:rsidR="00100C87" w:rsidRDefault="00316DA2">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32BF7B0A" wp14:editId="76E002A0">
          <wp:extent cx="1073785" cy="1212215"/>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3785" cy="121221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0AD1A5B8" wp14:editId="27CF4568">
          <wp:extent cx="1869440" cy="1089013"/>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41126" b="-41126"/>
                  <a:stretch>
                    <a:fillRect/>
                  </a:stretch>
                </pic:blipFill>
                <pic:spPr>
                  <a:xfrm>
                    <a:off x="0" y="0"/>
                    <a:ext cx="1869440" cy="1089013"/>
                  </a:xfrm>
                  <a:prstGeom prst="rect">
                    <a:avLst/>
                  </a:prstGeom>
                  <a:ln/>
                </pic:spPr>
              </pic:pic>
            </a:graphicData>
          </a:graphic>
        </wp:inline>
      </w:drawing>
    </w:r>
  </w:p>
  <w:p w14:paraId="1A2F57C1" w14:textId="77777777" w:rsidR="00100C87" w:rsidRDefault="00100C8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33C3B"/>
    <w:multiLevelType w:val="multilevel"/>
    <w:tmpl w:val="394474E4"/>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EDB5D"/>
    <w:multiLevelType w:val="hybridMultilevel"/>
    <w:tmpl w:val="FFFFFFFF"/>
    <w:lvl w:ilvl="0" w:tplc="667AF780">
      <w:start w:val="1"/>
      <w:numFmt w:val="bullet"/>
      <w:lvlText w:val="-"/>
      <w:lvlJc w:val="left"/>
      <w:pPr>
        <w:ind w:left="720" w:hanging="360"/>
      </w:pPr>
      <w:rPr>
        <w:rFonts w:ascii="Marianne" w:hAnsi="Marianne" w:hint="default"/>
      </w:rPr>
    </w:lvl>
    <w:lvl w:ilvl="1" w:tplc="ACDACC08">
      <w:start w:val="1"/>
      <w:numFmt w:val="bullet"/>
      <w:lvlText w:val="o"/>
      <w:lvlJc w:val="left"/>
      <w:pPr>
        <w:ind w:left="1440" w:hanging="360"/>
      </w:pPr>
      <w:rPr>
        <w:rFonts w:ascii="Courier New" w:hAnsi="Courier New" w:hint="default"/>
      </w:rPr>
    </w:lvl>
    <w:lvl w:ilvl="2" w:tplc="E50EDBD2">
      <w:start w:val="1"/>
      <w:numFmt w:val="bullet"/>
      <w:lvlText w:val=""/>
      <w:lvlJc w:val="left"/>
      <w:pPr>
        <w:ind w:left="2160" w:hanging="360"/>
      </w:pPr>
      <w:rPr>
        <w:rFonts w:ascii="Wingdings" w:hAnsi="Wingdings" w:hint="default"/>
      </w:rPr>
    </w:lvl>
    <w:lvl w:ilvl="3" w:tplc="C6B6BCAE">
      <w:start w:val="1"/>
      <w:numFmt w:val="bullet"/>
      <w:lvlText w:val=""/>
      <w:lvlJc w:val="left"/>
      <w:pPr>
        <w:ind w:left="2880" w:hanging="360"/>
      </w:pPr>
      <w:rPr>
        <w:rFonts w:ascii="Symbol" w:hAnsi="Symbol" w:hint="default"/>
      </w:rPr>
    </w:lvl>
    <w:lvl w:ilvl="4" w:tplc="F07A1C3C">
      <w:start w:val="1"/>
      <w:numFmt w:val="bullet"/>
      <w:lvlText w:val="o"/>
      <w:lvlJc w:val="left"/>
      <w:pPr>
        <w:ind w:left="3600" w:hanging="360"/>
      </w:pPr>
      <w:rPr>
        <w:rFonts w:ascii="Courier New" w:hAnsi="Courier New" w:hint="default"/>
      </w:rPr>
    </w:lvl>
    <w:lvl w:ilvl="5" w:tplc="A344EB16">
      <w:start w:val="1"/>
      <w:numFmt w:val="bullet"/>
      <w:lvlText w:val=""/>
      <w:lvlJc w:val="left"/>
      <w:pPr>
        <w:ind w:left="4320" w:hanging="360"/>
      </w:pPr>
      <w:rPr>
        <w:rFonts w:ascii="Wingdings" w:hAnsi="Wingdings" w:hint="default"/>
      </w:rPr>
    </w:lvl>
    <w:lvl w:ilvl="6" w:tplc="5D1EC334">
      <w:start w:val="1"/>
      <w:numFmt w:val="bullet"/>
      <w:lvlText w:val=""/>
      <w:lvlJc w:val="left"/>
      <w:pPr>
        <w:ind w:left="5040" w:hanging="360"/>
      </w:pPr>
      <w:rPr>
        <w:rFonts w:ascii="Symbol" w:hAnsi="Symbol" w:hint="default"/>
      </w:rPr>
    </w:lvl>
    <w:lvl w:ilvl="7" w:tplc="5516BDCA">
      <w:start w:val="1"/>
      <w:numFmt w:val="bullet"/>
      <w:lvlText w:val="o"/>
      <w:lvlJc w:val="left"/>
      <w:pPr>
        <w:ind w:left="5760" w:hanging="360"/>
      </w:pPr>
      <w:rPr>
        <w:rFonts w:ascii="Courier New" w:hAnsi="Courier New" w:hint="default"/>
      </w:rPr>
    </w:lvl>
    <w:lvl w:ilvl="8" w:tplc="62AAA0E2">
      <w:start w:val="1"/>
      <w:numFmt w:val="bullet"/>
      <w:lvlText w:val=""/>
      <w:lvlJc w:val="left"/>
      <w:pPr>
        <w:ind w:left="6480" w:hanging="360"/>
      </w:pPr>
      <w:rPr>
        <w:rFonts w:ascii="Wingdings" w:hAnsi="Wingdings" w:hint="default"/>
      </w:rPr>
    </w:lvl>
  </w:abstractNum>
  <w:abstractNum w:abstractNumId="3" w15:restartNumberingAfterBreak="0">
    <w:nsid w:val="19701246"/>
    <w:multiLevelType w:val="multilevel"/>
    <w:tmpl w:val="6F6637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0469FD"/>
    <w:multiLevelType w:val="hybridMultilevel"/>
    <w:tmpl w:val="BD645050"/>
    <w:lvl w:ilvl="0" w:tplc="333CE4C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52C1E6"/>
    <w:multiLevelType w:val="hybridMultilevel"/>
    <w:tmpl w:val="EB5CADA8"/>
    <w:lvl w:ilvl="0" w:tplc="333CE4CA">
      <w:start w:val="1"/>
      <w:numFmt w:val="bullet"/>
      <w:lvlText w:val="-"/>
      <w:lvlJc w:val="left"/>
      <w:pPr>
        <w:ind w:left="720" w:hanging="360"/>
      </w:pPr>
      <w:rPr>
        <w:rFonts w:ascii="Calibri" w:hAnsi="Calibri" w:hint="default"/>
      </w:rPr>
    </w:lvl>
    <w:lvl w:ilvl="1" w:tplc="A1E2EEF8">
      <w:start w:val="1"/>
      <w:numFmt w:val="bullet"/>
      <w:lvlText w:val="o"/>
      <w:lvlJc w:val="left"/>
      <w:pPr>
        <w:ind w:left="1440" w:hanging="360"/>
      </w:pPr>
      <w:rPr>
        <w:rFonts w:ascii="Courier New" w:hAnsi="Courier New" w:hint="default"/>
      </w:rPr>
    </w:lvl>
    <w:lvl w:ilvl="2" w:tplc="3A60F4E2">
      <w:start w:val="1"/>
      <w:numFmt w:val="bullet"/>
      <w:lvlText w:val=""/>
      <w:lvlJc w:val="left"/>
      <w:pPr>
        <w:ind w:left="2160" w:hanging="360"/>
      </w:pPr>
      <w:rPr>
        <w:rFonts w:ascii="Wingdings" w:hAnsi="Wingdings" w:hint="default"/>
      </w:rPr>
    </w:lvl>
    <w:lvl w:ilvl="3" w:tplc="0F80E980">
      <w:start w:val="1"/>
      <w:numFmt w:val="bullet"/>
      <w:lvlText w:val=""/>
      <w:lvlJc w:val="left"/>
      <w:pPr>
        <w:ind w:left="2880" w:hanging="360"/>
      </w:pPr>
      <w:rPr>
        <w:rFonts w:ascii="Symbol" w:hAnsi="Symbol" w:hint="default"/>
      </w:rPr>
    </w:lvl>
    <w:lvl w:ilvl="4" w:tplc="5B3C6AE0">
      <w:start w:val="1"/>
      <w:numFmt w:val="bullet"/>
      <w:lvlText w:val="o"/>
      <w:lvlJc w:val="left"/>
      <w:pPr>
        <w:ind w:left="3600" w:hanging="360"/>
      </w:pPr>
      <w:rPr>
        <w:rFonts w:ascii="Courier New" w:hAnsi="Courier New" w:hint="default"/>
      </w:rPr>
    </w:lvl>
    <w:lvl w:ilvl="5" w:tplc="B5F4C1A0">
      <w:start w:val="1"/>
      <w:numFmt w:val="bullet"/>
      <w:lvlText w:val=""/>
      <w:lvlJc w:val="left"/>
      <w:pPr>
        <w:ind w:left="4320" w:hanging="360"/>
      </w:pPr>
      <w:rPr>
        <w:rFonts w:ascii="Wingdings" w:hAnsi="Wingdings" w:hint="default"/>
      </w:rPr>
    </w:lvl>
    <w:lvl w:ilvl="6" w:tplc="993ADC5A">
      <w:start w:val="1"/>
      <w:numFmt w:val="bullet"/>
      <w:lvlText w:val=""/>
      <w:lvlJc w:val="left"/>
      <w:pPr>
        <w:ind w:left="5040" w:hanging="360"/>
      </w:pPr>
      <w:rPr>
        <w:rFonts w:ascii="Symbol" w:hAnsi="Symbol" w:hint="default"/>
      </w:rPr>
    </w:lvl>
    <w:lvl w:ilvl="7" w:tplc="2C16B442">
      <w:start w:val="1"/>
      <w:numFmt w:val="bullet"/>
      <w:lvlText w:val="o"/>
      <w:lvlJc w:val="left"/>
      <w:pPr>
        <w:ind w:left="5760" w:hanging="360"/>
      </w:pPr>
      <w:rPr>
        <w:rFonts w:ascii="Courier New" w:hAnsi="Courier New" w:hint="default"/>
      </w:rPr>
    </w:lvl>
    <w:lvl w:ilvl="8" w:tplc="E910AAD2">
      <w:start w:val="1"/>
      <w:numFmt w:val="bullet"/>
      <w:lvlText w:val=""/>
      <w:lvlJc w:val="left"/>
      <w:pPr>
        <w:ind w:left="6480" w:hanging="360"/>
      </w:pPr>
      <w:rPr>
        <w:rFonts w:ascii="Wingdings" w:hAnsi="Wingdings" w:hint="default"/>
      </w:rPr>
    </w:lvl>
  </w:abstractNum>
  <w:abstractNum w:abstractNumId="6" w15:restartNumberingAfterBreak="0">
    <w:nsid w:val="3B7C32A7"/>
    <w:multiLevelType w:val="hybridMultilevel"/>
    <w:tmpl w:val="D95E9172"/>
    <w:lvl w:ilvl="0" w:tplc="30686D9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FC7ED1"/>
    <w:multiLevelType w:val="hybridMultilevel"/>
    <w:tmpl w:val="BDFAB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9D3ED9"/>
    <w:multiLevelType w:val="hybridMultilevel"/>
    <w:tmpl w:val="A6269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D91C4A"/>
    <w:multiLevelType w:val="multilevel"/>
    <w:tmpl w:val="131ED666"/>
    <w:lvl w:ilvl="0">
      <w:numFmt w:val="bullet"/>
      <w:lvlText w:val="✔"/>
      <w:lvlJc w:val="left"/>
      <w:pPr>
        <w:ind w:left="1328" w:hanging="359"/>
      </w:pPr>
      <w:rPr>
        <w:rFonts w:ascii="Noto Sans Symbols" w:eastAsia="Noto Sans Symbols" w:hAnsi="Noto Sans Symbols" w:cs="Noto Sans Symbols"/>
        <w:color w:val="C00000"/>
        <w:sz w:val="20"/>
        <w:szCs w:val="20"/>
      </w:rPr>
    </w:lvl>
    <w:lvl w:ilvl="1">
      <w:numFmt w:val="bullet"/>
      <w:lvlText w:val="•"/>
      <w:lvlJc w:val="left"/>
      <w:pPr>
        <w:ind w:left="2268" w:hanging="360"/>
      </w:pPr>
    </w:lvl>
    <w:lvl w:ilvl="2">
      <w:numFmt w:val="bullet"/>
      <w:lvlText w:val="•"/>
      <w:lvlJc w:val="left"/>
      <w:pPr>
        <w:ind w:left="3217" w:hanging="360"/>
      </w:pPr>
    </w:lvl>
    <w:lvl w:ilvl="3">
      <w:numFmt w:val="bullet"/>
      <w:lvlText w:val="•"/>
      <w:lvlJc w:val="left"/>
      <w:pPr>
        <w:ind w:left="4165" w:hanging="360"/>
      </w:pPr>
    </w:lvl>
    <w:lvl w:ilvl="4">
      <w:numFmt w:val="bullet"/>
      <w:lvlText w:val="•"/>
      <w:lvlJc w:val="left"/>
      <w:pPr>
        <w:ind w:left="5114" w:hanging="360"/>
      </w:pPr>
    </w:lvl>
    <w:lvl w:ilvl="5">
      <w:numFmt w:val="bullet"/>
      <w:lvlText w:val="•"/>
      <w:lvlJc w:val="left"/>
      <w:pPr>
        <w:ind w:left="6063" w:hanging="360"/>
      </w:pPr>
    </w:lvl>
    <w:lvl w:ilvl="6">
      <w:numFmt w:val="bullet"/>
      <w:lvlText w:val="•"/>
      <w:lvlJc w:val="left"/>
      <w:pPr>
        <w:ind w:left="7011" w:hanging="360"/>
      </w:pPr>
    </w:lvl>
    <w:lvl w:ilvl="7">
      <w:numFmt w:val="bullet"/>
      <w:lvlText w:val="•"/>
      <w:lvlJc w:val="left"/>
      <w:pPr>
        <w:ind w:left="7960" w:hanging="360"/>
      </w:pPr>
    </w:lvl>
    <w:lvl w:ilvl="8">
      <w:numFmt w:val="bullet"/>
      <w:lvlText w:val="•"/>
      <w:lvlJc w:val="left"/>
      <w:pPr>
        <w:ind w:left="8909" w:hanging="360"/>
      </w:pPr>
    </w:lvl>
  </w:abstractNum>
  <w:abstractNum w:abstractNumId="10" w15:restartNumberingAfterBreak="0">
    <w:nsid w:val="4DA56D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7C449AF"/>
    <w:multiLevelType w:val="hybridMultilevel"/>
    <w:tmpl w:val="1FA43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C0107F"/>
    <w:multiLevelType w:val="hybridMultilevel"/>
    <w:tmpl w:val="A7FE6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92AE5E"/>
    <w:multiLevelType w:val="hybridMultilevel"/>
    <w:tmpl w:val="FFFFFFFF"/>
    <w:lvl w:ilvl="0" w:tplc="DA80F10A">
      <w:start w:val="1"/>
      <w:numFmt w:val="bullet"/>
      <w:lvlText w:val="·"/>
      <w:lvlJc w:val="left"/>
      <w:pPr>
        <w:ind w:left="720" w:hanging="360"/>
      </w:pPr>
      <w:rPr>
        <w:rFonts w:ascii="Symbol" w:hAnsi="Symbol" w:hint="default"/>
      </w:rPr>
    </w:lvl>
    <w:lvl w:ilvl="1" w:tplc="A52E5102">
      <w:start w:val="1"/>
      <w:numFmt w:val="bullet"/>
      <w:lvlText w:val="o"/>
      <w:lvlJc w:val="left"/>
      <w:pPr>
        <w:ind w:left="1440" w:hanging="360"/>
      </w:pPr>
      <w:rPr>
        <w:rFonts w:ascii="Courier New" w:hAnsi="Courier New" w:hint="default"/>
      </w:rPr>
    </w:lvl>
    <w:lvl w:ilvl="2" w:tplc="52C02584">
      <w:start w:val="1"/>
      <w:numFmt w:val="bullet"/>
      <w:lvlText w:val=""/>
      <w:lvlJc w:val="left"/>
      <w:pPr>
        <w:ind w:left="2160" w:hanging="360"/>
      </w:pPr>
      <w:rPr>
        <w:rFonts w:ascii="Wingdings" w:hAnsi="Wingdings" w:hint="default"/>
      </w:rPr>
    </w:lvl>
    <w:lvl w:ilvl="3" w:tplc="97F4D214">
      <w:start w:val="1"/>
      <w:numFmt w:val="bullet"/>
      <w:lvlText w:val=""/>
      <w:lvlJc w:val="left"/>
      <w:pPr>
        <w:ind w:left="2880" w:hanging="360"/>
      </w:pPr>
      <w:rPr>
        <w:rFonts w:ascii="Symbol" w:hAnsi="Symbol" w:hint="default"/>
      </w:rPr>
    </w:lvl>
    <w:lvl w:ilvl="4" w:tplc="E43EA9D2">
      <w:start w:val="1"/>
      <w:numFmt w:val="bullet"/>
      <w:lvlText w:val="o"/>
      <w:lvlJc w:val="left"/>
      <w:pPr>
        <w:ind w:left="3600" w:hanging="360"/>
      </w:pPr>
      <w:rPr>
        <w:rFonts w:ascii="Courier New" w:hAnsi="Courier New" w:hint="default"/>
      </w:rPr>
    </w:lvl>
    <w:lvl w:ilvl="5" w:tplc="4E72CC24">
      <w:start w:val="1"/>
      <w:numFmt w:val="bullet"/>
      <w:lvlText w:val=""/>
      <w:lvlJc w:val="left"/>
      <w:pPr>
        <w:ind w:left="4320" w:hanging="360"/>
      </w:pPr>
      <w:rPr>
        <w:rFonts w:ascii="Wingdings" w:hAnsi="Wingdings" w:hint="default"/>
      </w:rPr>
    </w:lvl>
    <w:lvl w:ilvl="6" w:tplc="325451AE">
      <w:start w:val="1"/>
      <w:numFmt w:val="bullet"/>
      <w:lvlText w:val=""/>
      <w:lvlJc w:val="left"/>
      <w:pPr>
        <w:ind w:left="5040" w:hanging="360"/>
      </w:pPr>
      <w:rPr>
        <w:rFonts w:ascii="Symbol" w:hAnsi="Symbol" w:hint="default"/>
      </w:rPr>
    </w:lvl>
    <w:lvl w:ilvl="7" w:tplc="12629364">
      <w:start w:val="1"/>
      <w:numFmt w:val="bullet"/>
      <w:lvlText w:val="o"/>
      <w:lvlJc w:val="left"/>
      <w:pPr>
        <w:ind w:left="5760" w:hanging="360"/>
      </w:pPr>
      <w:rPr>
        <w:rFonts w:ascii="Courier New" w:hAnsi="Courier New" w:hint="default"/>
      </w:rPr>
    </w:lvl>
    <w:lvl w:ilvl="8" w:tplc="F5E266A0">
      <w:start w:val="1"/>
      <w:numFmt w:val="bullet"/>
      <w:lvlText w:val=""/>
      <w:lvlJc w:val="left"/>
      <w:pPr>
        <w:ind w:left="6480" w:hanging="360"/>
      </w:pPr>
      <w:rPr>
        <w:rFonts w:ascii="Wingdings" w:hAnsi="Wingdings" w:hint="default"/>
      </w:rPr>
    </w:lvl>
  </w:abstractNum>
  <w:abstractNum w:abstractNumId="14" w15:restartNumberingAfterBreak="0">
    <w:nsid w:val="623256F6"/>
    <w:multiLevelType w:val="multilevel"/>
    <w:tmpl w:val="E05EF3A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7307C32"/>
    <w:multiLevelType w:val="hybridMultilevel"/>
    <w:tmpl w:val="B7F83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724D30"/>
    <w:multiLevelType w:val="hybridMultilevel"/>
    <w:tmpl w:val="8ADC7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87B0DB"/>
    <w:multiLevelType w:val="hybridMultilevel"/>
    <w:tmpl w:val="FFFFFFFF"/>
    <w:lvl w:ilvl="0" w:tplc="DE0AE790">
      <w:start w:val="1"/>
      <w:numFmt w:val="bullet"/>
      <w:lvlText w:val="·"/>
      <w:lvlJc w:val="left"/>
      <w:pPr>
        <w:ind w:left="720" w:hanging="360"/>
      </w:pPr>
      <w:rPr>
        <w:rFonts w:ascii="Symbol" w:hAnsi="Symbol" w:hint="default"/>
      </w:rPr>
    </w:lvl>
    <w:lvl w:ilvl="1" w:tplc="37B8F90E">
      <w:start w:val="1"/>
      <w:numFmt w:val="bullet"/>
      <w:lvlText w:val="o"/>
      <w:lvlJc w:val="left"/>
      <w:pPr>
        <w:ind w:left="1440" w:hanging="360"/>
      </w:pPr>
      <w:rPr>
        <w:rFonts w:ascii="Courier New" w:hAnsi="Courier New" w:hint="default"/>
      </w:rPr>
    </w:lvl>
    <w:lvl w:ilvl="2" w:tplc="3A84671C">
      <w:start w:val="1"/>
      <w:numFmt w:val="bullet"/>
      <w:lvlText w:val=""/>
      <w:lvlJc w:val="left"/>
      <w:pPr>
        <w:ind w:left="2160" w:hanging="360"/>
      </w:pPr>
      <w:rPr>
        <w:rFonts w:ascii="Wingdings" w:hAnsi="Wingdings" w:hint="default"/>
      </w:rPr>
    </w:lvl>
    <w:lvl w:ilvl="3" w:tplc="14DEDB3E">
      <w:start w:val="1"/>
      <w:numFmt w:val="bullet"/>
      <w:lvlText w:val=""/>
      <w:lvlJc w:val="left"/>
      <w:pPr>
        <w:ind w:left="2880" w:hanging="360"/>
      </w:pPr>
      <w:rPr>
        <w:rFonts w:ascii="Symbol" w:hAnsi="Symbol" w:hint="default"/>
      </w:rPr>
    </w:lvl>
    <w:lvl w:ilvl="4" w:tplc="67186EC6">
      <w:start w:val="1"/>
      <w:numFmt w:val="bullet"/>
      <w:lvlText w:val="o"/>
      <w:lvlJc w:val="left"/>
      <w:pPr>
        <w:ind w:left="3600" w:hanging="360"/>
      </w:pPr>
      <w:rPr>
        <w:rFonts w:ascii="Courier New" w:hAnsi="Courier New" w:hint="default"/>
      </w:rPr>
    </w:lvl>
    <w:lvl w:ilvl="5" w:tplc="0276BABE">
      <w:start w:val="1"/>
      <w:numFmt w:val="bullet"/>
      <w:lvlText w:val=""/>
      <w:lvlJc w:val="left"/>
      <w:pPr>
        <w:ind w:left="4320" w:hanging="360"/>
      </w:pPr>
      <w:rPr>
        <w:rFonts w:ascii="Wingdings" w:hAnsi="Wingdings" w:hint="default"/>
      </w:rPr>
    </w:lvl>
    <w:lvl w:ilvl="6" w:tplc="9FACFEB0">
      <w:start w:val="1"/>
      <w:numFmt w:val="bullet"/>
      <w:lvlText w:val=""/>
      <w:lvlJc w:val="left"/>
      <w:pPr>
        <w:ind w:left="5040" w:hanging="360"/>
      </w:pPr>
      <w:rPr>
        <w:rFonts w:ascii="Symbol" w:hAnsi="Symbol" w:hint="default"/>
      </w:rPr>
    </w:lvl>
    <w:lvl w:ilvl="7" w:tplc="31CA7DC6">
      <w:start w:val="1"/>
      <w:numFmt w:val="bullet"/>
      <w:lvlText w:val="o"/>
      <w:lvlJc w:val="left"/>
      <w:pPr>
        <w:ind w:left="5760" w:hanging="360"/>
      </w:pPr>
      <w:rPr>
        <w:rFonts w:ascii="Courier New" w:hAnsi="Courier New" w:hint="default"/>
      </w:rPr>
    </w:lvl>
    <w:lvl w:ilvl="8" w:tplc="8F4A6B32">
      <w:start w:val="1"/>
      <w:numFmt w:val="bullet"/>
      <w:lvlText w:val=""/>
      <w:lvlJc w:val="left"/>
      <w:pPr>
        <w:ind w:left="6480" w:hanging="360"/>
      </w:pPr>
      <w:rPr>
        <w:rFonts w:ascii="Wingdings" w:hAnsi="Wingdings" w:hint="default"/>
      </w:rPr>
    </w:lvl>
  </w:abstractNum>
  <w:abstractNum w:abstractNumId="18" w15:restartNumberingAfterBreak="0">
    <w:nsid w:val="7BD85EC7"/>
    <w:multiLevelType w:val="multilevel"/>
    <w:tmpl w:val="A77CF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2106391">
    <w:abstractNumId w:val="2"/>
  </w:num>
  <w:num w:numId="2" w16cid:durableId="106319392">
    <w:abstractNumId w:val="13"/>
  </w:num>
  <w:num w:numId="3" w16cid:durableId="1406604272">
    <w:abstractNumId w:val="17"/>
  </w:num>
  <w:num w:numId="4" w16cid:durableId="665865571">
    <w:abstractNumId w:val="5"/>
  </w:num>
  <w:num w:numId="5" w16cid:durableId="906375383">
    <w:abstractNumId w:val="10"/>
  </w:num>
  <w:num w:numId="6" w16cid:durableId="1518884480">
    <w:abstractNumId w:val="14"/>
  </w:num>
  <w:num w:numId="7" w16cid:durableId="1104693148">
    <w:abstractNumId w:val="8"/>
  </w:num>
  <w:num w:numId="8" w16cid:durableId="400257750">
    <w:abstractNumId w:val="11"/>
  </w:num>
  <w:num w:numId="9" w16cid:durableId="659041212">
    <w:abstractNumId w:val="1"/>
  </w:num>
  <w:num w:numId="10" w16cid:durableId="250050466">
    <w:abstractNumId w:val="12"/>
  </w:num>
  <w:num w:numId="11" w16cid:durableId="909581603">
    <w:abstractNumId w:val="18"/>
  </w:num>
  <w:num w:numId="12" w16cid:durableId="831680865">
    <w:abstractNumId w:val="3"/>
  </w:num>
  <w:num w:numId="13" w16cid:durableId="1834296991">
    <w:abstractNumId w:val="0"/>
  </w:num>
  <w:num w:numId="14" w16cid:durableId="1993295362">
    <w:abstractNumId w:val="9"/>
  </w:num>
  <w:num w:numId="15" w16cid:durableId="970401621">
    <w:abstractNumId w:val="6"/>
  </w:num>
  <w:num w:numId="16" w16cid:durableId="1771319573">
    <w:abstractNumId w:val="4"/>
  </w:num>
  <w:num w:numId="17" w16cid:durableId="2093314255">
    <w:abstractNumId w:val="16"/>
  </w:num>
  <w:num w:numId="18" w16cid:durableId="791629169">
    <w:abstractNumId w:val="15"/>
  </w:num>
  <w:num w:numId="19" w16cid:durableId="78407273">
    <w:abstractNumId w:val="7"/>
  </w:num>
  <w:num w:numId="20" w16cid:durableId="126330188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87"/>
    <w:rsid w:val="00100C87"/>
    <w:rsid w:val="0013077D"/>
    <w:rsid w:val="00267EE9"/>
    <w:rsid w:val="00267F4F"/>
    <w:rsid w:val="002B716F"/>
    <w:rsid w:val="002D6843"/>
    <w:rsid w:val="00316DA2"/>
    <w:rsid w:val="00393889"/>
    <w:rsid w:val="003B6D31"/>
    <w:rsid w:val="003D38F4"/>
    <w:rsid w:val="00406E06"/>
    <w:rsid w:val="004F4826"/>
    <w:rsid w:val="009768BF"/>
    <w:rsid w:val="00C67D54"/>
    <w:rsid w:val="00CC3DA9"/>
    <w:rsid w:val="00D21B6D"/>
    <w:rsid w:val="00D563D4"/>
    <w:rsid w:val="00DC10DD"/>
    <w:rsid w:val="00DE144F"/>
  </w:rsids>
  <m:mathPr>
    <m:mathFont m:val="Cambria Math"/>
    <m:brkBin m:val="before"/>
    <m:brkBinSub m:val="--"/>
    <m:smallFrac m:val="0"/>
    <m:dispDef/>
    <m:lMargin m:val="0"/>
    <m:rMargin m:val="0"/>
    <m:defJc m:val="centerGroup"/>
    <m:wrapIndent m:val="1440"/>
    <m:intLim m:val="subSup"/>
    <m:naryLim m:val="undOvr"/>
  </m:mathPr>
  <w:themeFontLang w:val="fr-F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922582"/>
  <w15:docId w15:val="{8640DE35-388A-4037-B9F5-6C525A16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numPr>
        <w:numId w:val="5"/>
      </w:numPr>
      <w:spacing w:before="480" w:after="240" w:line="276" w:lineRule="auto"/>
      <w:outlineLvl w:val="0"/>
    </w:pPr>
    <w:rPr>
      <w:b/>
      <w:smallCaps/>
      <w:color w:val="3CB6EC"/>
      <w:sz w:val="24"/>
      <w:szCs w:val="24"/>
    </w:rPr>
  </w:style>
  <w:style w:type="paragraph" w:styleId="Titre2">
    <w:name w:val="heading 2"/>
    <w:basedOn w:val="Normal"/>
    <w:next w:val="Normal"/>
    <w:pPr>
      <w:keepNext/>
      <w:numPr>
        <w:ilvl w:val="1"/>
        <w:numId w:val="5"/>
      </w:numPr>
      <w:spacing w:before="480" w:after="240" w:line="276" w:lineRule="auto"/>
      <w:outlineLvl w:val="1"/>
    </w:pPr>
    <w:rPr>
      <w:b/>
    </w:rPr>
  </w:style>
  <w:style w:type="paragraph" w:styleId="Titre3">
    <w:name w:val="heading 3"/>
    <w:basedOn w:val="Normal"/>
    <w:next w:val="Normal"/>
    <w:link w:val="Titre3Car"/>
    <w:pPr>
      <w:keepNext/>
      <w:keepLines/>
      <w:numPr>
        <w:ilvl w:val="2"/>
        <w:numId w:val="5"/>
      </w:numPr>
      <w:spacing w:before="40" w:after="0"/>
      <w:outlineLvl w:val="2"/>
    </w:pPr>
    <w:rPr>
      <w:rFonts w:ascii="Cambria" w:eastAsia="Cambria" w:hAnsi="Cambria" w:cs="Cambria"/>
      <w:color w:val="243F61"/>
      <w:sz w:val="24"/>
      <w:szCs w:val="24"/>
    </w:rPr>
  </w:style>
  <w:style w:type="paragraph" w:styleId="Titre4">
    <w:name w:val="heading 4"/>
    <w:basedOn w:val="Normal"/>
    <w:next w:val="Normal"/>
    <w:pPr>
      <w:keepNext/>
      <w:keepLines/>
      <w:numPr>
        <w:ilvl w:val="3"/>
        <w:numId w:val="5"/>
      </w:numPr>
      <w:spacing w:before="240" w:after="40"/>
      <w:outlineLvl w:val="3"/>
    </w:pPr>
    <w:rPr>
      <w:b/>
      <w:sz w:val="24"/>
      <w:szCs w:val="24"/>
    </w:rPr>
  </w:style>
  <w:style w:type="paragraph" w:styleId="Titre5">
    <w:name w:val="heading 5"/>
    <w:basedOn w:val="Normal"/>
    <w:next w:val="Normal"/>
    <w:pPr>
      <w:keepNext/>
      <w:numPr>
        <w:ilvl w:val="4"/>
        <w:numId w:val="5"/>
      </w:numPr>
      <w:outlineLvl w:val="4"/>
    </w:pPr>
    <w:rPr>
      <w:rFonts w:ascii="Garamond" w:eastAsia="Garamond" w:hAnsi="Garamond" w:cs="Garamond"/>
      <w:color w:val="000000"/>
      <w:u w:val="single"/>
    </w:rPr>
  </w:style>
  <w:style w:type="paragraph" w:styleId="Titre6">
    <w:name w:val="heading 6"/>
    <w:basedOn w:val="Normal"/>
    <w:next w:val="Normal"/>
    <w:pPr>
      <w:keepNext/>
      <w:keepLines/>
      <w:numPr>
        <w:ilvl w:val="5"/>
        <w:numId w:val="5"/>
      </w:numPr>
      <w:spacing w:before="200" w:after="40"/>
      <w:outlineLvl w:val="5"/>
    </w:pPr>
    <w:rPr>
      <w:b/>
      <w:sz w:val="20"/>
      <w:szCs w:val="20"/>
    </w:rPr>
  </w:style>
  <w:style w:type="paragraph" w:styleId="Titre7">
    <w:name w:val="heading 7"/>
    <w:basedOn w:val="Normal"/>
    <w:next w:val="Normal"/>
    <w:link w:val="Titre7C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spacing w:before="240" w:after="120"/>
    </w:pPr>
    <w:rPr>
      <w:rFonts w:ascii="Liberation Sans" w:eastAsia="Liberation Sans" w:hAnsi="Liberation Sans" w:cs="Liberation Sans"/>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3" w:type="dxa"/>
        <w:right w:w="115" w:type="dxa"/>
      </w:tblCellMar>
    </w:tblPr>
  </w:style>
  <w:style w:type="table" w:customStyle="1" w:styleId="a0">
    <w:basedOn w:val="NormalTable0"/>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NormalTable0"/>
    <w:rPr>
      <w:color w:val="000000"/>
    </w:rPr>
    <w:tblPr>
      <w:tblStyleRowBandSize w:val="1"/>
      <w:tblStyleColBandSize w:val="1"/>
      <w:tblCellMar>
        <w:left w:w="57" w:type="dxa"/>
        <w:right w:w="57"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NormalTable0"/>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NormalTable0"/>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NormalTable0"/>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5">
    <w:basedOn w:val="NormalTable0"/>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nhideWhenUsed/>
    <w:qFormat/>
    <w:rPr>
      <w:sz w:val="16"/>
      <w:szCs w:val="16"/>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Listes,3"/>
    <w:basedOn w:val="Normal"/>
    <w:link w:val="ParagraphedelisteCar"/>
    <w:uiPriority w:val="34"/>
    <w:qFormat/>
    <w:pPr>
      <w:ind w:left="720"/>
      <w:contextualSpacing/>
    </w:pPr>
  </w:style>
  <w:style w:type="paragraph" w:customStyle="1" w:styleId="Default">
    <w:name w:val="Default"/>
    <w:qFormat/>
    <w:pPr>
      <w:autoSpaceDE w:val="0"/>
      <w:autoSpaceDN w:val="0"/>
      <w:adjustRightInd w:val="0"/>
      <w:spacing w:after="0"/>
      <w:jc w:val="left"/>
    </w:pPr>
    <w:rPr>
      <w:color w:val="000000"/>
      <w:sz w:val="24"/>
      <w:szCs w:val="24"/>
    </w:rPr>
  </w:style>
  <w:style w:type="paragraph" w:styleId="Notedebasdepage">
    <w:name w:val="footnote text"/>
    <w:basedOn w:val="Normal"/>
    <w:link w:val="NotedebasdepageCar"/>
    <w:uiPriority w:val="99"/>
    <w:unhideWhenUsed/>
    <w:pPr>
      <w:spacing w:after="0"/>
    </w:pPr>
    <w:rPr>
      <w:sz w:val="20"/>
      <w:szCs w:val="20"/>
    </w:rPr>
  </w:style>
  <w:style w:type="character" w:customStyle="1" w:styleId="NotedebasdepageCar">
    <w:name w:val="Note de bas de pag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style>
  <w:style w:type="paragraph" w:styleId="TM1">
    <w:name w:val="toc 1"/>
    <w:basedOn w:val="Normal"/>
    <w:next w:val="Normal"/>
    <w:autoRedefine/>
    <w:uiPriority w:val="39"/>
    <w:unhideWhenUsed/>
    <w:pPr>
      <w:tabs>
        <w:tab w:val="left" w:pos="440"/>
        <w:tab w:val="right" w:leader="dot" w:pos="9060"/>
      </w:tabs>
      <w:spacing w:after="100"/>
    </w:pPr>
    <w:rPr>
      <w:rFonts w:ascii="Marianne" w:hAnsi="Marianne"/>
      <w:b/>
      <w:noProof/>
    </w:rPr>
  </w:style>
  <w:style w:type="paragraph" w:styleId="TM2">
    <w:name w:val="toc 2"/>
    <w:basedOn w:val="Normal"/>
    <w:next w:val="Normal"/>
    <w:autoRedefine/>
    <w:uiPriority w:val="39"/>
    <w:unhideWhenUsed/>
    <w:pPr>
      <w:tabs>
        <w:tab w:val="left" w:pos="880"/>
        <w:tab w:val="right" w:leader="dot" w:pos="9060"/>
      </w:tabs>
      <w:spacing w:after="100"/>
      <w:ind w:left="220"/>
    </w:pPr>
  </w:style>
  <w:style w:type="paragraph" w:styleId="TM3">
    <w:name w:val="toc 3"/>
    <w:basedOn w:val="Normal"/>
    <w:next w:val="Normal"/>
    <w:autoRedefine/>
    <w:uiPriority w:val="39"/>
    <w:unhideWhenUsed/>
    <w:pPr>
      <w:spacing w:after="100"/>
      <w:ind w:left="440"/>
    </w:p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rPr>
      <w:color w:val="800080" w:themeColor="followedHyperlink"/>
      <w:u w:val="single"/>
    </w:rPr>
  </w:style>
  <w:style w:type="paragraph" w:styleId="Rvision">
    <w:name w:val="Revision"/>
    <w:hidden/>
    <w:uiPriority w:val="99"/>
    <w:semiHidden/>
    <w:pPr>
      <w:spacing w:after="0"/>
      <w:jc w:val="left"/>
    </w:pPr>
  </w:style>
  <w:style w:type="table" w:styleId="Grilledutableau">
    <w:name w:val="Table Grid"/>
    <w:aliases w:val="Tableau CISI"/>
    <w:basedOn w:val="TableauNormal"/>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1">
    <w:name w:val="Commentaire Car1"/>
    <w:uiPriority w:val="99"/>
    <w:qFormat/>
    <w:rPr>
      <w:rFonts w:ascii="Arial" w:hAnsi="Arial" w:cs="Arial"/>
      <w:lang w:eastAsia="ar-SA"/>
    </w:rPr>
  </w:style>
  <w:style w:type="paragraph" w:customStyle="1" w:styleId="titre10">
    <w:name w:val="_titre 1"/>
    <w:basedOn w:val="Normal"/>
    <w:qFormat/>
    <w:pPr>
      <w:spacing w:after="840"/>
      <w:jc w:val="left"/>
    </w:pPr>
    <w:rPr>
      <w:rFonts w:eastAsiaTheme="minorHAnsi"/>
      <w:b/>
      <w:bCs/>
      <w:color w:val="000000" w:themeColor="text1"/>
      <w:sz w:val="60"/>
      <w:szCs w:val="60"/>
      <w:lang w:eastAsia="en-US"/>
    </w:rPr>
  </w:style>
  <w:style w:type="paragraph" w:customStyle="1" w:styleId="textecourant">
    <w:name w:val="_texte courant"/>
    <w:basedOn w:val="Normal"/>
    <w:qFormat/>
    <w:pPr>
      <w:spacing w:after="120" w:line="290" w:lineRule="exact"/>
      <w:jc w:val="left"/>
    </w:pPr>
    <w:rPr>
      <w:rFonts w:eastAsia="Times New Roman"/>
      <w:noProof/>
    </w:rPr>
  </w:style>
  <w:style w:type="paragraph" w:customStyle="1" w:styleId="inter2">
    <w:name w:val="_inter 2"/>
    <w:basedOn w:val="NormalWeb"/>
    <w:link w:val="inter2Car"/>
    <w:qFormat/>
    <w:pPr>
      <w:spacing w:after="120" w:line="300" w:lineRule="exact"/>
      <w:jc w:val="left"/>
    </w:pPr>
    <w:rPr>
      <w:rFonts w:ascii="Arial" w:eastAsia="Times New Roman" w:hAnsi="Arial" w:cs="Arial"/>
      <w:color w:val="00AC8C"/>
      <w:sz w:val="26"/>
      <w:szCs w:val="26"/>
    </w:rPr>
  </w:style>
  <w:style w:type="paragraph" w:customStyle="1" w:styleId="inter">
    <w:name w:val="_inter"/>
    <w:basedOn w:val="textecourant"/>
    <w:qFormat/>
    <w:pPr>
      <w:spacing w:before="240" w:line="370" w:lineRule="exact"/>
    </w:pPr>
    <w:rPr>
      <w:color w:val="5770BE"/>
      <w:sz w:val="30"/>
      <w:szCs w:val="30"/>
    </w:rPr>
  </w:style>
  <w:style w:type="character" w:customStyle="1" w:styleId="inter2Car">
    <w:name w:val="_inter 2 Car"/>
    <w:basedOn w:val="Policepardfaut"/>
    <w:link w:val="inter2"/>
    <w:rPr>
      <w:rFonts w:eastAsia="Times New Roman"/>
      <w:color w:val="00AC8C"/>
      <w:sz w:val="26"/>
      <w:szCs w:val="26"/>
    </w:rPr>
  </w:style>
  <w:style w:type="character" w:customStyle="1" w:styleId="bold">
    <w:name w:val="bold"/>
    <w:basedOn w:val="Policepardfaut"/>
    <w:uiPriority w:val="99"/>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Paragraphedeliste1">
    <w:name w:val="Paragraphe de liste1"/>
    <w:basedOn w:val="Normal"/>
    <w:qFormat/>
    <w:pPr>
      <w:ind w:left="708"/>
      <w:jc w:val="left"/>
    </w:pPr>
    <w:rPr>
      <w:rFonts w:eastAsia="Times New Roman"/>
      <w:szCs w:val="20"/>
      <w:lang w:eastAsia="ar-SA"/>
    </w:rPr>
  </w:style>
  <w:style w:type="paragraph" w:styleId="Sansinterligne">
    <w:name w:val="No Spacing"/>
    <w:uiPriority w:val="1"/>
    <w:qFormat/>
    <w:pPr>
      <w:spacing w:after="0"/>
    </w:pPr>
  </w:style>
  <w:style w:type="paragraph" w:customStyle="1" w:styleId="Normal11">
    <w:name w:val="Normal11"/>
    <w:qFormat/>
    <w:pPr>
      <w:suppressAutoHyphens/>
      <w:jc w:val="left"/>
    </w:pPr>
    <w:rPr>
      <w:rFonts w:eastAsia="SimSun"/>
      <w:color w:val="000000"/>
      <w:sz w:val="24"/>
      <w:szCs w:val="24"/>
      <w:lang w:eastAsia="ar-SA" w:bidi="hi-IN"/>
    </w:rPr>
  </w:style>
  <w:style w:type="character" w:customStyle="1" w:styleId="LienInternet">
    <w:name w:val="Lien Internet"/>
    <w:basedOn w:val="Policepardfaut"/>
    <w:uiPriority w:val="99"/>
    <w:unhideWhenUsed/>
    <w:rPr>
      <w:color w:val="0000FF" w:themeColor="hyperlink"/>
      <w:u w:val="single"/>
    </w:rPr>
  </w:style>
  <w:style w:type="paragraph" w:customStyle="1" w:styleId="Puces3">
    <w:name w:val="Puces 3"/>
    <w:basedOn w:val="Normal"/>
    <w:uiPriority w:val="99"/>
    <w:pPr>
      <w:tabs>
        <w:tab w:val="left" w:pos="1701"/>
      </w:tabs>
      <w:suppressAutoHyphens/>
      <w:spacing w:before="60"/>
      <w:textAlignment w:val="baseline"/>
    </w:pPr>
    <w:rPr>
      <w:rFonts w:ascii="Cambria" w:eastAsia="Times New Roman" w:hAnsi="Cambria" w:cs="Times New Roman"/>
      <w:color w:val="00000A"/>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character" w:customStyle="1" w:styleId="Titre3Car">
    <w:name w:val="Titre 3 Car"/>
    <w:basedOn w:val="Policepardfaut"/>
    <w:link w:val="Titre3"/>
    <w:rPr>
      <w:rFonts w:ascii="Cambria" w:eastAsia="Cambria" w:hAnsi="Cambria" w:cs="Cambria"/>
      <w:color w:val="243F61"/>
      <w:sz w:val="24"/>
      <w:szCs w:val="24"/>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style>
  <w:style w:type="character" w:styleId="Accentuation">
    <w:name w:val="Emphasis"/>
    <w:basedOn w:val="Policepardfaut"/>
    <w:uiPriority w:val="20"/>
    <w:qFormat/>
    <w:rPr>
      <w:i/>
      <w:iCs/>
    </w:rPr>
  </w:style>
  <w:style w:type="character" w:customStyle="1" w:styleId="hgkelc">
    <w:name w:val="hgkelc"/>
    <w:basedOn w:val="Policepardfaut"/>
  </w:style>
  <w:style w:type="character" w:customStyle="1" w:styleId="cf01">
    <w:name w:val="cf01"/>
    <w:basedOn w:val="Policepardfaut"/>
    <w:rPr>
      <w:rFonts w:ascii="Segoe UI" w:hAnsi="Segoe UI" w:cs="Segoe UI" w:hint="default"/>
      <w:sz w:val="18"/>
      <w:szCs w:val="18"/>
    </w:rPr>
  </w:style>
  <w:style w:type="character" w:customStyle="1" w:styleId="Mentionnonrsolue4">
    <w:name w:val="Mention non résolue4"/>
    <w:basedOn w:val="Policepardfaut"/>
    <w:uiPriority w:val="99"/>
    <w:semiHidden/>
    <w:unhideWhenUsed/>
    <w:rPr>
      <w:color w:val="605E5C"/>
      <w:shd w:val="clear" w:color="auto" w:fill="E1DFDD"/>
    </w:rPr>
  </w:style>
  <w:style w:type="table" w:styleId="TableauGrille4-Accentuation1">
    <w:name w:val="Grid Table 4 Accent 1"/>
    <w:basedOn w:val="Tableau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
    <w:name w:val="Grid Table 4"/>
    <w:basedOn w:val="Tableau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Policepardfaut"/>
  </w:style>
  <w:style w:type="character" w:styleId="Textedelespacerserv">
    <w:name w:val="Placeholder Text"/>
    <w:basedOn w:val="Policepardfaut"/>
    <w:uiPriority w:val="99"/>
    <w:semiHidden/>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2481">
      <w:bodyDiv w:val="1"/>
      <w:marLeft w:val="0"/>
      <w:marRight w:val="0"/>
      <w:marTop w:val="0"/>
      <w:marBottom w:val="0"/>
      <w:divBdr>
        <w:top w:val="none" w:sz="0" w:space="0" w:color="auto"/>
        <w:left w:val="none" w:sz="0" w:space="0" w:color="auto"/>
        <w:bottom w:val="none" w:sz="0" w:space="0" w:color="auto"/>
        <w:right w:val="none" w:sz="0" w:space="0" w:color="auto"/>
      </w:divBdr>
    </w:div>
    <w:div w:id="155540334">
      <w:bodyDiv w:val="1"/>
      <w:marLeft w:val="0"/>
      <w:marRight w:val="0"/>
      <w:marTop w:val="0"/>
      <w:marBottom w:val="0"/>
      <w:divBdr>
        <w:top w:val="none" w:sz="0" w:space="0" w:color="auto"/>
        <w:left w:val="none" w:sz="0" w:space="0" w:color="auto"/>
        <w:bottom w:val="none" w:sz="0" w:space="0" w:color="auto"/>
        <w:right w:val="none" w:sz="0" w:space="0" w:color="auto"/>
      </w:divBdr>
    </w:div>
    <w:div w:id="183709303">
      <w:bodyDiv w:val="1"/>
      <w:marLeft w:val="0"/>
      <w:marRight w:val="0"/>
      <w:marTop w:val="0"/>
      <w:marBottom w:val="0"/>
      <w:divBdr>
        <w:top w:val="none" w:sz="0" w:space="0" w:color="auto"/>
        <w:left w:val="none" w:sz="0" w:space="0" w:color="auto"/>
        <w:bottom w:val="none" w:sz="0" w:space="0" w:color="auto"/>
        <w:right w:val="none" w:sz="0" w:space="0" w:color="auto"/>
      </w:divBdr>
    </w:div>
    <w:div w:id="209343261">
      <w:bodyDiv w:val="1"/>
      <w:marLeft w:val="0"/>
      <w:marRight w:val="0"/>
      <w:marTop w:val="0"/>
      <w:marBottom w:val="0"/>
      <w:divBdr>
        <w:top w:val="none" w:sz="0" w:space="0" w:color="auto"/>
        <w:left w:val="none" w:sz="0" w:space="0" w:color="auto"/>
        <w:bottom w:val="none" w:sz="0" w:space="0" w:color="auto"/>
        <w:right w:val="none" w:sz="0" w:space="0" w:color="auto"/>
      </w:divBdr>
    </w:div>
    <w:div w:id="295649706">
      <w:bodyDiv w:val="1"/>
      <w:marLeft w:val="0"/>
      <w:marRight w:val="0"/>
      <w:marTop w:val="0"/>
      <w:marBottom w:val="0"/>
      <w:divBdr>
        <w:top w:val="none" w:sz="0" w:space="0" w:color="auto"/>
        <w:left w:val="none" w:sz="0" w:space="0" w:color="auto"/>
        <w:bottom w:val="none" w:sz="0" w:space="0" w:color="auto"/>
        <w:right w:val="none" w:sz="0" w:space="0" w:color="auto"/>
      </w:divBdr>
    </w:div>
    <w:div w:id="321079972">
      <w:bodyDiv w:val="1"/>
      <w:marLeft w:val="0"/>
      <w:marRight w:val="0"/>
      <w:marTop w:val="0"/>
      <w:marBottom w:val="0"/>
      <w:divBdr>
        <w:top w:val="none" w:sz="0" w:space="0" w:color="auto"/>
        <w:left w:val="none" w:sz="0" w:space="0" w:color="auto"/>
        <w:bottom w:val="none" w:sz="0" w:space="0" w:color="auto"/>
        <w:right w:val="none" w:sz="0" w:space="0" w:color="auto"/>
      </w:divBdr>
    </w:div>
    <w:div w:id="321934617">
      <w:bodyDiv w:val="1"/>
      <w:marLeft w:val="0"/>
      <w:marRight w:val="0"/>
      <w:marTop w:val="0"/>
      <w:marBottom w:val="0"/>
      <w:divBdr>
        <w:top w:val="none" w:sz="0" w:space="0" w:color="auto"/>
        <w:left w:val="none" w:sz="0" w:space="0" w:color="auto"/>
        <w:bottom w:val="none" w:sz="0" w:space="0" w:color="auto"/>
        <w:right w:val="none" w:sz="0" w:space="0" w:color="auto"/>
      </w:divBdr>
      <w:divsChild>
        <w:div w:id="508376448">
          <w:marLeft w:val="994"/>
          <w:marRight w:val="0"/>
          <w:marTop w:val="0"/>
          <w:marBottom w:val="0"/>
          <w:divBdr>
            <w:top w:val="none" w:sz="0" w:space="0" w:color="auto"/>
            <w:left w:val="none" w:sz="0" w:space="0" w:color="auto"/>
            <w:bottom w:val="none" w:sz="0" w:space="0" w:color="auto"/>
            <w:right w:val="none" w:sz="0" w:space="0" w:color="auto"/>
          </w:divBdr>
        </w:div>
      </w:divsChild>
    </w:div>
    <w:div w:id="366762549">
      <w:bodyDiv w:val="1"/>
      <w:marLeft w:val="0"/>
      <w:marRight w:val="0"/>
      <w:marTop w:val="0"/>
      <w:marBottom w:val="0"/>
      <w:divBdr>
        <w:top w:val="none" w:sz="0" w:space="0" w:color="auto"/>
        <w:left w:val="none" w:sz="0" w:space="0" w:color="auto"/>
        <w:bottom w:val="none" w:sz="0" w:space="0" w:color="auto"/>
        <w:right w:val="none" w:sz="0" w:space="0" w:color="auto"/>
      </w:divBdr>
    </w:div>
    <w:div w:id="372580144">
      <w:bodyDiv w:val="1"/>
      <w:marLeft w:val="0"/>
      <w:marRight w:val="0"/>
      <w:marTop w:val="0"/>
      <w:marBottom w:val="0"/>
      <w:divBdr>
        <w:top w:val="none" w:sz="0" w:space="0" w:color="auto"/>
        <w:left w:val="none" w:sz="0" w:space="0" w:color="auto"/>
        <w:bottom w:val="none" w:sz="0" w:space="0" w:color="auto"/>
        <w:right w:val="none" w:sz="0" w:space="0" w:color="auto"/>
      </w:divBdr>
    </w:div>
    <w:div w:id="386030452">
      <w:bodyDiv w:val="1"/>
      <w:marLeft w:val="0"/>
      <w:marRight w:val="0"/>
      <w:marTop w:val="0"/>
      <w:marBottom w:val="0"/>
      <w:divBdr>
        <w:top w:val="none" w:sz="0" w:space="0" w:color="auto"/>
        <w:left w:val="none" w:sz="0" w:space="0" w:color="auto"/>
        <w:bottom w:val="none" w:sz="0" w:space="0" w:color="auto"/>
        <w:right w:val="none" w:sz="0" w:space="0" w:color="auto"/>
      </w:divBdr>
    </w:div>
    <w:div w:id="415442845">
      <w:bodyDiv w:val="1"/>
      <w:marLeft w:val="0"/>
      <w:marRight w:val="0"/>
      <w:marTop w:val="0"/>
      <w:marBottom w:val="0"/>
      <w:divBdr>
        <w:top w:val="none" w:sz="0" w:space="0" w:color="auto"/>
        <w:left w:val="none" w:sz="0" w:space="0" w:color="auto"/>
        <w:bottom w:val="none" w:sz="0" w:space="0" w:color="auto"/>
        <w:right w:val="none" w:sz="0" w:space="0" w:color="auto"/>
      </w:divBdr>
    </w:div>
    <w:div w:id="431828908">
      <w:bodyDiv w:val="1"/>
      <w:marLeft w:val="0"/>
      <w:marRight w:val="0"/>
      <w:marTop w:val="0"/>
      <w:marBottom w:val="0"/>
      <w:divBdr>
        <w:top w:val="none" w:sz="0" w:space="0" w:color="auto"/>
        <w:left w:val="none" w:sz="0" w:space="0" w:color="auto"/>
        <w:bottom w:val="none" w:sz="0" w:space="0" w:color="auto"/>
        <w:right w:val="none" w:sz="0" w:space="0" w:color="auto"/>
      </w:divBdr>
    </w:div>
    <w:div w:id="500438109">
      <w:bodyDiv w:val="1"/>
      <w:marLeft w:val="0"/>
      <w:marRight w:val="0"/>
      <w:marTop w:val="0"/>
      <w:marBottom w:val="0"/>
      <w:divBdr>
        <w:top w:val="none" w:sz="0" w:space="0" w:color="auto"/>
        <w:left w:val="none" w:sz="0" w:space="0" w:color="auto"/>
        <w:bottom w:val="none" w:sz="0" w:space="0" w:color="auto"/>
        <w:right w:val="none" w:sz="0" w:space="0" w:color="auto"/>
      </w:divBdr>
    </w:div>
    <w:div w:id="501433404">
      <w:bodyDiv w:val="1"/>
      <w:marLeft w:val="0"/>
      <w:marRight w:val="0"/>
      <w:marTop w:val="0"/>
      <w:marBottom w:val="0"/>
      <w:divBdr>
        <w:top w:val="none" w:sz="0" w:space="0" w:color="auto"/>
        <w:left w:val="none" w:sz="0" w:space="0" w:color="auto"/>
        <w:bottom w:val="none" w:sz="0" w:space="0" w:color="auto"/>
        <w:right w:val="none" w:sz="0" w:space="0" w:color="auto"/>
      </w:divBdr>
    </w:div>
    <w:div w:id="519051792">
      <w:bodyDiv w:val="1"/>
      <w:marLeft w:val="0"/>
      <w:marRight w:val="0"/>
      <w:marTop w:val="0"/>
      <w:marBottom w:val="0"/>
      <w:divBdr>
        <w:top w:val="none" w:sz="0" w:space="0" w:color="auto"/>
        <w:left w:val="none" w:sz="0" w:space="0" w:color="auto"/>
        <w:bottom w:val="none" w:sz="0" w:space="0" w:color="auto"/>
        <w:right w:val="none" w:sz="0" w:space="0" w:color="auto"/>
      </w:divBdr>
    </w:div>
    <w:div w:id="571551383">
      <w:bodyDiv w:val="1"/>
      <w:marLeft w:val="0"/>
      <w:marRight w:val="0"/>
      <w:marTop w:val="0"/>
      <w:marBottom w:val="0"/>
      <w:divBdr>
        <w:top w:val="none" w:sz="0" w:space="0" w:color="auto"/>
        <w:left w:val="none" w:sz="0" w:space="0" w:color="auto"/>
        <w:bottom w:val="none" w:sz="0" w:space="0" w:color="auto"/>
        <w:right w:val="none" w:sz="0" w:space="0" w:color="auto"/>
      </w:divBdr>
    </w:div>
    <w:div w:id="639573086">
      <w:bodyDiv w:val="1"/>
      <w:marLeft w:val="0"/>
      <w:marRight w:val="0"/>
      <w:marTop w:val="0"/>
      <w:marBottom w:val="0"/>
      <w:divBdr>
        <w:top w:val="none" w:sz="0" w:space="0" w:color="auto"/>
        <w:left w:val="none" w:sz="0" w:space="0" w:color="auto"/>
        <w:bottom w:val="none" w:sz="0" w:space="0" w:color="auto"/>
        <w:right w:val="none" w:sz="0" w:space="0" w:color="auto"/>
      </w:divBdr>
    </w:div>
    <w:div w:id="643044951">
      <w:bodyDiv w:val="1"/>
      <w:marLeft w:val="0"/>
      <w:marRight w:val="0"/>
      <w:marTop w:val="0"/>
      <w:marBottom w:val="0"/>
      <w:divBdr>
        <w:top w:val="none" w:sz="0" w:space="0" w:color="auto"/>
        <w:left w:val="none" w:sz="0" w:space="0" w:color="auto"/>
        <w:bottom w:val="none" w:sz="0" w:space="0" w:color="auto"/>
        <w:right w:val="none" w:sz="0" w:space="0" w:color="auto"/>
      </w:divBdr>
    </w:div>
    <w:div w:id="667904656">
      <w:bodyDiv w:val="1"/>
      <w:marLeft w:val="0"/>
      <w:marRight w:val="0"/>
      <w:marTop w:val="0"/>
      <w:marBottom w:val="0"/>
      <w:divBdr>
        <w:top w:val="none" w:sz="0" w:space="0" w:color="auto"/>
        <w:left w:val="none" w:sz="0" w:space="0" w:color="auto"/>
        <w:bottom w:val="none" w:sz="0" w:space="0" w:color="auto"/>
        <w:right w:val="none" w:sz="0" w:space="0" w:color="auto"/>
      </w:divBdr>
    </w:div>
    <w:div w:id="743455506">
      <w:bodyDiv w:val="1"/>
      <w:marLeft w:val="0"/>
      <w:marRight w:val="0"/>
      <w:marTop w:val="0"/>
      <w:marBottom w:val="0"/>
      <w:divBdr>
        <w:top w:val="none" w:sz="0" w:space="0" w:color="auto"/>
        <w:left w:val="none" w:sz="0" w:space="0" w:color="auto"/>
        <w:bottom w:val="none" w:sz="0" w:space="0" w:color="auto"/>
        <w:right w:val="none" w:sz="0" w:space="0" w:color="auto"/>
      </w:divBdr>
    </w:div>
    <w:div w:id="819543323">
      <w:bodyDiv w:val="1"/>
      <w:marLeft w:val="0"/>
      <w:marRight w:val="0"/>
      <w:marTop w:val="0"/>
      <w:marBottom w:val="0"/>
      <w:divBdr>
        <w:top w:val="none" w:sz="0" w:space="0" w:color="auto"/>
        <w:left w:val="none" w:sz="0" w:space="0" w:color="auto"/>
        <w:bottom w:val="none" w:sz="0" w:space="0" w:color="auto"/>
        <w:right w:val="none" w:sz="0" w:space="0" w:color="auto"/>
      </w:divBdr>
    </w:div>
    <w:div w:id="874268433">
      <w:bodyDiv w:val="1"/>
      <w:marLeft w:val="0"/>
      <w:marRight w:val="0"/>
      <w:marTop w:val="0"/>
      <w:marBottom w:val="0"/>
      <w:divBdr>
        <w:top w:val="none" w:sz="0" w:space="0" w:color="auto"/>
        <w:left w:val="none" w:sz="0" w:space="0" w:color="auto"/>
        <w:bottom w:val="none" w:sz="0" w:space="0" w:color="auto"/>
        <w:right w:val="none" w:sz="0" w:space="0" w:color="auto"/>
      </w:divBdr>
    </w:div>
    <w:div w:id="930745593">
      <w:bodyDiv w:val="1"/>
      <w:marLeft w:val="0"/>
      <w:marRight w:val="0"/>
      <w:marTop w:val="0"/>
      <w:marBottom w:val="0"/>
      <w:divBdr>
        <w:top w:val="none" w:sz="0" w:space="0" w:color="auto"/>
        <w:left w:val="none" w:sz="0" w:space="0" w:color="auto"/>
        <w:bottom w:val="none" w:sz="0" w:space="0" w:color="auto"/>
        <w:right w:val="none" w:sz="0" w:space="0" w:color="auto"/>
      </w:divBdr>
      <w:divsChild>
        <w:div w:id="784737914">
          <w:marLeft w:val="994"/>
          <w:marRight w:val="0"/>
          <w:marTop w:val="0"/>
          <w:marBottom w:val="0"/>
          <w:divBdr>
            <w:top w:val="none" w:sz="0" w:space="0" w:color="auto"/>
            <w:left w:val="none" w:sz="0" w:space="0" w:color="auto"/>
            <w:bottom w:val="none" w:sz="0" w:space="0" w:color="auto"/>
            <w:right w:val="none" w:sz="0" w:space="0" w:color="auto"/>
          </w:divBdr>
        </w:div>
      </w:divsChild>
    </w:div>
    <w:div w:id="1001196119">
      <w:bodyDiv w:val="1"/>
      <w:marLeft w:val="0"/>
      <w:marRight w:val="0"/>
      <w:marTop w:val="0"/>
      <w:marBottom w:val="0"/>
      <w:divBdr>
        <w:top w:val="none" w:sz="0" w:space="0" w:color="auto"/>
        <w:left w:val="none" w:sz="0" w:space="0" w:color="auto"/>
        <w:bottom w:val="none" w:sz="0" w:space="0" w:color="auto"/>
        <w:right w:val="none" w:sz="0" w:space="0" w:color="auto"/>
      </w:divBdr>
      <w:divsChild>
        <w:div w:id="101339387">
          <w:marLeft w:val="0"/>
          <w:marRight w:val="0"/>
          <w:marTop w:val="0"/>
          <w:marBottom w:val="0"/>
          <w:divBdr>
            <w:top w:val="none" w:sz="0" w:space="0" w:color="auto"/>
            <w:left w:val="none" w:sz="0" w:space="0" w:color="auto"/>
            <w:bottom w:val="none" w:sz="0" w:space="0" w:color="auto"/>
            <w:right w:val="none" w:sz="0" w:space="0" w:color="auto"/>
          </w:divBdr>
          <w:divsChild>
            <w:div w:id="1197545390">
              <w:marLeft w:val="0"/>
              <w:marRight w:val="0"/>
              <w:marTop w:val="0"/>
              <w:marBottom w:val="0"/>
              <w:divBdr>
                <w:top w:val="none" w:sz="0" w:space="0" w:color="auto"/>
                <w:left w:val="none" w:sz="0" w:space="0" w:color="auto"/>
                <w:bottom w:val="none" w:sz="0" w:space="0" w:color="auto"/>
                <w:right w:val="none" w:sz="0" w:space="0" w:color="auto"/>
              </w:divBdr>
            </w:div>
          </w:divsChild>
        </w:div>
        <w:div w:id="107698217">
          <w:marLeft w:val="0"/>
          <w:marRight w:val="0"/>
          <w:marTop w:val="0"/>
          <w:marBottom w:val="0"/>
          <w:divBdr>
            <w:top w:val="none" w:sz="0" w:space="0" w:color="auto"/>
            <w:left w:val="none" w:sz="0" w:space="0" w:color="auto"/>
            <w:bottom w:val="none" w:sz="0" w:space="0" w:color="auto"/>
            <w:right w:val="none" w:sz="0" w:space="0" w:color="auto"/>
          </w:divBdr>
          <w:divsChild>
            <w:div w:id="303973441">
              <w:marLeft w:val="0"/>
              <w:marRight w:val="0"/>
              <w:marTop w:val="0"/>
              <w:marBottom w:val="0"/>
              <w:divBdr>
                <w:top w:val="none" w:sz="0" w:space="0" w:color="auto"/>
                <w:left w:val="none" w:sz="0" w:space="0" w:color="auto"/>
                <w:bottom w:val="none" w:sz="0" w:space="0" w:color="auto"/>
                <w:right w:val="none" w:sz="0" w:space="0" w:color="auto"/>
              </w:divBdr>
            </w:div>
          </w:divsChild>
        </w:div>
        <w:div w:id="160854834">
          <w:marLeft w:val="0"/>
          <w:marRight w:val="0"/>
          <w:marTop w:val="0"/>
          <w:marBottom w:val="0"/>
          <w:divBdr>
            <w:top w:val="none" w:sz="0" w:space="0" w:color="auto"/>
            <w:left w:val="none" w:sz="0" w:space="0" w:color="auto"/>
            <w:bottom w:val="none" w:sz="0" w:space="0" w:color="auto"/>
            <w:right w:val="none" w:sz="0" w:space="0" w:color="auto"/>
          </w:divBdr>
          <w:divsChild>
            <w:div w:id="775709323">
              <w:marLeft w:val="0"/>
              <w:marRight w:val="0"/>
              <w:marTop w:val="0"/>
              <w:marBottom w:val="0"/>
              <w:divBdr>
                <w:top w:val="none" w:sz="0" w:space="0" w:color="auto"/>
                <w:left w:val="none" w:sz="0" w:space="0" w:color="auto"/>
                <w:bottom w:val="none" w:sz="0" w:space="0" w:color="auto"/>
                <w:right w:val="none" w:sz="0" w:space="0" w:color="auto"/>
              </w:divBdr>
            </w:div>
          </w:divsChild>
        </w:div>
        <w:div w:id="638652258">
          <w:marLeft w:val="0"/>
          <w:marRight w:val="0"/>
          <w:marTop w:val="0"/>
          <w:marBottom w:val="0"/>
          <w:divBdr>
            <w:top w:val="none" w:sz="0" w:space="0" w:color="auto"/>
            <w:left w:val="none" w:sz="0" w:space="0" w:color="auto"/>
            <w:bottom w:val="none" w:sz="0" w:space="0" w:color="auto"/>
            <w:right w:val="none" w:sz="0" w:space="0" w:color="auto"/>
          </w:divBdr>
          <w:divsChild>
            <w:div w:id="1851485312">
              <w:marLeft w:val="0"/>
              <w:marRight w:val="0"/>
              <w:marTop w:val="0"/>
              <w:marBottom w:val="0"/>
              <w:divBdr>
                <w:top w:val="none" w:sz="0" w:space="0" w:color="auto"/>
                <w:left w:val="none" w:sz="0" w:space="0" w:color="auto"/>
                <w:bottom w:val="none" w:sz="0" w:space="0" w:color="auto"/>
                <w:right w:val="none" w:sz="0" w:space="0" w:color="auto"/>
              </w:divBdr>
            </w:div>
          </w:divsChild>
        </w:div>
        <w:div w:id="692415050">
          <w:marLeft w:val="0"/>
          <w:marRight w:val="0"/>
          <w:marTop w:val="0"/>
          <w:marBottom w:val="0"/>
          <w:divBdr>
            <w:top w:val="none" w:sz="0" w:space="0" w:color="auto"/>
            <w:left w:val="none" w:sz="0" w:space="0" w:color="auto"/>
            <w:bottom w:val="none" w:sz="0" w:space="0" w:color="auto"/>
            <w:right w:val="none" w:sz="0" w:space="0" w:color="auto"/>
          </w:divBdr>
          <w:divsChild>
            <w:div w:id="874345831">
              <w:marLeft w:val="0"/>
              <w:marRight w:val="0"/>
              <w:marTop w:val="0"/>
              <w:marBottom w:val="0"/>
              <w:divBdr>
                <w:top w:val="none" w:sz="0" w:space="0" w:color="auto"/>
                <w:left w:val="none" w:sz="0" w:space="0" w:color="auto"/>
                <w:bottom w:val="none" w:sz="0" w:space="0" w:color="auto"/>
                <w:right w:val="none" w:sz="0" w:space="0" w:color="auto"/>
              </w:divBdr>
            </w:div>
          </w:divsChild>
        </w:div>
        <w:div w:id="782917523">
          <w:marLeft w:val="0"/>
          <w:marRight w:val="0"/>
          <w:marTop w:val="0"/>
          <w:marBottom w:val="0"/>
          <w:divBdr>
            <w:top w:val="none" w:sz="0" w:space="0" w:color="auto"/>
            <w:left w:val="none" w:sz="0" w:space="0" w:color="auto"/>
            <w:bottom w:val="none" w:sz="0" w:space="0" w:color="auto"/>
            <w:right w:val="none" w:sz="0" w:space="0" w:color="auto"/>
          </w:divBdr>
          <w:divsChild>
            <w:div w:id="123162687">
              <w:marLeft w:val="0"/>
              <w:marRight w:val="0"/>
              <w:marTop w:val="0"/>
              <w:marBottom w:val="0"/>
              <w:divBdr>
                <w:top w:val="none" w:sz="0" w:space="0" w:color="auto"/>
                <w:left w:val="none" w:sz="0" w:space="0" w:color="auto"/>
                <w:bottom w:val="none" w:sz="0" w:space="0" w:color="auto"/>
                <w:right w:val="none" w:sz="0" w:space="0" w:color="auto"/>
              </w:divBdr>
            </w:div>
          </w:divsChild>
        </w:div>
        <w:div w:id="1185442420">
          <w:marLeft w:val="0"/>
          <w:marRight w:val="0"/>
          <w:marTop w:val="0"/>
          <w:marBottom w:val="0"/>
          <w:divBdr>
            <w:top w:val="none" w:sz="0" w:space="0" w:color="auto"/>
            <w:left w:val="none" w:sz="0" w:space="0" w:color="auto"/>
            <w:bottom w:val="none" w:sz="0" w:space="0" w:color="auto"/>
            <w:right w:val="none" w:sz="0" w:space="0" w:color="auto"/>
          </w:divBdr>
          <w:divsChild>
            <w:div w:id="1250894929">
              <w:marLeft w:val="0"/>
              <w:marRight w:val="0"/>
              <w:marTop w:val="0"/>
              <w:marBottom w:val="0"/>
              <w:divBdr>
                <w:top w:val="none" w:sz="0" w:space="0" w:color="auto"/>
                <w:left w:val="none" w:sz="0" w:space="0" w:color="auto"/>
                <w:bottom w:val="none" w:sz="0" w:space="0" w:color="auto"/>
                <w:right w:val="none" w:sz="0" w:space="0" w:color="auto"/>
              </w:divBdr>
            </w:div>
          </w:divsChild>
        </w:div>
        <w:div w:id="1512060208">
          <w:marLeft w:val="0"/>
          <w:marRight w:val="0"/>
          <w:marTop w:val="0"/>
          <w:marBottom w:val="0"/>
          <w:divBdr>
            <w:top w:val="none" w:sz="0" w:space="0" w:color="auto"/>
            <w:left w:val="none" w:sz="0" w:space="0" w:color="auto"/>
            <w:bottom w:val="none" w:sz="0" w:space="0" w:color="auto"/>
            <w:right w:val="none" w:sz="0" w:space="0" w:color="auto"/>
          </w:divBdr>
          <w:divsChild>
            <w:div w:id="525410322">
              <w:marLeft w:val="0"/>
              <w:marRight w:val="0"/>
              <w:marTop w:val="0"/>
              <w:marBottom w:val="0"/>
              <w:divBdr>
                <w:top w:val="none" w:sz="0" w:space="0" w:color="auto"/>
                <w:left w:val="none" w:sz="0" w:space="0" w:color="auto"/>
                <w:bottom w:val="none" w:sz="0" w:space="0" w:color="auto"/>
                <w:right w:val="none" w:sz="0" w:space="0" w:color="auto"/>
              </w:divBdr>
            </w:div>
          </w:divsChild>
        </w:div>
        <w:div w:id="1702129116">
          <w:marLeft w:val="0"/>
          <w:marRight w:val="0"/>
          <w:marTop w:val="0"/>
          <w:marBottom w:val="0"/>
          <w:divBdr>
            <w:top w:val="none" w:sz="0" w:space="0" w:color="auto"/>
            <w:left w:val="none" w:sz="0" w:space="0" w:color="auto"/>
            <w:bottom w:val="none" w:sz="0" w:space="0" w:color="auto"/>
            <w:right w:val="none" w:sz="0" w:space="0" w:color="auto"/>
          </w:divBdr>
          <w:divsChild>
            <w:div w:id="10350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310">
      <w:bodyDiv w:val="1"/>
      <w:marLeft w:val="0"/>
      <w:marRight w:val="0"/>
      <w:marTop w:val="0"/>
      <w:marBottom w:val="0"/>
      <w:divBdr>
        <w:top w:val="none" w:sz="0" w:space="0" w:color="auto"/>
        <w:left w:val="none" w:sz="0" w:space="0" w:color="auto"/>
        <w:bottom w:val="none" w:sz="0" w:space="0" w:color="auto"/>
        <w:right w:val="none" w:sz="0" w:space="0" w:color="auto"/>
      </w:divBdr>
    </w:div>
    <w:div w:id="1102720142">
      <w:bodyDiv w:val="1"/>
      <w:marLeft w:val="0"/>
      <w:marRight w:val="0"/>
      <w:marTop w:val="0"/>
      <w:marBottom w:val="0"/>
      <w:divBdr>
        <w:top w:val="none" w:sz="0" w:space="0" w:color="auto"/>
        <w:left w:val="none" w:sz="0" w:space="0" w:color="auto"/>
        <w:bottom w:val="none" w:sz="0" w:space="0" w:color="auto"/>
        <w:right w:val="none" w:sz="0" w:space="0" w:color="auto"/>
      </w:divBdr>
    </w:div>
    <w:div w:id="1106850050">
      <w:bodyDiv w:val="1"/>
      <w:marLeft w:val="0"/>
      <w:marRight w:val="0"/>
      <w:marTop w:val="0"/>
      <w:marBottom w:val="0"/>
      <w:divBdr>
        <w:top w:val="none" w:sz="0" w:space="0" w:color="auto"/>
        <w:left w:val="none" w:sz="0" w:space="0" w:color="auto"/>
        <w:bottom w:val="none" w:sz="0" w:space="0" w:color="auto"/>
        <w:right w:val="none" w:sz="0" w:space="0" w:color="auto"/>
      </w:divBdr>
    </w:div>
    <w:div w:id="1206455040">
      <w:bodyDiv w:val="1"/>
      <w:marLeft w:val="0"/>
      <w:marRight w:val="0"/>
      <w:marTop w:val="0"/>
      <w:marBottom w:val="0"/>
      <w:divBdr>
        <w:top w:val="none" w:sz="0" w:space="0" w:color="auto"/>
        <w:left w:val="none" w:sz="0" w:space="0" w:color="auto"/>
        <w:bottom w:val="none" w:sz="0" w:space="0" w:color="auto"/>
        <w:right w:val="none" w:sz="0" w:space="0" w:color="auto"/>
      </w:divBdr>
    </w:div>
    <w:div w:id="1219324357">
      <w:bodyDiv w:val="1"/>
      <w:marLeft w:val="0"/>
      <w:marRight w:val="0"/>
      <w:marTop w:val="0"/>
      <w:marBottom w:val="0"/>
      <w:divBdr>
        <w:top w:val="none" w:sz="0" w:space="0" w:color="auto"/>
        <w:left w:val="none" w:sz="0" w:space="0" w:color="auto"/>
        <w:bottom w:val="none" w:sz="0" w:space="0" w:color="auto"/>
        <w:right w:val="none" w:sz="0" w:space="0" w:color="auto"/>
      </w:divBdr>
    </w:div>
    <w:div w:id="1461218049">
      <w:bodyDiv w:val="1"/>
      <w:marLeft w:val="0"/>
      <w:marRight w:val="0"/>
      <w:marTop w:val="0"/>
      <w:marBottom w:val="0"/>
      <w:divBdr>
        <w:top w:val="none" w:sz="0" w:space="0" w:color="auto"/>
        <w:left w:val="none" w:sz="0" w:space="0" w:color="auto"/>
        <w:bottom w:val="none" w:sz="0" w:space="0" w:color="auto"/>
        <w:right w:val="none" w:sz="0" w:space="0" w:color="auto"/>
      </w:divBdr>
    </w:div>
    <w:div w:id="1480079394">
      <w:bodyDiv w:val="1"/>
      <w:marLeft w:val="0"/>
      <w:marRight w:val="0"/>
      <w:marTop w:val="0"/>
      <w:marBottom w:val="0"/>
      <w:divBdr>
        <w:top w:val="none" w:sz="0" w:space="0" w:color="auto"/>
        <w:left w:val="none" w:sz="0" w:space="0" w:color="auto"/>
        <w:bottom w:val="none" w:sz="0" w:space="0" w:color="auto"/>
        <w:right w:val="none" w:sz="0" w:space="0" w:color="auto"/>
      </w:divBdr>
    </w:div>
    <w:div w:id="1529417491">
      <w:bodyDiv w:val="1"/>
      <w:marLeft w:val="0"/>
      <w:marRight w:val="0"/>
      <w:marTop w:val="0"/>
      <w:marBottom w:val="0"/>
      <w:divBdr>
        <w:top w:val="none" w:sz="0" w:space="0" w:color="auto"/>
        <w:left w:val="none" w:sz="0" w:space="0" w:color="auto"/>
        <w:bottom w:val="none" w:sz="0" w:space="0" w:color="auto"/>
        <w:right w:val="none" w:sz="0" w:space="0" w:color="auto"/>
      </w:divBdr>
    </w:div>
    <w:div w:id="1589994363">
      <w:bodyDiv w:val="1"/>
      <w:marLeft w:val="0"/>
      <w:marRight w:val="0"/>
      <w:marTop w:val="0"/>
      <w:marBottom w:val="0"/>
      <w:divBdr>
        <w:top w:val="none" w:sz="0" w:space="0" w:color="auto"/>
        <w:left w:val="none" w:sz="0" w:space="0" w:color="auto"/>
        <w:bottom w:val="none" w:sz="0" w:space="0" w:color="auto"/>
        <w:right w:val="none" w:sz="0" w:space="0" w:color="auto"/>
      </w:divBdr>
    </w:div>
    <w:div w:id="1670130588">
      <w:bodyDiv w:val="1"/>
      <w:marLeft w:val="0"/>
      <w:marRight w:val="0"/>
      <w:marTop w:val="0"/>
      <w:marBottom w:val="0"/>
      <w:divBdr>
        <w:top w:val="none" w:sz="0" w:space="0" w:color="auto"/>
        <w:left w:val="none" w:sz="0" w:space="0" w:color="auto"/>
        <w:bottom w:val="none" w:sz="0" w:space="0" w:color="auto"/>
        <w:right w:val="none" w:sz="0" w:space="0" w:color="auto"/>
      </w:divBdr>
      <w:divsChild>
        <w:div w:id="275217276">
          <w:marLeft w:val="994"/>
          <w:marRight w:val="0"/>
          <w:marTop w:val="0"/>
          <w:marBottom w:val="0"/>
          <w:divBdr>
            <w:top w:val="none" w:sz="0" w:space="0" w:color="auto"/>
            <w:left w:val="none" w:sz="0" w:space="0" w:color="auto"/>
            <w:bottom w:val="none" w:sz="0" w:space="0" w:color="auto"/>
            <w:right w:val="none" w:sz="0" w:space="0" w:color="auto"/>
          </w:divBdr>
        </w:div>
      </w:divsChild>
    </w:div>
    <w:div w:id="1700163511">
      <w:bodyDiv w:val="1"/>
      <w:marLeft w:val="0"/>
      <w:marRight w:val="0"/>
      <w:marTop w:val="0"/>
      <w:marBottom w:val="0"/>
      <w:divBdr>
        <w:top w:val="none" w:sz="0" w:space="0" w:color="auto"/>
        <w:left w:val="none" w:sz="0" w:space="0" w:color="auto"/>
        <w:bottom w:val="none" w:sz="0" w:space="0" w:color="auto"/>
        <w:right w:val="none" w:sz="0" w:space="0" w:color="auto"/>
      </w:divBdr>
    </w:div>
    <w:div w:id="1723626534">
      <w:bodyDiv w:val="1"/>
      <w:marLeft w:val="0"/>
      <w:marRight w:val="0"/>
      <w:marTop w:val="0"/>
      <w:marBottom w:val="0"/>
      <w:divBdr>
        <w:top w:val="none" w:sz="0" w:space="0" w:color="auto"/>
        <w:left w:val="none" w:sz="0" w:space="0" w:color="auto"/>
        <w:bottom w:val="none" w:sz="0" w:space="0" w:color="auto"/>
        <w:right w:val="none" w:sz="0" w:space="0" w:color="auto"/>
      </w:divBdr>
    </w:div>
    <w:div w:id="1745368617">
      <w:bodyDiv w:val="1"/>
      <w:marLeft w:val="0"/>
      <w:marRight w:val="0"/>
      <w:marTop w:val="0"/>
      <w:marBottom w:val="0"/>
      <w:divBdr>
        <w:top w:val="none" w:sz="0" w:space="0" w:color="auto"/>
        <w:left w:val="none" w:sz="0" w:space="0" w:color="auto"/>
        <w:bottom w:val="none" w:sz="0" w:space="0" w:color="auto"/>
        <w:right w:val="none" w:sz="0" w:space="0" w:color="auto"/>
      </w:divBdr>
    </w:div>
    <w:div w:id="1763601696">
      <w:bodyDiv w:val="1"/>
      <w:marLeft w:val="0"/>
      <w:marRight w:val="0"/>
      <w:marTop w:val="0"/>
      <w:marBottom w:val="0"/>
      <w:divBdr>
        <w:top w:val="none" w:sz="0" w:space="0" w:color="auto"/>
        <w:left w:val="none" w:sz="0" w:space="0" w:color="auto"/>
        <w:bottom w:val="none" w:sz="0" w:space="0" w:color="auto"/>
        <w:right w:val="none" w:sz="0" w:space="0" w:color="auto"/>
      </w:divBdr>
    </w:div>
    <w:div w:id="1802728556">
      <w:bodyDiv w:val="1"/>
      <w:marLeft w:val="0"/>
      <w:marRight w:val="0"/>
      <w:marTop w:val="0"/>
      <w:marBottom w:val="0"/>
      <w:divBdr>
        <w:top w:val="none" w:sz="0" w:space="0" w:color="auto"/>
        <w:left w:val="none" w:sz="0" w:space="0" w:color="auto"/>
        <w:bottom w:val="none" w:sz="0" w:space="0" w:color="auto"/>
        <w:right w:val="none" w:sz="0" w:space="0" w:color="auto"/>
      </w:divBdr>
    </w:div>
    <w:div w:id="1809862656">
      <w:bodyDiv w:val="1"/>
      <w:marLeft w:val="0"/>
      <w:marRight w:val="0"/>
      <w:marTop w:val="0"/>
      <w:marBottom w:val="0"/>
      <w:divBdr>
        <w:top w:val="none" w:sz="0" w:space="0" w:color="auto"/>
        <w:left w:val="none" w:sz="0" w:space="0" w:color="auto"/>
        <w:bottom w:val="none" w:sz="0" w:space="0" w:color="auto"/>
        <w:right w:val="none" w:sz="0" w:space="0" w:color="auto"/>
      </w:divBdr>
    </w:div>
    <w:div w:id="1860971546">
      <w:bodyDiv w:val="1"/>
      <w:marLeft w:val="0"/>
      <w:marRight w:val="0"/>
      <w:marTop w:val="0"/>
      <w:marBottom w:val="0"/>
      <w:divBdr>
        <w:top w:val="none" w:sz="0" w:space="0" w:color="auto"/>
        <w:left w:val="none" w:sz="0" w:space="0" w:color="auto"/>
        <w:bottom w:val="none" w:sz="0" w:space="0" w:color="auto"/>
        <w:right w:val="none" w:sz="0" w:space="0" w:color="auto"/>
      </w:divBdr>
    </w:div>
    <w:div w:id="1863398987">
      <w:bodyDiv w:val="1"/>
      <w:marLeft w:val="0"/>
      <w:marRight w:val="0"/>
      <w:marTop w:val="0"/>
      <w:marBottom w:val="0"/>
      <w:divBdr>
        <w:top w:val="none" w:sz="0" w:space="0" w:color="auto"/>
        <w:left w:val="none" w:sz="0" w:space="0" w:color="auto"/>
        <w:bottom w:val="none" w:sz="0" w:space="0" w:color="auto"/>
        <w:right w:val="none" w:sz="0" w:space="0" w:color="auto"/>
      </w:divBdr>
    </w:div>
    <w:div w:id="1890073526">
      <w:bodyDiv w:val="1"/>
      <w:marLeft w:val="0"/>
      <w:marRight w:val="0"/>
      <w:marTop w:val="0"/>
      <w:marBottom w:val="0"/>
      <w:divBdr>
        <w:top w:val="none" w:sz="0" w:space="0" w:color="auto"/>
        <w:left w:val="none" w:sz="0" w:space="0" w:color="auto"/>
        <w:bottom w:val="none" w:sz="0" w:space="0" w:color="auto"/>
        <w:right w:val="none" w:sz="0" w:space="0" w:color="auto"/>
      </w:divBdr>
    </w:div>
    <w:div w:id="2029287466">
      <w:bodyDiv w:val="1"/>
      <w:marLeft w:val="0"/>
      <w:marRight w:val="0"/>
      <w:marTop w:val="0"/>
      <w:marBottom w:val="0"/>
      <w:divBdr>
        <w:top w:val="none" w:sz="0" w:space="0" w:color="auto"/>
        <w:left w:val="none" w:sz="0" w:space="0" w:color="auto"/>
        <w:bottom w:val="none" w:sz="0" w:space="0" w:color="auto"/>
        <w:right w:val="none" w:sz="0" w:space="0" w:color="auto"/>
      </w:divBdr>
    </w:div>
    <w:div w:id="2060668624">
      <w:bodyDiv w:val="1"/>
      <w:marLeft w:val="0"/>
      <w:marRight w:val="0"/>
      <w:marTop w:val="0"/>
      <w:marBottom w:val="0"/>
      <w:divBdr>
        <w:top w:val="none" w:sz="0" w:space="0" w:color="auto"/>
        <w:left w:val="none" w:sz="0" w:space="0" w:color="auto"/>
        <w:bottom w:val="none" w:sz="0" w:space="0" w:color="auto"/>
        <w:right w:val="none" w:sz="0" w:space="0" w:color="auto"/>
      </w:divBdr>
    </w:div>
    <w:div w:id="2122339622">
      <w:bodyDiv w:val="1"/>
      <w:marLeft w:val="0"/>
      <w:marRight w:val="0"/>
      <w:marTop w:val="0"/>
      <w:marBottom w:val="0"/>
      <w:divBdr>
        <w:top w:val="none" w:sz="0" w:space="0" w:color="auto"/>
        <w:left w:val="none" w:sz="0" w:space="0" w:color="auto"/>
        <w:bottom w:val="none" w:sz="0" w:space="0" w:color="auto"/>
        <w:right w:val="none" w:sz="0" w:space="0" w:color="auto"/>
      </w:divBdr>
    </w:div>
    <w:div w:id="2147115328">
      <w:bodyDiv w:val="1"/>
      <w:marLeft w:val="0"/>
      <w:marRight w:val="0"/>
      <w:marTop w:val="0"/>
      <w:marBottom w:val="0"/>
      <w:divBdr>
        <w:top w:val="none" w:sz="0" w:space="0" w:color="auto"/>
        <w:left w:val="none" w:sz="0" w:space="0" w:color="auto"/>
        <w:bottom w:val="none" w:sz="0" w:space="0" w:color="auto"/>
        <w:right w:val="none" w:sz="0" w:space="0" w:color="auto"/>
      </w:divBdr>
      <w:divsChild>
        <w:div w:id="60447421">
          <w:marLeft w:val="0"/>
          <w:marRight w:val="0"/>
          <w:marTop w:val="0"/>
          <w:marBottom w:val="0"/>
          <w:divBdr>
            <w:top w:val="none" w:sz="0" w:space="0" w:color="auto"/>
            <w:left w:val="none" w:sz="0" w:space="0" w:color="auto"/>
            <w:bottom w:val="none" w:sz="0" w:space="0" w:color="auto"/>
            <w:right w:val="none" w:sz="0" w:space="0" w:color="auto"/>
          </w:divBdr>
          <w:divsChild>
            <w:div w:id="757676189">
              <w:marLeft w:val="0"/>
              <w:marRight w:val="0"/>
              <w:marTop w:val="0"/>
              <w:marBottom w:val="0"/>
              <w:divBdr>
                <w:top w:val="none" w:sz="0" w:space="0" w:color="auto"/>
                <w:left w:val="none" w:sz="0" w:space="0" w:color="auto"/>
                <w:bottom w:val="none" w:sz="0" w:space="0" w:color="auto"/>
                <w:right w:val="none" w:sz="0" w:space="0" w:color="auto"/>
              </w:divBdr>
            </w:div>
          </w:divsChild>
        </w:div>
        <w:div w:id="454955705">
          <w:marLeft w:val="0"/>
          <w:marRight w:val="0"/>
          <w:marTop w:val="0"/>
          <w:marBottom w:val="0"/>
          <w:divBdr>
            <w:top w:val="none" w:sz="0" w:space="0" w:color="auto"/>
            <w:left w:val="none" w:sz="0" w:space="0" w:color="auto"/>
            <w:bottom w:val="none" w:sz="0" w:space="0" w:color="auto"/>
            <w:right w:val="none" w:sz="0" w:space="0" w:color="auto"/>
          </w:divBdr>
          <w:divsChild>
            <w:div w:id="1987279371">
              <w:marLeft w:val="0"/>
              <w:marRight w:val="0"/>
              <w:marTop w:val="0"/>
              <w:marBottom w:val="0"/>
              <w:divBdr>
                <w:top w:val="none" w:sz="0" w:space="0" w:color="auto"/>
                <w:left w:val="none" w:sz="0" w:space="0" w:color="auto"/>
                <w:bottom w:val="none" w:sz="0" w:space="0" w:color="auto"/>
                <w:right w:val="none" w:sz="0" w:space="0" w:color="auto"/>
              </w:divBdr>
            </w:div>
          </w:divsChild>
        </w:div>
        <w:div w:id="887566302">
          <w:marLeft w:val="0"/>
          <w:marRight w:val="0"/>
          <w:marTop w:val="0"/>
          <w:marBottom w:val="0"/>
          <w:divBdr>
            <w:top w:val="none" w:sz="0" w:space="0" w:color="auto"/>
            <w:left w:val="none" w:sz="0" w:space="0" w:color="auto"/>
            <w:bottom w:val="none" w:sz="0" w:space="0" w:color="auto"/>
            <w:right w:val="none" w:sz="0" w:space="0" w:color="auto"/>
          </w:divBdr>
          <w:divsChild>
            <w:div w:id="390467229">
              <w:marLeft w:val="0"/>
              <w:marRight w:val="0"/>
              <w:marTop w:val="0"/>
              <w:marBottom w:val="0"/>
              <w:divBdr>
                <w:top w:val="none" w:sz="0" w:space="0" w:color="auto"/>
                <w:left w:val="none" w:sz="0" w:space="0" w:color="auto"/>
                <w:bottom w:val="none" w:sz="0" w:space="0" w:color="auto"/>
                <w:right w:val="none" w:sz="0" w:space="0" w:color="auto"/>
              </w:divBdr>
            </w:div>
          </w:divsChild>
        </w:div>
        <w:div w:id="1143501705">
          <w:marLeft w:val="0"/>
          <w:marRight w:val="0"/>
          <w:marTop w:val="0"/>
          <w:marBottom w:val="0"/>
          <w:divBdr>
            <w:top w:val="none" w:sz="0" w:space="0" w:color="auto"/>
            <w:left w:val="none" w:sz="0" w:space="0" w:color="auto"/>
            <w:bottom w:val="none" w:sz="0" w:space="0" w:color="auto"/>
            <w:right w:val="none" w:sz="0" w:space="0" w:color="auto"/>
          </w:divBdr>
          <w:divsChild>
            <w:div w:id="1956790385">
              <w:marLeft w:val="0"/>
              <w:marRight w:val="0"/>
              <w:marTop w:val="0"/>
              <w:marBottom w:val="0"/>
              <w:divBdr>
                <w:top w:val="none" w:sz="0" w:space="0" w:color="auto"/>
                <w:left w:val="none" w:sz="0" w:space="0" w:color="auto"/>
                <w:bottom w:val="none" w:sz="0" w:space="0" w:color="auto"/>
                <w:right w:val="none" w:sz="0" w:space="0" w:color="auto"/>
              </w:divBdr>
            </w:div>
          </w:divsChild>
        </w:div>
        <w:div w:id="1181548664">
          <w:marLeft w:val="0"/>
          <w:marRight w:val="0"/>
          <w:marTop w:val="0"/>
          <w:marBottom w:val="0"/>
          <w:divBdr>
            <w:top w:val="none" w:sz="0" w:space="0" w:color="auto"/>
            <w:left w:val="none" w:sz="0" w:space="0" w:color="auto"/>
            <w:bottom w:val="none" w:sz="0" w:space="0" w:color="auto"/>
            <w:right w:val="none" w:sz="0" w:space="0" w:color="auto"/>
          </w:divBdr>
          <w:divsChild>
            <w:div w:id="187841859">
              <w:marLeft w:val="0"/>
              <w:marRight w:val="0"/>
              <w:marTop w:val="0"/>
              <w:marBottom w:val="0"/>
              <w:divBdr>
                <w:top w:val="none" w:sz="0" w:space="0" w:color="auto"/>
                <w:left w:val="none" w:sz="0" w:space="0" w:color="auto"/>
                <w:bottom w:val="none" w:sz="0" w:space="0" w:color="auto"/>
                <w:right w:val="none" w:sz="0" w:space="0" w:color="auto"/>
              </w:divBdr>
            </w:div>
          </w:divsChild>
        </w:div>
        <w:div w:id="1232035044">
          <w:marLeft w:val="0"/>
          <w:marRight w:val="0"/>
          <w:marTop w:val="0"/>
          <w:marBottom w:val="0"/>
          <w:divBdr>
            <w:top w:val="none" w:sz="0" w:space="0" w:color="auto"/>
            <w:left w:val="none" w:sz="0" w:space="0" w:color="auto"/>
            <w:bottom w:val="none" w:sz="0" w:space="0" w:color="auto"/>
            <w:right w:val="none" w:sz="0" w:space="0" w:color="auto"/>
          </w:divBdr>
          <w:divsChild>
            <w:div w:id="2058042204">
              <w:marLeft w:val="0"/>
              <w:marRight w:val="0"/>
              <w:marTop w:val="0"/>
              <w:marBottom w:val="0"/>
              <w:divBdr>
                <w:top w:val="none" w:sz="0" w:space="0" w:color="auto"/>
                <w:left w:val="none" w:sz="0" w:space="0" w:color="auto"/>
                <w:bottom w:val="none" w:sz="0" w:space="0" w:color="auto"/>
                <w:right w:val="none" w:sz="0" w:space="0" w:color="auto"/>
              </w:divBdr>
            </w:div>
          </w:divsChild>
        </w:div>
        <w:div w:id="1543010640">
          <w:marLeft w:val="0"/>
          <w:marRight w:val="0"/>
          <w:marTop w:val="0"/>
          <w:marBottom w:val="0"/>
          <w:divBdr>
            <w:top w:val="none" w:sz="0" w:space="0" w:color="auto"/>
            <w:left w:val="none" w:sz="0" w:space="0" w:color="auto"/>
            <w:bottom w:val="none" w:sz="0" w:space="0" w:color="auto"/>
            <w:right w:val="none" w:sz="0" w:space="0" w:color="auto"/>
          </w:divBdr>
          <w:divsChild>
            <w:div w:id="1463841048">
              <w:marLeft w:val="0"/>
              <w:marRight w:val="0"/>
              <w:marTop w:val="0"/>
              <w:marBottom w:val="0"/>
              <w:divBdr>
                <w:top w:val="none" w:sz="0" w:space="0" w:color="auto"/>
                <w:left w:val="none" w:sz="0" w:space="0" w:color="auto"/>
                <w:bottom w:val="none" w:sz="0" w:space="0" w:color="auto"/>
                <w:right w:val="none" w:sz="0" w:space="0" w:color="auto"/>
              </w:divBdr>
            </w:div>
          </w:divsChild>
        </w:div>
        <w:div w:id="1573933185">
          <w:marLeft w:val="0"/>
          <w:marRight w:val="0"/>
          <w:marTop w:val="0"/>
          <w:marBottom w:val="0"/>
          <w:divBdr>
            <w:top w:val="none" w:sz="0" w:space="0" w:color="auto"/>
            <w:left w:val="none" w:sz="0" w:space="0" w:color="auto"/>
            <w:bottom w:val="none" w:sz="0" w:space="0" w:color="auto"/>
            <w:right w:val="none" w:sz="0" w:space="0" w:color="auto"/>
          </w:divBdr>
          <w:divsChild>
            <w:div w:id="983464114">
              <w:marLeft w:val="0"/>
              <w:marRight w:val="0"/>
              <w:marTop w:val="0"/>
              <w:marBottom w:val="0"/>
              <w:divBdr>
                <w:top w:val="none" w:sz="0" w:space="0" w:color="auto"/>
                <w:left w:val="none" w:sz="0" w:space="0" w:color="auto"/>
                <w:bottom w:val="none" w:sz="0" w:space="0" w:color="auto"/>
                <w:right w:val="none" w:sz="0" w:space="0" w:color="auto"/>
              </w:divBdr>
            </w:div>
          </w:divsChild>
        </w:div>
        <w:div w:id="1963733192">
          <w:marLeft w:val="0"/>
          <w:marRight w:val="0"/>
          <w:marTop w:val="0"/>
          <w:marBottom w:val="0"/>
          <w:divBdr>
            <w:top w:val="none" w:sz="0" w:space="0" w:color="auto"/>
            <w:left w:val="none" w:sz="0" w:space="0" w:color="auto"/>
            <w:bottom w:val="none" w:sz="0" w:space="0" w:color="auto"/>
            <w:right w:val="none" w:sz="0" w:space="0" w:color="auto"/>
          </w:divBdr>
          <w:divsChild>
            <w:div w:id="16500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s://agirpourlatransition.ademe.fr/"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ap.biocarb@ademe.fr"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ap.ecocirc@ademe.f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frc-word-edit.officeapps.live.com/we/wordeditorframe.aspx?ui=fr&amp;rs=fr%2DFR&amp;wopisrc=https%3A%2F%2Fademecloud-my.sharepoint.com%2Fpersonal%2Fpierre_kerdoncuff_ademe_fr%2F_vti_bin%2Fwopi.ashx%2Ffiles%2F5eadc6b16ea34e1fa01d1ab4ffdd611f&amp;wdenableroaming=1&amp;mscc=1&amp;wdodb=1&amp;hid=1832F1A0-406E-7000-A2B7-BDD09119224C&amp;wdorigin=ItemsView&amp;wdhostclicktime=1700823084630&amp;jsapi=1&amp;jsapiver=v1&amp;newsession=1&amp;corrid=1e9c59cc-95db-4231-8606-9c5f203e47f5&amp;usid=1e9c59cc-95db-4231-8606-9c5f203e47f5&amp;sftc=1&amp;cac=1&amp;mtf=1&amp;sfp=1&amp;instantedit=1&amp;wopicomplete=1&amp;wdredirectionreason=Unified_SingleFlush&amp;rct=Normal&amp;ctp=LeastProtected" TargetMode="Externa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conomie.gouv.fr/plan-national-de-relance-et-de-resilience-pnrr" TargetMode="External"/><Relationship Id="rId28" Type="http://schemas.openxmlformats.org/officeDocument/2006/relationships/footer" Target="footer4.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yperlink" Target="http://eur-lex.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conomie.gouv.fr/plan-national-de-relance-et-de-resilience-pnrr" TargetMode="External"/><Relationship Id="rId27" Type="http://schemas.openxmlformats.org/officeDocument/2006/relationships/footer" Target="footer3.xml"/><Relationship Id="rId30" Type="http://schemas.openxmlformats.org/officeDocument/2006/relationships/hyperlink" Target="https://frc-word-edit.officeapps.live.com/we/wordeditorframe.aspx?ui=fr&amp;rs=fr%2DFR&amp;wopisrc=https%3A%2F%2Fademecloud-my.sharepoint.com%2Fpersonal%2Fpierre_kerdoncuff_ademe_fr%2F_vti_bin%2Fwopi.ashx%2Ffiles%2F5eadc6b16ea34e1fa01d1ab4ffdd611f&amp;wdenableroaming=1&amp;mscc=1&amp;wdodb=1&amp;hid=1832F1A0-406E-7000-A2B7-BDD09119224C&amp;wdorigin=ItemsView&amp;wdhostclicktime=1700823084630&amp;jsapi=1&amp;jsapiver=v1&amp;newsession=1&amp;corrid=1e9c59cc-95db-4231-8606-9c5f203e47f5&amp;usid=1e9c59cc-95db-4231-8606-9c5f203e47f5&amp;sftc=1&amp;cac=1&amp;mtf=1&amp;sfp=1&amp;instantedit=1&amp;wopicomplete=1&amp;wdredirectionreason=Unified_SingleFlush&amp;rct=Normal&amp;ctp=LeastProtected"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7.xml.rels><?xml version="1.0" encoding="UTF-8" standalone="yes"?>
<Relationships xmlns="http://schemas.openxmlformats.org/package/2006/relationships"><Relationship Id="rId1" Type="http://schemas.openxmlformats.org/officeDocument/2006/relationships/image" Target="media/image9.jpg"/></Relationships>
</file>

<file path=word/_rels/header6.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15" ma:contentTypeDescription="Crée un document." ma:contentTypeScope="" ma:versionID="9d67e43c5f512948fe6c508949a622f6">
  <xsd:schema xmlns:xsd="http://www.w3.org/2001/XMLSchema" xmlns:xs="http://www.w3.org/2001/XMLSchema" xmlns:p="http://schemas.microsoft.com/office/2006/metadata/properties" xmlns:ns3="ec1616b0-92c7-4956-899e-4701bba629df" xmlns:ns4="bf30a2b9-7406-497a-8738-659c5be4ea2c" targetNamespace="http://schemas.microsoft.com/office/2006/metadata/properties" ma:root="true" ma:fieldsID="b33142c8e0e116e233e3823cc81deffc" ns3:_="" ns4:_="">
    <xsd:import namespace="ec1616b0-92c7-4956-899e-4701bba629df"/>
    <xsd:import namespace="bf30a2b9-7406-497a-8738-659c5be4ea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f30a2b9-7406-497a-8738-659c5be4ea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8AF7B-9F70-48B2-862E-8C54117D0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616b0-92c7-4956-899e-4701bba629df"/>
    <ds:schemaRef ds:uri="bf30a2b9-7406-497a-8738-659c5be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FC535-8038-44E4-AF9C-A690218948B8}">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ec1616b0-92c7-4956-899e-4701bba629df"/>
    <ds:schemaRef ds:uri="http://schemas.openxmlformats.org/package/2006/metadata/core-properties"/>
    <ds:schemaRef ds:uri="bf30a2b9-7406-497a-8738-659c5be4ea2c"/>
    <ds:schemaRef ds:uri="http://purl.org/dc/dcmitype/"/>
  </ds:schemaRefs>
</ds:datastoreItem>
</file>

<file path=customXml/itemProps3.xml><?xml version="1.0" encoding="utf-8"?>
<ds:datastoreItem xmlns:ds="http://schemas.openxmlformats.org/officeDocument/2006/customXml" ds:itemID="{E2DC2636-914D-4A16-87F8-D94714DE8D3E}">
  <ds:schemaRefs>
    <ds:schemaRef ds:uri="http://schemas.openxmlformats.org/officeDocument/2006/bibliography"/>
  </ds:schemaRefs>
</ds:datastoreItem>
</file>

<file path=customXml/itemProps4.xml><?xml version="1.0" encoding="utf-8"?>
<ds:datastoreItem xmlns:ds="http://schemas.openxmlformats.org/officeDocument/2006/customXml" ds:itemID="{0B75B453-BC79-44D3-B1FC-C7B4CAAFB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7531</Words>
  <Characters>41422</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48856</CharactersWithSpaces>
  <SharedDoc>false</SharedDoc>
  <HLinks>
    <vt:vector size="192" baseType="variant">
      <vt:variant>
        <vt:i4>1966158</vt:i4>
      </vt:variant>
      <vt:variant>
        <vt:i4>156</vt:i4>
      </vt:variant>
      <vt:variant>
        <vt:i4>0</vt:i4>
      </vt:variant>
      <vt:variant>
        <vt:i4>5</vt:i4>
      </vt:variant>
      <vt:variant>
        <vt:lpwstr>https://frc-word-edit.officeapps.live.com/we/wordeditorframe.aspx?ui=fr&amp;rs=fr%2DFR&amp;wopisrc=https%3A%2F%2Fademecloud-my.sharepoint.com%2Fpersonal%2Fpierre_kerdoncuff_ademe_fr%2F_vti_bin%2Fwopi.ashx%2Ffiles%2F5eadc6b16ea34e1fa01d1ab4ffdd611f&amp;wdenableroaming=1&amp;mscc=1&amp;wdodb=1&amp;hid=1832F1A0-406E-7000-A2B7-BDD09119224C&amp;wdorigin=ItemsView&amp;wdhostclicktime=1700823084630&amp;jsapi=1&amp;jsapiver=v1&amp;newsession=1&amp;corrid=1e9c59cc-95db-4231-8606-9c5f203e47f5&amp;usid=1e9c59cc-95db-4231-8606-9c5f203e47f5&amp;sftc=1&amp;cac=1&amp;mtf=1&amp;sfp=1&amp;instantedit=1&amp;wopicomplete=1&amp;wdredirectionreason=Unified_SingleFlush&amp;rct=Normal&amp;ctp=LeastProtected</vt:lpwstr>
      </vt:variant>
      <vt:variant>
        <vt:lpwstr>_ftnref1</vt:lpwstr>
      </vt:variant>
      <vt:variant>
        <vt:i4>3473457</vt:i4>
      </vt:variant>
      <vt:variant>
        <vt:i4>153</vt:i4>
      </vt:variant>
      <vt:variant>
        <vt:i4>0</vt:i4>
      </vt:variant>
      <vt:variant>
        <vt:i4>5</vt:i4>
      </vt:variant>
      <vt:variant>
        <vt:lpwstr>https://www.legifrance.gouv.fr/jorf/id/JORFTEXT000047134304</vt:lpwstr>
      </vt:variant>
      <vt:variant>
        <vt:lpwstr/>
      </vt:variant>
      <vt:variant>
        <vt:i4>3604531</vt:i4>
      </vt:variant>
      <vt:variant>
        <vt:i4>150</vt:i4>
      </vt:variant>
      <vt:variant>
        <vt:i4>0</vt:i4>
      </vt:variant>
      <vt:variant>
        <vt:i4>5</vt:i4>
      </vt:variant>
      <vt:variant>
        <vt:lpwstr>https://www.legifrance.gouv.fr/jorf/id/JORFTEXT000047134129</vt:lpwstr>
      </vt:variant>
      <vt:variant>
        <vt:lpwstr/>
      </vt:variant>
      <vt:variant>
        <vt:i4>1310724</vt:i4>
      </vt:variant>
      <vt:variant>
        <vt:i4>147</vt:i4>
      </vt:variant>
      <vt:variant>
        <vt:i4>0</vt:i4>
      </vt:variant>
      <vt:variant>
        <vt:i4>5</vt:i4>
      </vt:variant>
      <vt:variant>
        <vt:lpwstr>http://eur-lex.europa.eu/</vt:lpwstr>
      </vt:variant>
      <vt:variant>
        <vt:lpwstr/>
      </vt:variant>
      <vt:variant>
        <vt:i4>7929892</vt:i4>
      </vt:variant>
      <vt:variant>
        <vt:i4>144</vt:i4>
      </vt:variant>
      <vt:variant>
        <vt:i4>0</vt:i4>
      </vt:variant>
      <vt:variant>
        <vt:i4>5</vt:i4>
      </vt:variant>
      <vt:variant>
        <vt:lpwstr>https://librairie.ademe.fr/produire-autrement/4196-recolte-durable-de-bois-pour-la-production-de-plaquettes-forestieres-9791029714474.html</vt:lpwstr>
      </vt:variant>
      <vt:variant>
        <vt:lpwstr/>
      </vt:variant>
      <vt:variant>
        <vt:i4>4849754</vt:i4>
      </vt:variant>
      <vt:variant>
        <vt:i4>141</vt:i4>
      </vt:variant>
      <vt:variant>
        <vt:i4>0</vt:i4>
      </vt:variant>
      <vt:variant>
        <vt:i4>5</vt:i4>
      </vt:variant>
      <vt:variant>
        <vt:lpwstr>https://frc-word-edit.officeapps.live.com/we/wordeditorframe.aspx?ui=fr&amp;rs=fr%2DFR&amp;wopisrc=https%3A%2F%2Fademecloud-my.sharepoint.com%2Fpersonal%2Fpierre_kerdoncuff_ademe_fr%2F_vti_bin%2Fwopi.ashx%2Ffiles%2F5eadc6b16ea34e1fa01d1ab4ffdd611f&amp;wdenableroaming=1&amp;mscc=1&amp;wdodb=1&amp;hid=1832F1A0-406E-7000-A2B7-BDD09119224C&amp;wdorigin=ItemsView&amp;wdhostclicktime=1700823084630&amp;jsapi=1&amp;jsapiver=v1&amp;newsession=1&amp;corrid=1e9c59cc-95db-4231-8606-9c5f203e47f5&amp;usid=1e9c59cc-95db-4231-8606-9c5f203e47f5&amp;sftc=1&amp;cac=1&amp;mtf=1&amp;sfp=1&amp;instantedit=1&amp;wopicomplete=1&amp;wdredirectionreason=Unified_SingleFlush&amp;rct=Normal&amp;ctp=LeastProtected</vt:lpwstr>
      </vt:variant>
      <vt:variant>
        <vt:lpwstr>_ftn1</vt:lpwstr>
      </vt:variant>
      <vt:variant>
        <vt:i4>851994</vt:i4>
      </vt:variant>
      <vt:variant>
        <vt:i4>138</vt:i4>
      </vt:variant>
      <vt:variant>
        <vt:i4>0</vt:i4>
      </vt:variant>
      <vt:variant>
        <vt:i4>5</vt:i4>
      </vt:variant>
      <vt:variant>
        <vt:lpwstr>https://www.europe-en-france.gouv.fr/fr/aides-d-etat</vt:lpwstr>
      </vt:variant>
      <vt:variant>
        <vt:lpwstr/>
      </vt:variant>
      <vt:variant>
        <vt:i4>6750332</vt:i4>
      </vt:variant>
      <vt:variant>
        <vt:i4>135</vt:i4>
      </vt:variant>
      <vt:variant>
        <vt:i4>0</vt:i4>
      </vt:variant>
      <vt:variant>
        <vt:i4>5</vt:i4>
      </vt:variant>
      <vt:variant>
        <vt:lpwstr>https://www.economie.gouv.fr/plan-national-de-relance-et-de-resilience-pnrr</vt:lpwstr>
      </vt:variant>
      <vt:variant>
        <vt:lpwstr/>
      </vt:variant>
      <vt:variant>
        <vt:i4>6750332</vt:i4>
      </vt:variant>
      <vt:variant>
        <vt:i4>132</vt:i4>
      </vt:variant>
      <vt:variant>
        <vt:i4>0</vt:i4>
      </vt:variant>
      <vt:variant>
        <vt:i4>5</vt:i4>
      </vt:variant>
      <vt:variant>
        <vt:lpwstr>https://www.economie.gouv.fr/plan-national-de-relance-et-de-resilience-pnrr</vt:lpwstr>
      </vt:variant>
      <vt:variant>
        <vt:lpwstr/>
      </vt:variant>
      <vt:variant>
        <vt:i4>2228263</vt:i4>
      </vt:variant>
      <vt:variant>
        <vt:i4>129</vt:i4>
      </vt:variant>
      <vt:variant>
        <vt:i4>0</vt:i4>
      </vt:variant>
      <vt:variant>
        <vt:i4>5</vt:i4>
      </vt:variant>
      <vt:variant>
        <vt:lpwstr>https://agirpourlatransition.ademe.fr/</vt:lpwstr>
      </vt:variant>
      <vt:variant>
        <vt:lpwstr/>
      </vt:variant>
      <vt:variant>
        <vt:i4>7602192</vt:i4>
      </vt:variant>
      <vt:variant>
        <vt:i4>126</vt:i4>
      </vt:variant>
      <vt:variant>
        <vt:i4>0</vt:i4>
      </vt:variant>
      <vt:variant>
        <vt:i4>5</vt:i4>
      </vt:variant>
      <vt:variant>
        <vt:lpwstr>mailto:aap.ecocirc@ademe.fr</vt:lpwstr>
      </vt:variant>
      <vt:variant>
        <vt:lpwstr/>
      </vt:variant>
      <vt:variant>
        <vt:i4>1245232</vt:i4>
      </vt:variant>
      <vt:variant>
        <vt:i4>119</vt:i4>
      </vt:variant>
      <vt:variant>
        <vt:i4>0</vt:i4>
      </vt:variant>
      <vt:variant>
        <vt:i4>5</vt:i4>
      </vt:variant>
      <vt:variant>
        <vt:lpwstr/>
      </vt:variant>
      <vt:variant>
        <vt:lpwstr>_Toc152603346</vt:lpwstr>
      </vt:variant>
      <vt:variant>
        <vt:i4>1245232</vt:i4>
      </vt:variant>
      <vt:variant>
        <vt:i4>113</vt:i4>
      </vt:variant>
      <vt:variant>
        <vt:i4>0</vt:i4>
      </vt:variant>
      <vt:variant>
        <vt:i4>5</vt:i4>
      </vt:variant>
      <vt:variant>
        <vt:lpwstr/>
      </vt:variant>
      <vt:variant>
        <vt:lpwstr>_Toc152603345</vt:lpwstr>
      </vt:variant>
      <vt:variant>
        <vt:i4>1245232</vt:i4>
      </vt:variant>
      <vt:variant>
        <vt:i4>107</vt:i4>
      </vt:variant>
      <vt:variant>
        <vt:i4>0</vt:i4>
      </vt:variant>
      <vt:variant>
        <vt:i4>5</vt:i4>
      </vt:variant>
      <vt:variant>
        <vt:lpwstr/>
      </vt:variant>
      <vt:variant>
        <vt:lpwstr>_Toc152603344</vt:lpwstr>
      </vt:variant>
      <vt:variant>
        <vt:i4>1245232</vt:i4>
      </vt:variant>
      <vt:variant>
        <vt:i4>101</vt:i4>
      </vt:variant>
      <vt:variant>
        <vt:i4>0</vt:i4>
      </vt:variant>
      <vt:variant>
        <vt:i4>5</vt:i4>
      </vt:variant>
      <vt:variant>
        <vt:lpwstr/>
      </vt:variant>
      <vt:variant>
        <vt:lpwstr>_Toc152603343</vt:lpwstr>
      </vt:variant>
      <vt:variant>
        <vt:i4>1245232</vt:i4>
      </vt:variant>
      <vt:variant>
        <vt:i4>95</vt:i4>
      </vt:variant>
      <vt:variant>
        <vt:i4>0</vt:i4>
      </vt:variant>
      <vt:variant>
        <vt:i4>5</vt:i4>
      </vt:variant>
      <vt:variant>
        <vt:lpwstr/>
      </vt:variant>
      <vt:variant>
        <vt:lpwstr>_Toc152603342</vt:lpwstr>
      </vt:variant>
      <vt:variant>
        <vt:i4>1245232</vt:i4>
      </vt:variant>
      <vt:variant>
        <vt:i4>89</vt:i4>
      </vt:variant>
      <vt:variant>
        <vt:i4>0</vt:i4>
      </vt:variant>
      <vt:variant>
        <vt:i4>5</vt:i4>
      </vt:variant>
      <vt:variant>
        <vt:lpwstr/>
      </vt:variant>
      <vt:variant>
        <vt:lpwstr>_Toc152603341</vt:lpwstr>
      </vt:variant>
      <vt:variant>
        <vt:i4>1245232</vt:i4>
      </vt:variant>
      <vt:variant>
        <vt:i4>83</vt:i4>
      </vt:variant>
      <vt:variant>
        <vt:i4>0</vt:i4>
      </vt:variant>
      <vt:variant>
        <vt:i4>5</vt:i4>
      </vt:variant>
      <vt:variant>
        <vt:lpwstr/>
      </vt:variant>
      <vt:variant>
        <vt:lpwstr>_Toc152603340</vt:lpwstr>
      </vt:variant>
      <vt:variant>
        <vt:i4>1310768</vt:i4>
      </vt:variant>
      <vt:variant>
        <vt:i4>77</vt:i4>
      </vt:variant>
      <vt:variant>
        <vt:i4>0</vt:i4>
      </vt:variant>
      <vt:variant>
        <vt:i4>5</vt:i4>
      </vt:variant>
      <vt:variant>
        <vt:lpwstr/>
      </vt:variant>
      <vt:variant>
        <vt:lpwstr>_Toc152603339</vt:lpwstr>
      </vt:variant>
      <vt:variant>
        <vt:i4>1310768</vt:i4>
      </vt:variant>
      <vt:variant>
        <vt:i4>71</vt:i4>
      </vt:variant>
      <vt:variant>
        <vt:i4>0</vt:i4>
      </vt:variant>
      <vt:variant>
        <vt:i4>5</vt:i4>
      </vt:variant>
      <vt:variant>
        <vt:lpwstr/>
      </vt:variant>
      <vt:variant>
        <vt:lpwstr>_Toc152603338</vt:lpwstr>
      </vt:variant>
      <vt:variant>
        <vt:i4>1310768</vt:i4>
      </vt:variant>
      <vt:variant>
        <vt:i4>65</vt:i4>
      </vt:variant>
      <vt:variant>
        <vt:i4>0</vt:i4>
      </vt:variant>
      <vt:variant>
        <vt:i4>5</vt:i4>
      </vt:variant>
      <vt:variant>
        <vt:lpwstr/>
      </vt:variant>
      <vt:variant>
        <vt:lpwstr>_Toc152603337</vt:lpwstr>
      </vt:variant>
      <vt:variant>
        <vt:i4>1310768</vt:i4>
      </vt:variant>
      <vt:variant>
        <vt:i4>59</vt:i4>
      </vt:variant>
      <vt:variant>
        <vt:i4>0</vt:i4>
      </vt:variant>
      <vt:variant>
        <vt:i4>5</vt:i4>
      </vt:variant>
      <vt:variant>
        <vt:lpwstr/>
      </vt:variant>
      <vt:variant>
        <vt:lpwstr>_Toc152603336</vt:lpwstr>
      </vt:variant>
      <vt:variant>
        <vt:i4>1310768</vt:i4>
      </vt:variant>
      <vt:variant>
        <vt:i4>53</vt:i4>
      </vt:variant>
      <vt:variant>
        <vt:i4>0</vt:i4>
      </vt:variant>
      <vt:variant>
        <vt:i4>5</vt:i4>
      </vt:variant>
      <vt:variant>
        <vt:lpwstr/>
      </vt:variant>
      <vt:variant>
        <vt:lpwstr>_Toc152603335</vt:lpwstr>
      </vt:variant>
      <vt:variant>
        <vt:i4>1310768</vt:i4>
      </vt:variant>
      <vt:variant>
        <vt:i4>47</vt:i4>
      </vt:variant>
      <vt:variant>
        <vt:i4>0</vt:i4>
      </vt:variant>
      <vt:variant>
        <vt:i4>5</vt:i4>
      </vt:variant>
      <vt:variant>
        <vt:lpwstr/>
      </vt:variant>
      <vt:variant>
        <vt:lpwstr>_Toc152603334</vt:lpwstr>
      </vt:variant>
      <vt:variant>
        <vt:i4>1310768</vt:i4>
      </vt:variant>
      <vt:variant>
        <vt:i4>41</vt:i4>
      </vt:variant>
      <vt:variant>
        <vt:i4>0</vt:i4>
      </vt:variant>
      <vt:variant>
        <vt:i4>5</vt:i4>
      </vt:variant>
      <vt:variant>
        <vt:lpwstr/>
      </vt:variant>
      <vt:variant>
        <vt:lpwstr>_Toc152603333</vt:lpwstr>
      </vt:variant>
      <vt:variant>
        <vt:i4>1310768</vt:i4>
      </vt:variant>
      <vt:variant>
        <vt:i4>35</vt:i4>
      </vt:variant>
      <vt:variant>
        <vt:i4>0</vt:i4>
      </vt:variant>
      <vt:variant>
        <vt:i4>5</vt:i4>
      </vt:variant>
      <vt:variant>
        <vt:lpwstr/>
      </vt:variant>
      <vt:variant>
        <vt:lpwstr>_Toc152603332</vt:lpwstr>
      </vt:variant>
      <vt:variant>
        <vt:i4>1310768</vt:i4>
      </vt:variant>
      <vt:variant>
        <vt:i4>29</vt:i4>
      </vt:variant>
      <vt:variant>
        <vt:i4>0</vt:i4>
      </vt:variant>
      <vt:variant>
        <vt:i4>5</vt:i4>
      </vt:variant>
      <vt:variant>
        <vt:lpwstr/>
      </vt:variant>
      <vt:variant>
        <vt:lpwstr>_Toc152603331</vt:lpwstr>
      </vt:variant>
      <vt:variant>
        <vt:i4>1310768</vt:i4>
      </vt:variant>
      <vt:variant>
        <vt:i4>23</vt:i4>
      </vt:variant>
      <vt:variant>
        <vt:i4>0</vt:i4>
      </vt:variant>
      <vt:variant>
        <vt:i4>5</vt:i4>
      </vt:variant>
      <vt:variant>
        <vt:lpwstr/>
      </vt:variant>
      <vt:variant>
        <vt:lpwstr>_Toc152603330</vt:lpwstr>
      </vt:variant>
      <vt:variant>
        <vt:i4>1376304</vt:i4>
      </vt:variant>
      <vt:variant>
        <vt:i4>17</vt:i4>
      </vt:variant>
      <vt:variant>
        <vt:i4>0</vt:i4>
      </vt:variant>
      <vt:variant>
        <vt:i4>5</vt:i4>
      </vt:variant>
      <vt:variant>
        <vt:lpwstr/>
      </vt:variant>
      <vt:variant>
        <vt:lpwstr>_Toc152603329</vt:lpwstr>
      </vt:variant>
      <vt:variant>
        <vt:i4>1376304</vt:i4>
      </vt:variant>
      <vt:variant>
        <vt:i4>11</vt:i4>
      </vt:variant>
      <vt:variant>
        <vt:i4>0</vt:i4>
      </vt:variant>
      <vt:variant>
        <vt:i4>5</vt:i4>
      </vt:variant>
      <vt:variant>
        <vt:lpwstr/>
      </vt:variant>
      <vt:variant>
        <vt:lpwstr>_Toc152603328</vt:lpwstr>
      </vt:variant>
      <vt:variant>
        <vt:i4>1376304</vt:i4>
      </vt:variant>
      <vt:variant>
        <vt:i4>5</vt:i4>
      </vt:variant>
      <vt:variant>
        <vt:i4>0</vt:i4>
      </vt:variant>
      <vt:variant>
        <vt:i4>5</vt:i4>
      </vt:variant>
      <vt:variant>
        <vt:lpwstr/>
      </vt:variant>
      <vt:variant>
        <vt:lpwstr>_Toc152603327</vt:lpwstr>
      </vt:variant>
      <vt:variant>
        <vt:i4>7995418</vt:i4>
      </vt:variant>
      <vt:variant>
        <vt:i4>0</vt:i4>
      </vt:variant>
      <vt:variant>
        <vt:i4>0</vt:i4>
      </vt:variant>
      <vt:variant>
        <vt:i4>5</vt:i4>
      </vt:variant>
      <vt:variant>
        <vt:lpwstr>mailto:aap.biocarb@ademe.fr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Geoffrey</dc:creator>
  <cp:keywords/>
  <cp:lastModifiedBy>TANINEC Alexandra</cp:lastModifiedBy>
  <cp:revision>12</cp:revision>
  <cp:lastPrinted>2023-12-15T09:25:00Z</cp:lastPrinted>
  <dcterms:created xsi:type="dcterms:W3CDTF">2023-12-13T15:18:00Z</dcterms:created>
  <dcterms:modified xsi:type="dcterms:W3CDTF">2024-02-07T13:26:00Z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0x0101007DD598C01543094088DF4F663D839D2F</vt:lpwstr>
  </property>
</Properties>
</file>