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56EABACA" w:rsidR="0010603A" w:rsidRDefault="004E6771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8F4DEC1">
                <wp:simplePos x="0" y="0"/>
                <wp:positionH relativeFrom="margin">
                  <wp:posOffset>183515</wp:posOffset>
                </wp:positionH>
                <wp:positionV relativeFrom="paragraph">
                  <wp:posOffset>2874010</wp:posOffset>
                </wp:positionV>
                <wp:extent cx="6038850" cy="60134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1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71154530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6EDC5A8F" w14:textId="5B7AE876" w:rsidR="004E6771" w:rsidRDefault="004E6771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42078623" w14:textId="1A71811C" w:rsidR="004E6771" w:rsidRDefault="004E677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8237" w:history="1">
                                  <w:r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_Toc61948237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5B1C103" w14:textId="10490BEE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38" w:history="1"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_Toc61948238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F4650D3" w14:textId="1F5ED353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39" w:history="1"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_Toc61948239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797AC75" w14:textId="4FEE4A8D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0" w:history="1"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_Toc61948240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BFDD72" w14:textId="61815DE5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1" w:history="1"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_Toc61948241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B9F2930" w14:textId="5514CA05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2" w:history="1"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_Toc61948242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3FC2148" w14:textId="4D6D1B46" w:rsidR="004E6771" w:rsidRDefault="009E7C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3" w:history="1"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_Toc61948243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9590F7" w14:textId="3095182F" w:rsidR="004E6771" w:rsidRDefault="009E7CF9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4" w:history="1">
                                  <w:r w:rsidR="004E6771" w:rsidRPr="00B22595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a)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en sécheur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_Toc61948244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6E703FB" w14:textId="71CF72D3" w:rsidR="004E6771" w:rsidRDefault="009E7CF9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5" w:history="1">
                                  <w:r w:rsidR="004E6771" w:rsidRPr="00B22595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b)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en composteur électromécanique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_Toc61948245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90B37D" w14:textId="615D26A3" w:rsidR="004E6771" w:rsidRDefault="009E7CF9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6" w:history="1">
                                  <w:r w:rsidR="004E6771" w:rsidRPr="00B22595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c)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pour une collecte par mobilité douce (exemples</w:t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ascii="Calibri" w:eastAsia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: collecte à vélo, véhicule GNV, véhicule électrique</w:t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rFonts w:ascii="Marianne Light" w:eastAsia="Calibri" w:hAnsi="Marianne Light" w:cs="Arial"/>
                                      <w:b/>
                                      <w:bCs/>
                                      <w:noProof/>
                                    </w:rPr>
                                    <w:t>…)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_Toc61948246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428D44" w14:textId="642FBBEB" w:rsidR="004E6771" w:rsidRDefault="009E7CF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7" w:history="1"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_Toc61948247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322ECA" w14:textId="082B66A1" w:rsidR="004E6771" w:rsidRDefault="009E7CF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8" w:history="1"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_Toc61948248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39C0FD" w14:textId="41ADF242" w:rsidR="004E6771" w:rsidRDefault="009E7CF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8249" w:history="1"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4E6771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E6771" w:rsidRPr="00B22595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_Toc61948249 \h </w:instrTex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4E677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8B15AA" w14:textId="493398D4" w:rsidR="004E6771" w:rsidRDefault="004E6771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47B81777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45pt;margin-top:226.3pt;width:475.5pt;height:4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" filled="f" stroked="f">
                <v:textbox>
                  <w:txbxContent>
                    <w:sdt>
                      <w:sdtPr>
                        <w:id w:val="71154530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6EDC5A8F" w14:textId="5B7AE876" w:rsidR="004E6771" w:rsidRDefault="004E6771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42078623" w14:textId="1A71811C" w:rsidR="004E6771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8237" w:history="1"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_Toc61948237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5B1C103" w14:textId="10490BEE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38" w:history="1"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F4650D3" w14:textId="1F5ED353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39" w:history="1"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_Toc61948239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797AC75" w14:textId="4FEE4A8D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0" w:history="1">
                            <w:r w:rsidRPr="00B22595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BFDD72" w14:textId="61815DE5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1" w:history="1">
                            <w:r w:rsidRPr="00B22595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B9F2930" w14:textId="5514CA05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2" w:history="1">
                            <w:r w:rsidRPr="00B22595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3FC2148" w14:textId="4D6D1B46" w:rsidR="004E6771" w:rsidRDefault="004E67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3" w:history="1"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9590F7" w14:textId="3095182F" w:rsidR="004E6771" w:rsidRDefault="004E6771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4" w:history="1">
                            <w:r w:rsidRPr="00B22595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a)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en sécheur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6E703FB" w14:textId="71CF72D3" w:rsidR="004E6771" w:rsidRDefault="004E6771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5" w:history="1">
                            <w:r w:rsidRPr="00B22595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b)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en composteur électromécanique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90B37D" w14:textId="615D26A3" w:rsidR="004E6771" w:rsidRDefault="004E6771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6" w:history="1">
                            <w:r w:rsidRPr="00B22595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c)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pour une collecte par mobilité douce (exemples</w:t>
                            </w:r>
                            <w:r w:rsidRPr="00B22595">
                              <w:rPr>
                                <w:rStyle w:val="Lienhypertexte"/>
                                <w:rFonts w:ascii="Calibri" w:eastAsia="Calibri" w:hAnsi="Calibri" w:cs="Calibri"/>
                                <w:noProof/>
                              </w:rPr>
                              <w:t> </w:t>
                            </w:r>
                            <w:r w:rsidRPr="00B225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: collecte à vélo, véhicule GNV, véhicule électrique</w:t>
                            </w:r>
                            <w:r w:rsidRPr="00B22595">
                              <w:rPr>
                                <w:rStyle w:val="Lienhypertexte"/>
                                <w:rFonts w:ascii="Marianne Light" w:eastAsia="Calibri" w:hAnsi="Marianne Light" w:cs="Arial"/>
                                <w:b/>
                                <w:bCs/>
                                <w:noProof/>
                              </w:rPr>
                              <w:t>…)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428D44" w14:textId="642FBBEB" w:rsidR="004E6771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7" w:history="1"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322ECA" w14:textId="082B66A1" w:rsidR="004E6771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8" w:history="1"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39C0FD" w14:textId="41ADF242" w:rsidR="004E6771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8249" w:history="1"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22595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_Toc61948249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8B15AA" w14:textId="493398D4" w:rsidR="004E6771" w:rsidRDefault="004E6771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47B81777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B2A7263">
                <wp:simplePos x="0" y="0"/>
                <wp:positionH relativeFrom="margin">
                  <wp:posOffset>258519</wp:posOffset>
                </wp:positionH>
                <wp:positionV relativeFrom="paragraph">
                  <wp:posOffset>1130389</wp:posOffset>
                </wp:positionV>
                <wp:extent cx="6108700" cy="1488218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88218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5806C3A0" w:rsidR="00ED2079" w:rsidRPr="006F4488" w:rsidRDefault="00530BA7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Sécheurs, composteurs électromécaniques et équipements pour une collecte par mobilité douce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_x0000_s1027" style="position:absolute;margin-left:20.35pt;margin-top:89pt;width:481pt;height:1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488218;0,1488218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5806C3A0" w:rsidR="00ED2079" w:rsidRPr="006F4488" w:rsidRDefault="00530BA7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Sécheurs, composteurs électromécaniques et équipements pour une collecte par mobilité douce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7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EB09" wp14:editId="5199AE8C">
                <wp:simplePos x="0" y="0"/>
                <wp:positionH relativeFrom="margin">
                  <wp:posOffset>-293370</wp:posOffset>
                </wp:positionH>
                <wp:positionV relativeFrom="paragraph">
                  <wp:posOffset>589915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262D2" id="Rectangle 2" o:spid="_x0000_s1026" style="position:absolute;margin-left:-23.1pt;margin-top:46.45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D4Cb8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4E6771">
        <w:rPr>
          <w:noProof/>
        </w:rPr>
        <w:drawing>
          <wp:anchor distT="0" distB="0" distL="114300" distR="114300" simplePos="0" relativeHeight="251678720" behindDoc="1" locked="0" layoutInCell="1" allowOverlap="1" wp14:anchorId="53A87470" wp14:editId="5A838E7F">
            <wp:simplePos x="0" y="0"/>
            <wp:positionH relativeFrom="page">
              <wp:posOffset>11909</wp:posOffset>
            </wp:positionH>
            <wp:positionV relativeFrom="paragraph">
              <wp:posOffset>-889156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4E6771">
      <w:pPr>
        <w:pStyle w:val="Titre1"/>
        <w:numPr>
          <w:ilvl w:val="0"/>
          <w:numId w:val="18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886"/>
      <w:bookmarkStart w:id="19" w:name="_Toc61947910"/>
      <w:bookmarkStart w:id="20" w:name="_Toc61947926"/>
      <w:bookmarkStart w:id="21" w:name="_Toc61948237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2B825F3" w14:textId="72FCC90D" w:rsidR="00CB42EF" w:rsidRDefault="005560DC" w:rsidP="004E6771">
      <w:pPr>
        <w:pStyle w:val="Titre2"/>
        <w:numPr>
          <w:ilvl w:val="1"/>
          <w:numId w:val="19"/>
        </w:numPr>
        <w:rPr>
          <w:rFonts w:eastAsia="Calibri"/>
        </w:rPr>
      </w:pPr>
      <w:bookmarkStart w:id="22" w:name="_Toc55313188"/>
      <w:bookmarkStart w:id="23" w:name="_Toc55313529"/>
      <w:bookmarkStart w:id="24" w:name="_Toc55316310"/>
      <w:bookmarkStart w:id="25" w:name="_Toc55317809"/>
      <w:bookmarkStart w:id="26" w:name="_Toc55319163"/>
      <w:bookmarkStart w:id="27" w:name="_Toc55319570"/>
      <w:bookmarkStart w:id="28" w:name="_Toc55319986"/>
      <w:bookmarkStart w:id="29" w:name="_Toc55320001"/>
      <w:bookmarkStart w:id="30" w:name="_Toc61947887"/>
      <w:bookmarkStart w:id="31" w:name="_Toc61947911"/>
      <w:bookmarkStart w:id="32" w:name="_Toc61947927"/>
      <w:bookmarkStart w:id="33" w:name="_Toc61948238"/>
      <w:bookmarkStart w:id="34" w:name="_Toc361900950"/>
      <w:bookmarkStart w:id="35" w:name="_Toc51062366"/>
      <w:bookmarkStart w:id="36" w:name="_Toc51064061"/>
      <w:bookmarkStart w:id="37" w:name="_Toc51064308"/>
      <w:bookmarkStart w:id="38" w:name="_Toc51064420"/>
      <w:bookmarkStart w:id="39" w:name="_Toc51064712"/>
      <w:bookmarkStart w:id="40" w:name="_Toc51228299"/>
      <w:bookmarkStart w:id="41" w:name="_Toc51228331"/>
      <w:bookmarkStart w:id="42" w:name="_Toc51228460"/>
      <w:bookmarkStart w:id="43" w:name="_Toc5122853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DD0F7C5" w14:textId="7BC51E56" w:rsidR="00CB42EF" w:rsidRPr="00D27E18" w:rsidRDefault="005560DC" w:rsidP="004E6771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4E6771">
      <w:pPr>
        <w:pStyle w:val="Titre2"/>
        <w:numPr>
          <w:ilvl w:val="1"/>
          <w:numId w:val="19"/>
        </w:numPr>
      </w:pPr>
      <w:bookmarkStart w:id="44" w:name="_Toc55313189"/>
      <w:bookmarkStart w:id="45" w:name="_Toc55313530"/>
      <w:bookmarkStart w:id="46" w:name="_Toc55316311"/>
      <w:bookmarkStart w:id="47" w:name="_Toc55317810"/>
      <w:bookmarkStart w:id="48" w:name="_Toc55319164"/>
      <w:bookmarkStart w:id="49" w:name="_Toc55319571"/>
      <w:bookmarkStart w:id="50" w:name="_Toc55319987"/>
      <w:bookmarkStart w:id="51" w:name="_Toc55320002"/>
      <w:bookmarkStart w:id="52" w:name="_Toc61947888"/>
      <w:bookmarkStart w:id="53" w:name="_Toc61947912"/>
      <w:bookmarkStart w:id="54" w:name="_Toc61947928"/>
      <w:bookmarkStart w:id="55" w:name="_Toc61948239"/>
      <w:r w:rsidRPr="00E565EA">
        <w:t xml:space="preserve">Description des actions </w:t>
      </w:r>
      <w:r>
        <w:t>déjà réalisées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E11DF23" w14:textId="2F079F86" w:rsidR="005560DC" w:rsidRPr="00D27E18" w:rsidRDefault="005560DC" w:rsidP="004E6771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56" w:name="_Toc55313190"/>
      <w:bookmarkStart w:id="57" w:name="_Toc55313531"/>
      <w:bookmarkStart w:id="58" w:name="_Toc55316312"/>
      <w:bookmarkStart w:id="59" w:name="_Toc55317811"/>
      <w:bookmarkStart w:id="60" w:name="_Toc55319165"/>
      <w:bookmarkStart w:id="61" w:name="_Toc55319572"/>
      <w:bookmarkStart w:id="62" w:name="_Toc55319988"/>
      <w:bookmarkStart w:id="63" w:name="_Toc55320003"/>
      <w:bookmarkStart w:id="64" w:name="_Toc61947889"/>
      <w:bookmarkStart w:id="65" w:name="_Toc61947913"/>
      <w:bookmarkStart w:id="66" w:name="_Toc61947929"/>
      <w:bookmarkStart w:id="67" w:name="_Toc61948240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eastAsia="Calibri"/>
        </w:rPr>
        <w:t>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0102F58F" w14:textId="4A1F843A" w:rsidR="00A95195" w:rsidRPr="00835704" w:rsidRDefault="00835704" w:rsidP="004E6771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68" w:name="_Toc51062367"/>
      <w:bookmarkStart w:id="69" w:name="_Toc51064062"/>
      <w:bookmarkStart w:id="70" w:name="_Toc51064309"/>
      <w:bookmarkStart w:id="71" w:name="_Toc51064421"/>
      <w:bookmarkStart w:id="72" w:name="_Toc51064713"/>
      <w:bookmarkStart w:id="73" w:name="_Toc51228300"/>
      <w:bookmarkStart w:id="74" w:name="_Toc51228332"/>
      <w:bookmarkStart w:id="75" w:name="_Toc51228461"/>
      <w:bookmarkStart w:id="76" w:name="_Toc51228540"/>
      <w:bookmarkStart w:id="77" w:name="_Toc55313191"/>
      <w:bookmarkStart w:id="78" w:name="_Toc55313532"/>
      <w:bookmarkStart w:id="79" w:name="_Toc55316313"/>
      <w:bookmarkStart w:id="80" w:name="_Toc55317812"/>
      <w:bookmarkStart w:id="81" w:name="_Toc55319166"/>
      <w:bookmarkStart w:id="82" w:name="_Toc55319573"/>
      <w:bookmarkStart w:id="83" w:name="_Toc55319989"/>
      <w:bookmarkStart w:id="84" w:name="_Toc55320004"/>
      <w:bookmarkStart w:id="85" w:name="_Toc61947890"/>
      <w:bookmarkStart w:id="86" w:name="_Toc61947914"/>
      <w:bookmarkStart w:id="87" w:name="_Toc61947930"/>
      <w:bookmarkStart w:id="88" w:name="_Toc61948241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rFonts w:eastAsia="Calibri"/>
        </w:rPr>
        <w:t>l’opération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1405D4FC" w14:textId="627C6A3B" w:rsidR="00835704" w:rsidRPr="00530BA7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</w:t>
      </w:r>
      <w:r w:rsidR="00530BA7">
        <w:rPr>
          <w:rFonts w:eastAsia="Calibri"/>
          <w:lang w:eastAsia="en-US"/>
        </w:rPr>
        <w:t xml:space="preserve"> porteur de projet doit indiquer </w:t>
      </w:r>
      <w:r w:rsidRPr="00D27E18">
        <w:rPr>
          <w:rFonts w:eastAsia="Calibri"/>
          <w:lang w:eastAsia="en-US"/>
        </w:rPr>
        <w:t>les quantités de biodéchets concernés, préciser les nouvelles modalités d’organisation pour la gestion des biodéchets, dans une logique de non-mélange avec les autres flux de déchets produits par le porteur de projet.</w:t>
      </w:r>
    </w:p>
    <w:p w14:paraId="3EC8927A" w14:textId="4E6C35F1" w:rsidR="00835704" w:rsidRPr="00D27E18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 xml:space="preserve">Décrire quels sont les résultats attendus par le porteur de projet (ex : diminution de la quantité de déchets </w:t>
      </w:r>
      <w:r w:rsidR="007C002E" w:rsidRPr="00D27E18">
        <w:rPr>
          <w:rFonts w:eastAsia="Calibri"/>
          <w:lang w:eastAsia="en-US"/>
        </w:rPr>
        <w:t xml:space="preserve">produits ou </w:t>
      </w:r>
      <w:r w:rsidRPr="00D27E18">
        <w:rPr>
          <w:rFonts w:eastAsia="Calibri"/>
          <w:lang w:eastAsia="en-US"/>
        </w:rPr>
        <w:t>collectés en mélange, gains économiques pour l’entreprise, image de l’entreprise, etc.</w:t>
      </w:r>
      <w:r w:rsidR="007C002E" w:rsidRPr="00D27E18">
        <w:rPr>
          <w:rFonts w:eastAsia="Calibri"/>
          <w:lang w:eastAsia="en-US"/>
        </w:rPr>
        <w:t>)</w:t>
      </w:r>
    </w:p>
    <w:p w14:paraId="6040DF94" w14:textId="39AC56A1" w:rsidR="00081363" w:rsidRPr="00D95037" w:rsidRDefault="00081363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89" w:name="_Toc51062368"/>
      <w:bookmarkStart w:id="90" w:name="_Toc51064063"/>
      <w:bookmarkStart w:id="91" w:name="_Toc51064310"/>
      <w:bookmarkStart w:id="92" w:name="_Toc51064422"/>
      <w:bookmarkStart w:id="93" w:name="_Toc51064714"/>
      <w:bookmarkStart w:id="94" w:name="_Toc51228301"/>
      <w:bookmarkStart w:id="95" w:name="_Toc51228333"/>
      <w:bookmarkStart w:id="96" w:name="_Toc51228462"/>
      <w:bookmarkStart w:id="97" w:name="_Toc51228541"/>
      <w:bookmarkStart w:id="98" w:name="_Toc55313192"/>
      <w:bookmarkStart w:id="99" w:name="_Toc55313533"/>
      <w:bookmarkStart w:id="100" w:name="_Toc55316314"/>
      <w:bookmarkStart w:id="101" w:name="_Toc55317813"/>
      <w:bookmarkStart w:id="102" w:name="_Toc55319167"/>
      <w:bookmarkStart w:id="103" w:name="_Toc55319574"/>
      <w:bookmarkStart w:id="104" w:name="_Toc55319990"/>
      <w:bookmarkStart w:id="105" w:name="_Toc55320005"/>
      <w:bookmarkStart w:id="106" w:name="_Toc61947891"/>
      <w:bookmarkStart w:id="107" w:name="_Toc61947915"/>
      <w:bookmarkStart w:id="108" w:name="_Toc61947931"/>
      <w:bookmarkStart w:id="109" w:name="_Toc61948242"/>
      <w:r w:rsidRPr="00D95037">
        <w:rPr>
          <w:rFonts w:eastAsia="Calibri"/>
        </w:rPr>
        <w:t>Moyens mis en œuvre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33CE08F5" w14:textId="673F792F" w:rsidR="00081363" w:rsidRPr="00D27E18" w:rsidRDefault="00ED2079" w:rsidP="004E6771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4E6771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pré-collecte et de collecte tels que des </w:t>
      </w:r>
      <w:proofErr w:type="spellStart"/>
      <w:r w:rsidRPr="00D27E18">
        <w:t>bioseaux</w:t>
      </w:r>
      <w:proofErr w:type="spellEnd"/>
      <w:r w:rsidRPr="00D27E18">
        <w:t>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4E6771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10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3DAC0008" w14:textId="0AD79B77" w:rsidR="00533138" w:rsidRPr="00A95195" w:rsidRDefault="00844436" w:rsidP="004E6771">
      <w:pPr>
        <w:pStyle w:val="Titre2"/>
        <w:numPr>
          <w:ilvl w:val="1"/>
          <w:numId w:val="19"/>
        </w:numPr>
      </w:pPr>
      <w:bookmarkStart w:id="111" w:name="_Toc55316315"/>
      <w:bookmarkStart w:id="112" w:name="_Toc55317814"/>
      <w:bookmarkStart w:id="113" w:name="_Toc55319168"/>
      <w:bookmarkStart w:id="114" w:name="_Toc55319575"/>
      <w:bookmarkStart w:id="115" w:name="_Toc55319991"/>
      <w:bookmarkStart w:id="116" w:name="_Toc55320006"/>
      <w:bookmarkStart w:id="117" w:name="_Toc61947892"/>
      <w:bookmarkStart w:id="118" w:name="_Toc61947916"/>
      <w:bookmarkStart w:id="119" w:name="_Toc61947932"/>
      <w:bookmarkStart w:id="120" w:name="_Toc61948243"/>
      <w:r>
        <w:lastRenderedPageBreak/>
        <w:t>Description de l’opération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05381B8F" w14:textId="25310AFF" w:rsidR="004E6771" w:rsidRPr="004E6771" w:rsidRDefault="00670DDB" w:rsidP="004E6771">
      <w:pPr>
        <w:pStyle w:val="Titre2"/>
        <w:numPr>
          <w:ilvl w:val="0"/>
          <w:numId w:val="22"/>
        </w:numPr>
        <w:ind w:left="1210"/>
        <w:rPr>
          <w:rFonts w:eastAsia="Calibri"/>
          <w:sz w:val="22"/>
          <w:szCs w:val="22"/>
        </w:rPr>
      </w:pPr>
      <w:bookmarkStart w:id="121" w:name="_Toc61948244"/>
      <w:r w:rsidRPr="004E6771">
        <w:rPr>
          <w:rFonts w:eastAsia="Calibri"/>
          <w:sz w:val="22"/>
          <w:szCs w:val="22"/>
        </w:rPr>
        <w:t>Projet d’é</w:t>
      </w:r>
      <w:r w:rsidR="009638F8" w:rsidRPr="004E6771">
        <w:rPr>
          <w:rFonts w:eastAsia="Calibri"/>
          <w:sz w:val="22"/>
          <w:szCs w:val="22"/>
        </w:rPr>
        <w:t>quipement en sécheur</w:t>
      </w:r>
      <w:bookmarkEnd w:id="121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5A9F4EDC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06EF001E" w14:textId="77777777" w:rsidR="00C46769" w:rsidRPr="00C46769" w:rsidRDefault="00C46769" w:rsidP="00C4676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 w:line="285" w:lineRule="auto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3092" w:type="pct"/>
            <w:shd w:val="clear" w:color="auto" w:fill="auto"/>
          </w:tcPr>
          <w:p w14:paraId="19E4208B" w14:textId="77777777" w:rsidR="00C46769" w:rsidRPr="00C46769" w:rsidRDefault="009E7CF9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4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5FC13D53" w14:textId="77777777" w:rsidR="00C46769" w:rsidRPr="00C46769" w:rsidRDefault="009E7CF9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501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135A8846" w14:textId="77777777" w:rsidR="00C46769" w:rsidRPr="00C46769" w:rsidRDefault="009E7CF9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153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32AA738" w14:textId="77777777" w:rsidR="00C46769" w:rsidRPr="00C46769" w:rsidRDefault="009E7CF9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868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38CAE426" w14:textId="6A2DC7B4" w:rsidR="00C46769" w:rsidRPr="00C46769" w:rsidRDefault="009E7CF9" w:rsidP="009D548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088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C46769" w:rsidRPr="00C46769" w14:paraId="7DAA4CC2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2B9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CEEB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023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4C3BD467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50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2E5054C0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157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5AD021B7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500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737D6E21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94FA22B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33E15C0" w14:textId="3F195FE4" w:rsidR="00C46769" w:rsidRPr="00C46769" w:rsidRDefault="009E7CF9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579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3FD54323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247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3B229533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2DF6CEB7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0651D84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42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722A456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AB4F1A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6AA79C43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963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786154E5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38C29DB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D296DAB" w14:textId="759438D8" w:rsid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231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9638F8">
              <w:rPr>
                <w:rFonts w:ascii="Marianne Light" w:hAnsi="Marianne Light"/>
                <w:sz w:val="18"/>
                <w:szCs w:val="18"/>
              </w:rPr>
              <w:t>Sécheur</w:t>
            </w:r>
          </w:p>
          <w:p w14:paraId="5960FA15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183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Formation du personnel</w:t>
            </w:r>
          </w:p>
          <w:p w14:paraId="7866E3F9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500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Communication</w:t>
            </w:r>
          </w:p>
          <w:p w14:paraId="1E44BA53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181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Signalétique</w:t>
            </w:r>
          </w:p>
          <w:p w14:paraId="4DACC729" w14:textId="77777777" w:rsidR="00C46769" w:rsidRPr="00C46769" w:rsidRDefault="009E7CF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942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8F343B0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422C8950" w14:textId="77777777" w:rsidR="00C46769" w:rsidRPr="00C46769" w:rsidRDefault="00C46769" w:rsidP="00C46769">
            <w:pPr>
              <w:pStyle w:val="Texteexerguesurligngris"/>
              <w:autoSpaceDE w:val="0"/>
              <w:autoSpaceDN w:val="0"/>
              <w:adjustRightInd w:val="0"/>
              <w:spacing w:before="20" w:after="20" w:line="285" w:lineRule="auto"/>
              <w:contextualSpacing w:val="0"/>
              <w:rPr>
                <w:rFonts w:eastAsia="Times New Roman" w:cs="Times New Roman"/>
                <w:szCs w:val="18"/>
                <w:lang w:eastAsia="fr-FR"/>
              </w:rPr>
            </w:pPr>
            <w:r w:rsidRPr="00C46769">
              <w:rPr>
                <w:rFonts w:eastAsia="Times New Roman" w:cs="Times New Roman"/>
                <w:szCs w:val="18"/>
                <w:lang w:eastAsia="fr-FR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FC21D2F" w14:textId="3B34D6BC" w:rsidR="00670DDB" w:rsidRPr="00C46769" w:rsidRDefault="009E7CF9" w:rsidP="00670DD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211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>
              <w:rPr>
                <w:rFonts w:ascii="Marianne Light" w:hAnsi="Marianne Light"/>
                <w:sz w:val="18"/>
                <w:szCs w:val="18"/>
              </w:rPr>
              <w:t xml:space="preserve"> Filière de traitement agréée </w:t>
            </w:r>
          </w:p>
          <w:p w14:paraId="32322647" w14:textId="14E67050" w:rsidR="00C46769" w:rsidRPr="00C46769" w:rsidRDefault="009E7CF9" w:rsidP="00670DD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371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90A0ED8" w14:textId="77777777" w:rsidTr="000D0806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3778A53C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A67B0A9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66F1104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5B42C642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DB47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Chiffre d’affaires créé ou maintenu grâce au projet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D4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53EEF88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A752" w14:textId="77777777" w:rsidR="009E7CF9" w:rsidRPr="009E7CF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Tonnage annuel entrant prévisionnel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CA5B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080FF31" w14:textId="77777777" w:rsidR="00533138" w:rsidRPr="00C46769" w:rsidRDefault="00533138" w:rsidP="00011A9B">
      <w:pPr>
        <w:spacing w:after="0" w:line="240" w:lineRule="auto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39760C72" w14:textId="51731B80" w:rsidR="00533138" w:rsidRDefault="00533138">
      <w:pPr>
        <w:spacing w:after="200" w:line="276" w:lineRule="auto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18D21F96" w14:textId="66B2AC40" w:rsidR="004E6771" w:rsidRPr="004E6771" w:rsidRDefault="004E6771" w:rsidP="004E6771">
      <w:pPr>
        <w:pStyle w:val="Titre2"/>
        <w:numPr>
          <w:ilvl w:val="0"/>
          <w:numId w:val="22"/>
        </w:numPr>
        <w:ind w:left="1210"/>
        <w:rPr>
          <w:rFonts w:eastAsia="Calibri"/>
          <w:sz w:val="22"/>
          <w:szCs w:val="22"/>
        </w:rPr>
      </w:pPr>
      <w:bookmarkStart w:id="122" w:name="_Toc61948245"/>
      <w:bookmarkStart w:id="123" w:name="_Toc55316317"/>
      <w:bookmarkStart w:id="124" w:name="_Toc55317816"/>
      <w:bookmarkStart w:id="125" w:name="_Toc55319170"/>
      <w:bookmarkStart w:id="126" w:name="_Toc55319577"/>
      <w:bookmarkStart w:id="127" w:name="_Toc55319993"/>
      <w:bookmarkStart w:id="128" w:name="_Toc55320008"/>
      <w:r w:rsidRPr="004E6771">
        <w:rPr>
          <w:rFonts w:eastAsia="Calibri"/>
          <w:sz w:val="22"/>
          <w:szCs w:val="22"/>
        </w:rPr>
        <w:lastRenderedPageBreak/>
        <w:t xml:space="preserve">Projet </w:t>
      </w:r>
      <w:r>
        <w:rPr>
          <w:rFonts w:eastAsia="Calibri"/>
          <w:sz w:val="22"/>
          <w:szCs w:val="22"/>
        </w:rPr>
        <w:t>d’équipement en composteur électromécanique</w:t>
      </w:r>
      <w:bookmarkEnd w:id="122"/>
    </w:p>
    <w:p w14:paraId="5CA74A16" w14:textId="77777777" w:rsidR="004E6771" w:rsidRPr="004E6771" w:rsidRDefault="004E6771" w:rsidP="004E6771">
      <w:pPr>
        <w:rPr>
          <w:rFonts w:eastAsia="Calibri"/>
          <w:lang w:eastAsia="en-US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DF5274" w:rsidRPr="00C46769" w14:paraId="3E02241B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D9FD00B" w14:textId="77777777" w:rsidR="00DF5274" w:rsidRPr="00C46769" w:rsidRDefault="00DF5274" w:rsidP="00FA405A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 w:line="285" w:lineRule="auto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3092" w:type="pct"/>
            <w:shd w:val="clear" w:color="auto" w:fill="auto"/>
          </w:tcPr>
          <w:p w14:paraId="16FCEDDC" w14:textId="77777777" w:rsidR="00DF5274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567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03DC111" w14:textId="77777777" w:rsidR="00DF5274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92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C24647B" w14:textId="77777777" w:rsidR="00DF5274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985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7B2FA6D3" w14:textId="77777777" w:rsidR="00DF5274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904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6E1FDEEA" w14:textId="77777777" w:rsidR="00DF5274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979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57B7B75C" w14:textId="77777777" w:rsidR="00DF5274" w:rsidRPr="00C46769" w:rsidRDefault="009E7CF9" w:rsidP="00FA405A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64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: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DF5274" w:rsidRPr="00C46769" w14:paraId="130C490B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F7EC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9F4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440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4A559ACD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477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5120770C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0723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583F9A0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392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DF5274" w:rsidRPr="00C46769" w14:paraId="67B818B8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595ADD46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DE79BB4" w14:textId="77777777" w:rsidR="00DF5274" w:rsidRPr="00C46769" w:rsidRDefault="009E7CF9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28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94CF0A1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12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DF5274" w:rsidRPr="00C46769" w14:paraId="60CB0626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C992895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AB69886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230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A060F98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2590F590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452969C2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54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DF5274" w:rsidRPr="00C46769" w14:paraId="6650F282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67B7D55D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28150C4" w14:textId="188FD0E4" w:rsidR="00DF5274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143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Composteur électromécanique</w:t>
            </w:r>
          </w:p>
          <w:p w14:paraId="06042BF9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561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Formation du personnel</w:t>
            </w:r>
          </w:p>
          <w:p w14:paraId="6917AED8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306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Communication</w:t>
            </w:r>
          </w:p>
          <w:p w14:paraId="4C9B87EF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297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Signalétique</w:t>
            </w:r>
          </w:p>
          <w:p w14:paraId="05BAB225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757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DF5274" w:rsidRPr="00C46769" w14:paraId="2164B2C9" w14:textId="77777777" w:rsidTr="00FA405A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4A74407D" w14:textId="77777777" w:rsidR="00DF5274" w:rsidRPr="00C46769" w:rsidRDefault="00DF5274" w:rsidP="00FA405A">
            <w:pPr>
              <w:pStyle w:val="Texteexerguesurligngris"/>
              <w:autoSpaceDE w:val="0"/>
              <w:autoSpaceDN w:val="0"/>
              <w:adjustRightInd w:val="0"/>
              <w:spacing w:before="20" w:after="20" w:line="285" w:lineRule="auto"/>
              <w:contextualSpacing w:val="0"/>
              <w:rPr>
                <w:rFonts w:eastAsia="Times New Roman" w:cs="Times New Roman"/>
                <w:szCs w:val="18"/>
                <w:lang w:eastAsia="fr-FR"/>
              </w:rPr>
            </w:pPr>
            <w:r w:rsidRPr="00C46769">
              <w:rPr>
                <w:rFonts w:eastAsia="Times New Roman" w:cs="Times New Roman"/>
                <w:szCs w:val="18"/>
                <w:lang w:eastAsia="fr-FR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8DADE63" w14:textId="40DBFA4A" w:rsidR="00DF5274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593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>
              <w:rPr>
                <w:rFonts w:ascii="Marianne Light" w:hAnsi="Marianne Light"/>
                <w:sz w:val="18"/>
                <w:szCs w:val="18"/>
              </w:rPr>
              <w:t xml:space="preserve"> Retour au sol</w:t>
            </w:r>
          </w:p>
          <w:p w14:paraId="1AC6FEBD" w14:textId="1F0E06CC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568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9D548A">
              <w:rPr>
                <w:rFonts w:ascii="Marianne Light" w:hAnsi="Marianne Light"/>
                <w:sz w:val="18"/>
                <w:szCs w:val="18"/>
              </w:rPr>
              <w:t>Evacuation vers un producteur</w:t>
            </w:r>
            <w:r w:rsidR="00DF5274">
              <w:rPr>
                <w:rFonts w:ascii="Marianne Light" w:hAnsi="Marianne Light"/>
                <w:sz w:val="18"/>
                <w:szCs w:val="18"/>
              </w:rPr>
              <w:t xml:space="preserve"> d’amendement organique  </w:t>
            </w:r>
          </w:p>
          <w:p w14:paraId="2F927A25" w14:textId="77777777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7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DF5274" w:rsidRPr="00C46769" w14:paraId="28996E57" w14:textId="77777777" w:rsidTr="00FA405A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2F2B9E9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76FCAF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56CA43D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50BE389B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12DD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Chiffre d’affaires créé ou maintenu grâce au projet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C48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7367FB5E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54A" w14:textId="77777777" w:rsidR="009E7CF9" w:rsidRPr="009E7CF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Tonnage annuel entrant prévisionnel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6FB2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3A899BB4" w14:textId="637AB214" w:rsidR="00DF5274" w:rsidRDefault="00DF5274" w:rsidP="00DF5274">
      <w:pPr>
        <w:rPr>
          <w:rFonts w:eastAsia="Calibri"/>
          <w:lang w:eastAsia="en-US"/>
        </w:rPr>
      </w:pPr>
    </w:p>
    <w:p w14:paraId="750EA053" w14:textId="2EEFC315" w:rsidR="004E6771" w:rsidRDefault="004E6771" w:rsidP="00DF5274">
      <w:pPr>
        <w:rPr>
          <w:rFonts w:eastAsia="Calibri"/>
          <w:lang w:eastAsia="en-US"/>
        </w:rPr>
      </w:pPr>
    </w:p>
    <w:p w14:paraId="3F1BB5E0" w14:textId="251D2386" w:rsidR="004E6771" w:rsidRDefault="004E6771" w:rsidP="00DF5274">
      <w:pPr>
        <w:rPr>
          <w:rFonts w:eastAsia="Calibri"/>
          <w:lang w:eastAsia="en-US"/>
        </w:rPr>
      </w:pPr>
    </w:p>
    <w:p w14:paraId="69E89AA7" w14:textId="1B81E3BE" w:rsidR="004E6771" w:rsidRDefault="004E6771" w:rsidP="00DF5274">
      <w:pPr>
        <w:rPr>
          <w:rFonts w:eastAsia="Calibri"/>
          <w:lang w:eastAsia="en-US"/>
        </w:rPr>
      </w:pPr>
    </w:p>
    <w:p w14:paraId="610AB927" w14:textId="736DF1CB" w:rsidR="004E6771" w:rsidRDefault="004E6771" w:rsidP="00DF5274">
      <w:pPr>
        <w:rPr>
          <w:rFonts w:eastAsia="Calibri"/>
          <w:lang w:eastAsia="en-US"/>
        </w:rPr>
      </w:pPr>
    </w:p>
    <w:p w14:paraId="5BE1F6C6" w14:textId="06C4F7DA" w:rsidR="004E6771" w:rsidRDefault="004E6771" w:rsidP="00DF5274">
      <w:pPr>
        <w:rPr>
          <w:rFonts w:eastAsia="Calibri"/>
          <w:lang w:eastAsia="en-US"/>
        </w:rPr>
      </w:pPr>
    </w:p>
    <w:p w14:paraId="4D652B94" w14:textId="3D45AE3F" w:rsidR="004E6771" w:rsidRDefault="004E6771" w:rsidP="00DF5274">
      <w:pPr>
        <w:rPr>
          <w:rFonts w:eastAsia="Calibri"/>
          <w:lang w:eastAsia="en-US"/>
        </w:rPr>
      </w:pPr>
    </w:p>
    <w:p w14:paraId="353A8CCA" w14:textId="2237FC6C" w:rsidR="004E6771" w:rsidRDefault="004E6771" w:rsidP="00DF5274">
      <w:pPr>
        <w:rPr>
          <w:rFonts w:eastAsia="Calibri"/>
          <w:lang w:eastAsia="en-US"/>
        </w:rPr>
      </w:pPr>
    </w:p>
    <w:p w14:paraId="58DB894F" w14:textId="792F7FE0" w:rsidR="004E6771" w:rsidRDefault="004E6771" w:rsidP="00DF5274">
      <w:pPr>
        <w:rPr>
          <w:rFonts w:eastAsia="Calibri"/>
          <w:lang w:eastAsia="en-US"/>
        </w:rPr>
      </w:pPr>
    </w:p>
    <w:p w14:paraId="2E49AEF6" w14:textId="77777777" w:rsidR="004E6771" w:rsidRDefault="004E6771" w:rsidP="00DF5274">
      <w:pPr>
        <w:rPr>
          <w:rFonts w:eastAsia="Calibri"/>
          <w:lang w:eastAsia="en-US"/>
        </w:rPr>
      </w:pPr>
    </w:p>
    <w:p w14:paraId="4C6EBD6E" w14:textId="4F661235" w:rsidR="004E6771" w:rsidRDefault="004E6771" w:rsidP="00DF5274">
      <w:pPr>
        <w:rPr>
          <w:rFonts w:eastAsia="Calibri"/>
          <w:lang w:eastAsia="en-US"/>
        </w:rPr>
      </w:pPr>
    </w:p>
    <w:p w14:paraId="4477DEBC" w14:textId="458D9F1D" w:rsidR="00364BA1" w:rsidRPr="004E6771" w:rsidRDefault="004E6771" w:rsidP="004E6771">
      <w:pPr>
        <w:pStyle w:val="Titre2"/>
        <w:numPr>
          <w:ilvl w:val="0"/>
          <w:numId w:val="22"/>
        </w:numPr>
        <w:rPr>
          <w:rFonts w:eastAsia="Calibri"/>
          <w:sz w:val="22"/>
          <w:szCs w:val="22"/>
        </w:rPr>
      </w:pPr>
      <w:bookmarkStart w:id="129" w:name="_Toc61948246"/>
      <w:r w:rsidRPr="004E6771">
        <w:rPr>
          <w:rFonts w:eastAsia="Calibri"/>
          <w:sz w:val="22"/>
          <w:szCs w:val="22"/>
        </w:rPr>
        <w:t>Projet d’équipement pour une collecte par mobilité douce (exemples</w:t>
      </w:r>
      <w:r w:rsidRPr="004E6771">
        <w:rPr>
          <w:rFonts w:ascii="Calibri" w:eastAsia="Calibri" w:hAnsi="Calibri" w:cs="Calibri"/>
          <w:sz w:val="22"/>
          <w:szCs w:val="22"/>
        </w:rPr>
        <w:t> </w:t>
      </w:r>
      <w:r w:rsidRPr="004E6771">
        <w:rPr>
          <w:rFonts w:eastAsia="Calibri"/>
          <w:sz w:val="22"/>
          <w:szCs w:val="22"/>
        </w:rPr>
        <w:t>: collecte à vélo, véhicule GNV, véhicule électrique</w:t>
      </w:r>
      <w:r w:rsidRPr="004E6771">
        <w:rPr>
          <w:rStyle w:val="asoustitreCar"/>
          <w:sz w:val="22"/>
          <w:szCs w:val="22"/>
        </w:rPr>
        <w:t>…)</w:t>
      </w:r>
      <w:bookmarkEnd w:id="129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670DDB" w:rsidRPr="00C46769" w14:paraId="4FAC94A1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B79DB1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2CD6300F" w14:textId="77777777" w:rsidR="00670DDB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96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2FFE8638" w14:textId="77777777" w:rsidR="00670DDB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59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26FD2DB" w14:textId="77777777" w:rsidR="00670DDB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10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26F90476" w14:textId="77777777" w:rsidR="00670DDB" w:rsidRPr="00C46769" w:rsidRDefault="009E7CF9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48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4059CA24" w14:textId="23A2FC28" w:rsidR="00670DDB" w:rsidRPr="00C46769" w:rsidRDefault="009E7CF9" w:rsidP="00670DD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468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670DDB" w:rsidRPr="00C46769" w14:paraId="591EDD27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E41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4B1196F0" w14:textId="4A6D3399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309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6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F90A5E9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1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3B399604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690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2B3CDE0A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770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670DDB" w:rsidRPr="00C46769" w14:paraId="02298454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01711DD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01505F4" w14:textId="77777777" w:rsidR="00670DDB" w:rsidRPr="00C46769" w:rsidRDefault="009E7CF9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34B407D" w14:textId="2D2FC479" w:rsidR="00670DDB" w:rsidRPr="00C46769" w:rsidRDefault="009E7CF9" w:rsidP="00670DDB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1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78F5A0DF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657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670DDB" w:rsidRPr="00C46769" w14:paraId="5642ACEF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DC6318F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767E06B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913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37192C75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BCB583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2303723F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4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670DDB" w:rsidRPr="00C46769" w14:paraId="1A16908E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56F122B1" w14:textId="699DA200" w:rsidR="00670DDB" w:rsidRPr="00C46769" w:rsidRDefault="00670DDB" w:rsidP="00DF5274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</w:t>
            </w:r>
            <w:r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r w:rsidR="00DF5274">
              <w:rPr>
                <w:rFonts w:ascii="Marianne Light" w:hAnsi="Marianne Light"/>
                <w:sz w:val="18"/>
                <w:szCs w:val="18"/>
              </w:rPr>
              <w:t>matériel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BCCC048" w14:textId="38E2B046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180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Vélo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  <w:p w14:paraId="78F97E24" w14:textId="4B927650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45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</w:t>
            </w:r>
            <w:r w:rsidR="00DF5274">
              <w:rPr>
                <w:rFonts w:ascii="Marianne Light" w:hAnsi="Marianne Light"/>
                <w:sz w:val="18"/>
                <w:szCs w:val="18"/>
              </w:rPr>
              <w:t>lo</w:t>
            </w:r>
            <w:r w:rsidR="00670DDB">
              <w:rPr>
                <w:rFonts w:ascii="Marianne Light" w:hAnsi="Marianne Light"/>
                <w:sz w:val="18"/>
                <w:szCs w:val="18"/>
              </w:rPr>
              <w:t xml:space="preserve"> électrique</w:t>
            </w:r>
          </w:p>
          <w:p w14:paraId="5CB6AF01" w14:textId="0E707A89" w:rsidR="00670DDB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20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Contenants</w:t>
            </w:r>
          </w:p>
          <w:p w14:paraId="68472E9D" w14:textId="0C75F5C1" w:rsidR="00DF5274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19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Remorque</w:t>
            </w:r>
          </w:p>
          <w:p w14:paraId="67649E37" w14:textId="77777777" w:rsidR="00670DDB" w:rsidRPr="00C46769" w:rsidRDefault="009E7CF9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16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9E7CF9" w:rsidRPr="00C46769" w14:paraId="2BBF2DEE" w14:textId="77777777" w:rsidTr="003B1CEE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0664DD85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692FD8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014DF1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B0F06CF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4F982160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A452E54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37F40DE2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85192D" w14:textId="77777777" w:rsidR="009E7CF9" w:rsidRPr="00801AE3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F23B56E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50C83336" w14:textId="634FEEB5" w:rsidR="00081363" w:rsidRDefault="00081363" w:rsidP="004E6771">
      <w:pPr>
        <w:pStyle w:val="Titre1"/>
        <w:numPr>
          <w:ilvl w:val="0"/>
          <w:numId w:val="19"/>
        </w:numPr>
      </w:pPr>
      <w:bookmarkStart w:id="130" w:name="_Toc51064064"/>
      <w:bookmarkStart w:id="131" w:name="_Toc51064311"/>
      <w:bookmarkStart w:id="132" w:name="_Toc51064423"/>
      <w:bookmarkStart w:id="133" w:name="_Toc51064715"/>
      <w:bookmarkStart w:id="134" w:name="_Toc51228303"/>
      <w:bookmarkStart w:id="135" w:name="_Toc51228335"/>
      <w:bookmarkStart w:id="136" w:name="_Toc51228464"/>
      <w:bookmarkStart w:id="137" w:name="_Toc51228543"/>
      <w:bookmarkStart w:id="138" w:name="_Toc55313194"/>
      <w:bookmarkStart w:id="139" w:name="_Toc55313535"/>
      <w:bookmarkStart w:id="140" w:name="_Toc55316318"/>
      <w:bookmarkStart w:id="141" w:name="_Toc55317817"/>
      <w:bookmarkStart w:id="142" w:name="_Toc55319171"/>
      <w:bookmarkStart w:id="143" w:name="_Toc55319578"/>
      <w:bookmarkStart w:id="144" w:name="_Toc55319994"/>
      <w:bookmarkStart w:id="145" w:name="_Toc55320009"/>
      <w:bookmarkStart w:id="146" w:name="_Toc61947893"/>
      <w:bookmarkStart w:id="147" w:name="_Toc61947917"/>
      <w:bookmarkStart w:id="148" w:name="_Toc61947933"/>
      <w:bookmarkStart w:id="149" w:name="_Toc61948247"/>
      <w:bookmarkStart w:id="150" w:name="_GoBack"/>
      <w:bookmarkEnd w:id="123"/>
      <w:bookmarkEnd w:id="124"/>
      <w:bookmarkEnd w:id="125"/>
      <w:bookmarkEnd w:id="126"/>
      <w:bookmarkEnd w:id="127"/>
      <w:bookmarkEnd w:id="128"/>
      <w:bookmarkEnd w:id="150"/>
      <w:r w:rsidRPr="00D95037">
        <w:t>Suivi et planning du projet</w:t>
      </w:r>
      <w:bookmarkEnd w:id="110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29C0CB00" w14:textId="35F3BD5E" w:rsidR="00A766D8" w:rsidRPr="004E6771" w:rsidRDefault="00B273E6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51" w:name="_Toc51178595"/>
      <w:bookmarkStart w:id="152" w:name="_Toc55313195"/>
      <w:bookmarkStart w:id="153" w:name="_Toc55313536"/>
      <w:bookmarkStart w:id="154" w:name="_Toc55316319"/>
      <w:bookmarkStart w:id="155" w:name="_Toc55317818"/>
      <w:bookmarkStart w:id="156" w:name="_Toc55319172"/>
      <w:bookmarkStart w:id="157" w:name="_Toc55319579"/>
      <w:bookmarkStart w:id="158" w:name="_Toc55319995"/>
      <w:bookmarkStart w:id="159" w:name="_Toc55320010"/>
      <w:bookmarkStart w:id="160" w:name="_Toc61947894"/>
      <w:bookmarkStart w:id="161" w:name="_Toc61947918"/>
      <w:bookmarkStart w:id="162" w:name="_Toc61947934"/>
      <w:bookmarkStart w:id="163" w:name="_Toc61948248"/>
      <w:bookmarkStart w:id="164" w:name="_Toc51064424"/>
      <w:r w:rsidRPr="00AE0AE9">
        <w:t>Engagements spécifiques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00206824" w14:textId="5619C569" w:rsidR="00AE0AE9" w:rsidRPr="00D36020" w:rsidRDefault="00F25439" w:rsidP="004E6771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454E4C28" w14:textId="62B4819C" w:rsidR="00530BA7" w:rsidRPr="00D36020" w:rsidRDefault="00AE0AE9" w:rsidP="004E6771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6D66EC4A" w14:textId="3511B69B" w:rsidR="00364BA1" w:rsidRPr="00530BA7" w:rsidRDefault="00364BA1" w:rsidP="004E6771">
      <w:pPr>
        <w:pStyle w:val="TexteCourant"/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</w:pPr>
      <w:r w:rsidRPr="00530BA7"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  <w:t>Pour un équipement en sécheur, l’exploitant devra s’engager à</w:t>
      </w:r>
      <w:r w:rsidRPr="00530BA7">
        <w:rPr>
          <w:rFonts w:ascii="Calibri" w:eastAsiaTheme="minorHAnsi" w:hAnsi="Calibri" w:cs="Calibri"/>
          <w:bCs/>
          <w:color w:val="000000" w:themeColor="text1"/>
          <w:kern w:val="0"/>
          <w:szCs w:val="18"/>
          <w14:ligatures w14:val="none"/>
          <w14:cntxtAlts w14:val="0"/>
        </w:rPr>
        <w:t> </w:t>
      </w:r>
      <w:r w:rsidRPr="00530BA7"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  <w:t xml:space="preserve">: </w:t>
      </w:r>
    </w:p>
    <w:p w14:paraId="064F6C8B" w14:textId="38A7B783" w:rsidR="009638F8" w:rsidRPr="00530BA7" w:rsidRDefault="009638F8" w:rsidP="004E6771">
      <w:pPr>
        <w:pStyle w:val="Pucenoir"/>
      </w:pPr>
      <w:r w:rsidRPr="00530BA7">
        <w:lastRenderedPageBreak/>
        <w:t>Prouver l’absence de solutions de tri à la source des biodéchets (collecte séparée ou compostage autonome en établissement)</w:t>
      </w:r>
    </w:p>
    <w:p w14:paraId="03972B1C" w14:textId="1160825F" w:rsidR="009638F8" w:rsidRPr="00312A6C" w:rsidRDefault="009638F8" w:rsidP="00312A6C">
      <w:pPr>
        <w:pStyle w:val="Pucenoir"/>
      </w:pPr>
      <w:proofErr w:type="gramStart"/>
      <w:r w:rsidRPr="00530BA7">
        <w:t>et</w:t>
      </w:r>
      <w:proofErr w:type="gramEnd"/>
      <w:r w:rsidRPr="00530BA7">
        <w:t xml:space="preserve"> opérer l’évacuation du </w:t>
      </w:r>
      <w:proofErr w:type="spellStart"/>
      <w:r w:rsidRPr="00530BA7">
        <w:t>séchat</w:t>
      </w:r>
      <w:proofErr w:type="spellEnd"/>
      <w:r w:rsidRPr="00530BA7">
        <w:t xml:space="preserve"> vers une filière de traitement agréée pour traiter des sous-produits animaux de catégorie 3 (un bordereau de suivi de déchets sera demandé pour le paiement du solde)</w:t>
      </w:r>
    </w:p>
    <w:p w14:paraId="019056B8" w14:textId="395783C5" w:rsidR="00C24AE5" w:rsidRPr="00530BA7" w:rsidRDefault="00C24AE5" w:rsidP="004E6771">
      <w:pPr>
        <w:pStyle w:val="TexteCourant"/>
        <w:rPr>
          <w:rFonts w:eastAsiaTheme="minorHAnsi"/>
        </w:rPr>
      </w:pPr>
      <w:r w:rsidRPr="00530BA7">
        <w:rPr>
          <w:rFonts w:eastAsiaTheme="minorHAnsi"/>
        </w:rPr>
        <w:t xml:space="preserve">Pour un traitement en interne des biodéchets par l’utilisation d’un </w:t>
      </w:r>
      <w:proofErr w:type="spellStart"/>
      <w:r w:rsidRPr="00530BA7">
        <w:rPr>
          <w:rFonts w:eastAsiaTheme="minorHAnsi"/>
        </w:rPr>
        <w:t>électrocomposteur</w:t>
      </w:r>
      <w:proofErr w:type="spellEnd"/>
      <w:r w:rsidRPr="00530BA7">
        <w:rPr>
          <w:rFonts w:eastAsiaTheme="minorHAnsi"/>
        </w:rPr>
        <w:t>, l’exploitant devra s’engager à</w:t>
      </w:r>
      <w:r w:rsidRPr="00530BA7">
        <w:rPr>
          <w:rFonts w:ascii="Calibri" w:eastAsiaTheme="minorHAnsi" w:hAnsi="Calibri" w:cs="Calibri"/>
        </w:rPr>
        <w:t> </w:t>
      </w:r>
      <w:r w:rsidRPr="00530BA7">
        <w:rPr>
          <w:rFonts w:eastAsiaTheme="minorHAnsi"/>
        </w:rPr>
        <w:t xml:space="preserve">: </w:t>
      </w:r>
    </w:p>
    <w:p w14:paraId="195B7496" w14:textId="77777777" w:rsidR="00C24AE5" w:rsidRPr="00C24AE5" w:rsidRDefault="00C24AE5" w:rsidP="004E6771">
      <w:pPr>
        <w:pStyle w:val="Pucenoir"/>
      </w:pPr>
      <w:r w:rsidRPr="00C24AE5">
        <w:t>S’assurer que l’implantation de l’équipement est cohérente avec le dispositif de tri à la source existant (non concurrence avec les solutions de collecte ou de gestion de proximité directement accessibles) et qu’elle est pertinente économiquement</w:t>
      </w:r>
    </w:p>
    <w:p w14:paraId="64946A9E" w14:textId="77777777" w:rsidR="00C24AE5" w:rsidRPr="00C24AE5" w:rsidRDefault="00C24AE5" w:rsidP="004E6771">
      <w:pPr>
        <w:pStyle w:val="Pucenoir"/>
      </w:pPr>
      <w:r w:rsidRPr="00C24AE5">
        <w:t>S’assurer que le dimensionnement est cohérent avec les quantités à traiter incluant une estimation de la baisse des quantités produites suite à la mise en place d’actions de lutte contre le gaspillage alimentaire,</w:t>
      </w:r>
    </w:p>
    <w:p w14:paraId="2CCB29B8" w14:textId="77777777" w:rsidR="00C24AE5" w:rsidRPr="00C24AE5" w:rsidRDefault="00C24AE5" w:rsidP="004E6771">
      <w:pPr>
        <w:pStyle w:val="Pucenoir"/>
      </w:pPr>
      <w:r w:rsidRPr="00C24AE5">
        <w:t xml:space="preserve">Former son personnel pour qu’il soit en capacité d’assurer la gestion de l’outil de traitement </w:t>
      </w:r>
    </w:p>
    <w:p w14:paraId="090C52CF" w14:textId="77777777" w:rsidR="00C24AE5" w:rsidRPr="00C24AE5" w:rsidRDefault="00C24AE5" w:rsidP="004E6771">
      <w:pPr>
        <w:pStyle w:val="Pucenoir"/>
      </w:pPr>
      <w:r w:rsidRPr="00C24AE5">
        <w:t>Se faire accompagner par une structure compétente (fournisseur ou autre) pour une durée de 1 an minimum,</w:t>
      </w:r>
    </w:p>
    <w:p w14:paraId="37CE571D" w14:textId="10F2E544" w:rsidR="00F25439" w:rsidRPr="00530BA7" w:rsidRDefault="00DC7930" w:rsidP="004E6771">
      <w:pPr>
        <w:pStyle w:val="Pucenoir"/>
      </w:pPr>
      <w:proofErr w:type="gramStart"/>
      <w:r w:rsidRPr="00DC7930">
        <w:t>réaliser</w:t>
      </w:r>
      <w:proofErr w:type="gramEnd"/>
      <w:r w:rsidRPr="00DC7930">
        <w:t xml:space="preserve"> au minimum une analyse NFU 44-051 et une analyse XPU 44-162 ISMO (Indice de Stabilité de la Matière Organique)</w:t>
      </w:r>
    </w:p>
    <w:p w14:paraId="5383EA30" w14:textId="0D7DE817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65" w:name="_Toc51178596"/>
      <w:bookmarkStart w:id="166" w:name="_Toc55313196"/>
      <w:bookmarkStart w:id="167" w:name="_Toc55313537"/>
      <w:bookmarkStart w:id="168" w:name="_Toc55316320"/>
      <w:bookmarkStart w:id="169" w:name="_Toc55317819"/>
      <w:bookmarkStart w:id="170" w:name="_Toc55319173"/>
      <w:bookmarkStart w:id="171" w:name="_Toc55319580"/>
      <w:bookmarkStart w:id="172" w:name="_Toc55319996"/>
      <w:bookmarkStart w:id="173" w:name="_Toc55320011"/>
      <w:bookmarkStart w:id="174" w:name="_Toc61947895"/>
      <w:bookmarkStart w:id="175" w:name="_Toc61947919"/>
      <w:bookmarkStart w:id="176" w:name="_Toc61947935"/>
      <w:bookmarkStart w:id="177" w:name="_Toc61948249"/>
      <w:r w:rsidRPr="00AE0AE9">
        <w:t>Rapports / documents à fournir lors de l’exécution du contrat de financement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AE0AE9">
        <w:t xml:space="preserve"> </w:t>
      </w:r>
    </w:p>
    <w:p w14:paraId="3F0FB436" w14:textId="49F17B33" w:rsidR="00D36020" w:rsidRPr="004E6771" w:rsidRDefault="00530BA7" w:rsidP="004E6771">
      <w:pPr>
        <w:pStyle w:val="TexteCourant"/>
        <w:rPr>
          <w:rFonts w:eastAsia="Calibri"/>
        </w:rPr>
      </w:pPr>
      <w:r w:rsidRPr="004E6771">
        <w:rPr>
          <w:rFonts w:eastAsia="Calibri"/>
        </w:rPr>
        <w:t>L</w:t>
      </w:r>
      <w:r w:rsidR="00D36020" w:rsidRPr="004E6771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3B7D0063" w:rsidR="00D36020" w:rsidRPr="00D36020" w:rsidRDefault="00D36020" w:rsidP="004E6771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1F9819E2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</w:t>
      </w:r>
      <w:r w:rsidR="004E6771">
        <w:rPr>
          <w:rFonts w:cs="Arial"/>
        </w:rPr>
        <w:t>…</w:t>
      </w:r>
      <w:r w:rsidRPr="00D36020">
        <w:rPr>
          <w:rFonts w:cs="Arial"/>
        </w:rPr>
        <w:t xml:space="preserve">), </w:t>
      </w:r>
    </w:p>
    <w:p w14:paraId="37915C12" w14:textId="31C8886C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4E6771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64"/>
    </w:p>
    <w:sectPr w:rsidR="00BC1105" w:rsidRPr="00D36020" w:rsidSect="004E6771">
      <w:footerReference w:type="even" r:id="rId10"/>
      <w:footerReference w:type="default" r:id="rId11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A3BD" w14:textId="77777777" w:rsidR="006B480C" w:rsidRDefault="006B480C" w:rsidP="00355E54">
      <w:pPr>
        <w:spacing w:after="0" w:line="240" w:lineRule="auto"/>
      </w:pPr>
      <w:r>
        <w:separator/>
      </w:r>
    </w:p>
  </w:endnote>
  <w:endnote w:type="continuationSeparator" w:id="0">
    <w:p w14:paraId="6CC37BC5" w14:textId="77777777" w:rsidR="006B480C" w:rsidRDefault="006B480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BD16" w14:textId="6901DDCA" w:rsidR="00E054F4" w:rsidRPr="00E054F4" w:rsidRDefault="00E054F4" w:rsidP="00E054F4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89984" behindDoc="1" locked="1" layoutInCell="1" allowOverlap="1" wp14:anchorId="47A48742" wp14:editId="0DE5BB08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Pr="00F62D40">
      <w:rPr>
        <w:rFonts w:ascii="Marianne" w:hAnsi="Marianne"/>
        <w:sz w:val="16"/>
        <w:szCs w:val="16"/>
      </w:rPr>
      <w:fldChar w:fldCharType="begin"/>
    </w:r>
    <w:r w:rsidRPr="00F62D40">
      <w:rPr>
        <w:rFonts w:ascii="Marianne" w:hAnsi="Marianne"/>
        <w:sz w:val="16"/>
        <w:szCs w:val="16"/>
      </w:rPr>
      <w:instrText>PAGE   \* MERGEFORMAT</w:instrText>
    </w:r>
    <w:r w:rsidRPr="00F62D40">
      <w:rPr>
        <w:rFonts w:ascii="Marianne" w:hAnsi="Marianne"/>
        <w:sz w:val="16"/>
        <w:szCs w:val="16"/>
      </w:rPr>
      <w:fldChar w:fldCharType="separate"/>
    </w:r>
    <w:r w:rsidR="008D256F">
      <w:rPr>
        <w:rFonts w:ascii="Marianne" w:hAnsi="Marianne"/>
        <w:noProof/>
        <w:sz w:val="16"/>
        <w:szCs w:val="16"/>
      </w:rPr>
      <w:t>6</w:t>
    </w:r>
    <w:r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 </w:t>
    </w:r>
    <w:r w:rsidRPr="00F62D40">
      <w:rPr>
        <w:rFonts w:ascii="Marianne Light" w:hAnsi="Marianne Light"/>
        <w:sz w:val="16"/>
        <w:szCs w:val="16"/>
      </w:rPr>
      <w:t>Subvention</w:t>
    </w:r>
    <w:r w:rsidRPr="00E054F4">
      <w:rPr>
        <w:bCs/>
      </w:rPr>
      <w:t xml:space="preserve"> </w:t>
    </w:r>
    <w:r>
      <w:rPr>
        <w:bCs/>
      </w:rPr>
      <w:t>pour des équipements de désemballage/déconditionnement, hygiénisation et compostage de biodéchets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D105" w14:textId="358D2F5A" w:rsidR="004E6771" w:rsidRDefault="004E6771" w:rsidP="004E6771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Sécheurs, composteurs électromécaniques et équipements pour une collecte par mobilité douce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9E7CF9">
      <w:rPr>
        <w:rFonts w:ascii="Marianne" w:hAnsi="Marianne"/>
        <w:noProof/>
        <w:sz w:val="16"/>
        <w:szCs w:val="16"/>
      </w:rPr>
      <w:t>6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2DCD40" w14:textId="49057EA7" w:rsidR="004E6771" w:rsidRDefault="004E6771" w:rsidP="004E6771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92032" behindDoc="1" locked="1" layoutInCell="1" allowOverlap="1" wp14:anchorId="67D93264" wp14:editId="126F1B9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CE60" w14:textId="77777777" w:rsidR="006B480C" w:rsidRDefault="006B480C" w:rsidP="00355E54">
      <w:pPr>
        <w:spacing w:after="0" w:line="240" w:lineRule="auto"/>
      </w:pPr>
      <w:r>
        <w:separator/>
      </w:r>
    </w:p>
  </w:footnote>
  <w:footnote w:type="continuationSeparator" w:id="0">
    <w:p w14:paraId="2882CF57" w14:textId="77777777" w:rsidR="006B480C" w:rsidRDefault="006B480C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6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32BC9"/>
    <w:multiLevelType w:val="hybridMultilevel"/>
    <w:tmpl w:val="B520FF32"/>
    <w:lvl w:ilvl="0" w:tplc="130E4D1E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4F9"/>
    <w:multiLevelType w:val="hybridMultilevel"/>
    <w:tmpl w:val="3684EA14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E02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3CBF"/>
    <w:multiLevelType w:val="hybridMultilevel"/>
    <w:tmpl w:val="5AC470D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D7E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C43BAD"/>
    <w:multiLevelType w:val="hybridMultilevel"/>
    <w:tmpl w:val="F4EC90F0"/>
    <w:lvl w:ilvl="0" w:tplc="E79AC484">
      <w:start w:val="1"/>
      <w:numFmt w:val="lowerLetter"/>
      <w:pStyle w:val="asous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06BF"/>
    <w:multiLevelType w:val="hybridMultilevel"/>
    <w:tmpl w:val="CAFCD400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20"/>
  </w:num>
  <w:num w:numId="13">
    <w:abstractNumId w:val="7"/>
  </w:num>
  <w:num w:numId="14">
    <w:abstractNumId w:val="17"/>
  </w:num>
  <w:num w:numId="15">
    <w:abstractNumId w:val="16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  <w:num w:numId="21">
    <w:abstractNumId w:val="15"/>
  </w:num>
  <w:num w:numId="22">
    <w:abstractNumId w:val="6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E1BE2"/>
    <w:rsid w:val="00312A6C"/>
    <w:rsid w:val="0032107A"/>
    <w:rsid w:val="00326B1A"/>
    <w:rsid w:val="00355C60"/>
    <w:rsid w:val="00355E54"/>
    <w:rsid w:val="0036103F"/>
    <w:rsid w:val="00364BA1"/>
    <w:rsid w:val="003C1B8C"/>
    <w:rsid w:val="00406FF1"/>
    <w:rsid w:val="00424DAD"/>
    <w:rsid w:val="00432D2A"/>
    <w:rsid w:val="0043312D"/>
    <w:rsid w:val="0043673C"/>
    <w:rsid w:val="00462028"/>
    <w:rsid w:val="004C2A7B"/>
    <w:rsid w:val="004E1B11"/>
    <w:rsid w:val="004E5E14"/>
    <w:rsid w:val="004E6771"/>
    <w:rsid w:val="00515926"/>
    <w:rsid w:val="00530BA7"/>
    <w:rsid w:val="00533138"/>
    <w:rsid w:val="005517EC"/>
    <w:rsid w:val="005560DC"/>
    <w:rsid w:val="005A5899"/>
    <w:rsid w:val="005C42DD"/>
    <w:rsid w:val="005E356D"/>
    <w:rsid w:val="0061461B"/>
    <w:rsid w:val="00656733"/>
    <w:rsid w:val="00670DDB"/>
    <w:rsid w:val="0069631D"/>
    <w:rsid w:val="006A645C"/>
    <w:rsid w:val="006B480C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617B6"/>
    <w:rsid w:val="00867DDD"/>
    <w:rsid w:val="008A383C"/>
    <w:rsid w:val="008C717D"/>
    <w:rsid w:val="008D256F"/>
    <w:rsid w:val="009175E6"/>
    <w:rsid w:val="00933D10"/>
    <w:rsid w:val="00941A8E"/>
    <w:rsid w:val="009638F8"/>
    <w:rsid w:val="009C4B27"/>
    <w:rsid w:val="009D548A"/>
    <w:rsid w:val="009D61A5"/>
    <w:rsid w:val="009E7CF9"/>
    <w:rsid w:val="00A179A3"/>
    <w:rsid w:val="00A3084E"/>
    <w:rsid w:val="00A766D8"/>
    <w:rsid w:val="00A95195"/>
    <w:rsid w:val="00AA5F56"/>
    <w:rsid w:val="00AB2CFC"/>
    <w:rsid w:val="00AE0AE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F5274"/>
    <w:rsid w:val="00E054F4"/>
    <w:rsid w:val="00E3197A"/>
    <w:rsid w:val="00ED2079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4E6771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4E6771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asoustitre">
    <w:name w:val="a) sous titre"/>
    <w:basedOn w:val="TexteCourant"/>
    <w:link w:val="asoustitreCar"/>
    <w:qFormat/>
    <w:rsid w:val="004E6771"/>
    <w:pPr>
      <w:numPr>
        <w:numId w:val="21"/>
      </w:numPr>
      <w:ind w:left="1097"/>
    </w:pPr>
    <w:rPr>
      <w:rFonts w:eastAsia="Calibri"/>
      <w:b/>
      <w:bCs/>
      <w:sz w:val="22"/>
      <w:szCs w:val="22"/>
    </w:rPr>
  </w:style>
  <w:style w:type="character" w:customStyle="1" w:styleId="asoustitreCar">
    <w:name w:val="a) sous titre Car"/>
    <w:basedOn w:val="TexteCourantCar"/>
    <w:link w:val="asoustitre"/>
    <w:rsid w:val="004E6771"/>
    <w:rPr>
      <w:rFonts w:ascii="Marianne Light" w:eastAsia="Calibri" w:hAnsi="Marianne Light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7C4-ADD3-4A12-812A-D6D18F0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TOUBOULIC Nolwenn</cp:lastModifiedBy>
  <cp:revision>3</cp:revision>
  <dcterms:created xsi:type="dcterms:W3CDTF">2021-01-19T10:31:00Z</dcterms:created>
  <dcterms:modified xsi:type="dcterms:W3CDTF">2021-01-28T08:40:00Z</dcterms:modified>
</cp:coreProperties>
</file>