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A57F" w14:textId="30A03EFF" w:rsidR="00355E54" w:rsidRDefault="003A7438">
      <w:r w:rsidRPr="00656733">
        <w:rPr>
          <w:noProof/>
        </w:rPr>
        <mc:AlternateContent>
          <mc:Choice Requires="wps">
            <w:drawing>
              <wp:anchor distT="0" distB="0" distL="114300" distR="114300" simplePos="0" relativeHeight="251658240" behindDoc="0" locked="0" layoutInCell="1" allowOverlap="1" wp14:anchorId="2CB4A59D" wp14:editId="733B7724">
                <wp:simplePos x="0" y="0"/>
                <wp:positionH relativeFrom="margin">
                  <wp:posOffset>67310</wp:posOffset>
                </wp:positionH>
                <wp:positionV relativeFrom="paragraph">
                  <wp:posOffset>2391410</wp:posOffset>
                </wp:positionV>
                <wp:extent cx="5746750" cy="6545580"/>
                <wp:effectExtent l="0" t="0" r="25400" b="26670"/>
                <wp:wrapNone/>
                <wp:docPr id="19" name="Zone de texte 19"/>
                <wp:cNvGraphicFramePr/>
                <a:graphic xmlns:a="http://schemas.openxmlformats.org/drawingml/2006/main">
                  <a:graphicData uri="http://schemas.microsoft.com/office/word/2010/wordprocessingShape">
                    <wps:wsp>
                      <wps:cNvSpPr txBox="1"/>
                      <wps:spPr>
                        <a:xfrm>
                          <a:off x="0" y="0"/>
                          <a:ext cx="5746750" cy="6545580"/>
                        </a:xfrm>
                        <a:prstGeom prst="rect">
                          <a:avLst/>
                        </a:prstGeom>
                        <a:solidFill>
                          <a:schemeClr val="lt1"/>
                        </a:solidFill>
                        <a:ln w="6350">
                          <a:solidFill>
                            <a:schemeClr val="tx1"/>
                          </a:solidFill>
                        </a:ln>
                      </wps:spPr>
                      <wps:txbx>
                        <w:txbxContent>
                          <w:p w14:paraId="27D2FC9E" w14:textId="77777777" w:rsidR="00A24D0A" w:rsidRDefault="00A24D0A" w:rsidP="00A03817">
                            <w:pPr>
                              <w:pStyle w:val="TexteCourant"/>
                              <w:rPr>
                                <w:b/>
                                <w:bCs/>
                                <w:sz w:val="28"/>
                                <w:szCs w:val="28"/>
                                <w:u w:val="single"/>
                              </w:rPr>
                            </w:pPr>
                            <w:r w:rsidRPr="00C96E6D">
                              <w:rPr>
                                <w:b/>
                                <w:bCs/>
                                <w:sz w:val="28"/>
                                <w:szCs w:val="28"/>
                                <w:u w:val="single"/>
                              </w:rPr>
                              <w:t xml:space="preserve">Ce qu’il faut retenir </w:t>
                            </w:r>
                          </w:p>
                          <w:p w14:paraId="3DE578AA" w14:textId="39EB8AD3" w:rsidR="00A24D0A" w:rsidRPr="00C96E6D" w:rsidRDefault="00A24D0A" w:rsidP="00677986">
                            <w:pPr>
                              <w:pStyle w:val="TexteCourant"/>
                              <w:spacing w:before="240"/>
                              <w:rPr>
                                <w:b/>
                                <w:bCs/>
                              </w:rPr>
                            </w:pPr>
                            <w:r w:rsidRPr="00C96E6D">
                              <w:rPr>
                                <w:b/>
                                <w:bCs/>
                              </w:rPr>
                              <w:t>Opérations éligibles</w:t>
                            </w:r>
                          </w:p>
                          <w:p w14:paraId="54A816BA" w14:textId="55719B7C" w:rsidR="00A24D0A" w:rsidRPr="001324CF" w:rsidRDefault="00126A71" w:rsidP="00677986">
                            <w:pPr>
                              <w:pStyle w:val="Pucenoir"/>
                              <w:ind w:left="284" w:hanging="142"/>
                            </w:pPr>
                            <w:r>
                              <w:t>Les d</w:t>
                            </w:r>
                            <w:r w:rsidR="00A24D0A" w:rsidRPr="001324CF">
                              <w:t>iagnostics de territoire (gisements, acteurs et structures existants, dynamique</w:t>
                            </w:r>
                            <w:r w:rsidR="009F061B">
                              <w:t>s</w:t>
                            </w:r>
                            <w:r w:rsidR="00A24D0A" w:rsidRPr="001324CF">
                              <w:t xml:space="preserve"> locale</w:t>
                            </w:r>
                            <w:r w:rsidR="009F061B">
                              <w:t>s</w:t>
                            </w:r>
                            <w:r w:rsidR="00A24D0A" w:rsidRPr="001324CF">
                              <w:t>, besoins</w:t>
                            </w:r>
                            <w:r w:rsidR="00286918">
                              <w:t xml:space="preserve"> d</w:t>
                            </w:r>
                            <w:r w:rsidR="005668A7">
                              <w:t xml:space="preserve">’activités </w:t>
                            </w:r>
                            <w:r w:rsidR="00286918">
                              <w:t>s</w:t>
                            </w:r>
                            <w:r w:rsidR="005668A7">
                              <w:t>upplémentaires</w:t>
                            </w:r>
                            <w:r w:rsidR="00A24D0A">
                              <w:t>, etc.</w:t>
                            </w:r>
                            <w:r w:rsidR="006418B9">
                              <w:t>)</w:t>
                            </w:r>
                            <w:r w:rsidR="006418B9">
                              <w:rPr>
                                <w:rFonts w:ascii="Calibri" w:hAnsi="Calibri" w:cs="Calibri"/>
                              </w:rPr>
                              <w:t> </w:t>
                            </w:r>
                            <w:r w:rsidR="006418B9">
                              <w:t>;</w:t>
                            </w:r>
                          </w:p>
                          <w:p w14:paraId="4F7CB469" w14:textId="65A25135" w:rsidR="00A24D0A" w:rsidRPr="001324CF" w:rsidRDefault="00126A71" w:rsidP="00677986">
                            <w:pPr>
                              <w:pStyle w:val="Pucenoir"/>
                              <w:spacing w:after="0"/>
                              <w:ind w:left="284" w:hanging="142"/>
                            </w:pPr>
                            <w:r>
                              <w:t>Les é</w:t>
                            </w:r>
                            <w:r w:rsidR="00A24D0A" w:rsidRPr="001324CF">
                              <w:t>tudes d’opportunité (prospective</w:t>
                            </w:r>
                            <w:r w:rsidR="00DE2F3F">
                              <w:t xml:space="preserve"> sur un gisement</w:t>
                            </w:r>
                            <w:r w:rsidR="00A24D0A" w:rsidRPr="001324CF">
                              <w:t xml:space="preserve">) ou de faisabilité d’un projet </w:t>
                            </w:r>
                            <w:r w:rsidR="00A24D0A" w:rsidRPr="004D4EFE">
                              <w:t>concernant par exemple</w:t>
                            </w:r>
                            <w:r w:rsidR="006418B9">
                              <w:rPr>
                                <w:rFonts w:ascii="Calibri" w:hAnsi="Calibri" w:cs="Calibri"/>
                              </w:rPr>
                              <w:t> </w:t>
                            </w:r>
                            <w:r w:rsidR="006418B9">
                              <w:t>:</w:t>
                            </w:r>
                          </w:p>
                          <w:p w14:paraId="36745B30" w14:textId="11A3A993" w:rsidR="00A24D0A" w:rsidRDefault="003123CF" w:rsidP="00677986">
                            <w:pPr>
                              <w:pStyle w:val="Pucerond"/>
                              <w:numPr>
                                <w:ilvl w:val="1"/>
                                <w:numId w:val="16"/>
                              </w:numPr>
                              <w:ind w:left="567" w:hanging="164"/>
                            </w:pPr>
                            <w:r>
                              <w:t>La</w:t>
                            </w:r>
                            <w:r w:rsidR="00A24D0A" w:rsidRPr="00E73472">
                              <w:t xml:space="preserve"> création</w:t>
                            </w:r>
                            <w:r w:rsidR="008D5A8A">
                              <w:t xml:space="preserve"> ou le développement </w:t>
                            </w:r>
                            <w:r w:rsidR="007919B0">
                              <w:t xml:space="preserve">d’une activité </w:t>
                            </w:r>
                            <w:r w:rsidR="008D5A8A">
                              <w:t>complémentaire</w:t>
                            </w:r>
                            <w:r w:rsidR="00A24D0A" w:rsidRPr="00E73472">
                              <w:t xml:space="preserve"> </w:t>
                            </w:r>
                            <w:r w:rsidR="00D1291C">
                              <w:t xml:space="preserve">au sein </w:t>
                            </w:r>
                            <w:r w:rsidR="00A24D0A" w:rsidRPr="00E73472">
                              <w:t>d</w:t>
                            </w:r>
                            <w:r>
                              <w:t>’une</w:t>
                            </w:r>
                            <w:r w:rsidR="00A24D0A" w:rsidRPr="00E73472">
                              <w:t xml:space="preserve"> </w:t>
                            </w:r>
                            <w:r w:rsidR="00D17BCB">
                              <w:t xml:space="preserve">structure </w:t>
                            </w:r>
                            <w:r w:rsidR="00C77C94">
                              <w:t xml:space="preserve">existante </w:t>
                            </w:r>
                            <w:r w:rsidR="00D17BCB">
                              <w:t xml:space="preserve">œuvrant </w:t>
                            </w:r>
                            <w:r w:rsidR="00C77C94">
                              <w:t xml:space="preserve">directement </w:t>
                            </w:r>
                            <w:r w:rsidR="00D17BCB">
                              <w:t>pour le réemploi</w:t>
                            </w:r>
                            <w:r w:rsidR="00546DFB">
                              <w:rPr>
                                <w:rFonts w:ascii="Calibri" w:hAnsi="Calibri" w:cs="Calibri"/>
                              </w:rPr>
                              <w:t> </w:t>
                            </w:r>
                            <w:r w:rsidR="00546DFB">
                              <w:t>;</w:t>
                            </w:r>
                          </w:p>
                          <w:p w14:paraId="1F938812" w14:textId="51C80644" w:rsidR="003173AF" w:rsidRPr="00E73472" w:rsidRDefault="00D544B1" w:rsidP="00677986">
                            <w:pPr>
                              <w:pStyle w:val="Pucerond"/>
                              <w:numPr>
                                <w:ilvl w:val="1"/>
                                <w:numId w:val="16"/>
                              </w:numPr>
                              <w:ind w:left="567" w:hanging="164"/>
                            </w:pPr>
                            <w:r>
                              <w:t xml:space="preserve">La création d’un </w:t>
                            </w:r>
                            <w:r w:rsidR="00197D27">
                              <w:t>atelier de reconditionnement d’un produit ou d’une catégorie de produits</w:t>
                            </w:r>
                            <w:r w:rsidR="00197D27">
                              <w:rPr>
                                <w:rFonts w:ascii="Calibri" w:hAnsi="Calibri" w:cs="Calibri"/>
                              </w:rPr>
                              <w:t> </w:t>
                            </w:r>
                            <w:r w:rsidR="00197D27">
                              <w:t>;</w:t>
                            </w:r>
                          </w:p>
                          <w:p w14:paraId="3BDAA1DA" w14:textId="12578F9A" w:rsidR="00285BBA" w:rsidRPr="00826D7B" w:rsidRDefault="005806FF" w:rsidP="00956FC0">
                            <w:pPr>
                              <w:pStyle w:val="Pucerond"/>
                              <w:numPr>
                                <w:ilvl w:val="1"/>
                                <w:numId w:val="16"/>
                              </w:numPr>
                              <w:ind w:left="567" w:hanging="164"/>
                            </w:pPr>
                            <w:r>
                              <w:t>Le d</w:t>
                            </w:r>
                            <w:r w:rsidR="00A24D0A">
                              <w:t>éveloppement d’</w:t>
                            </w:r>
                            <w:r w:rsidR="00A24D0A" w:rsidRPr="00E73472">
                              <w:t xml:space="preserve">activités spécifiques </w:t>
                            </w:r>
                            <w:r w:rsidR="00A24D0A">
                              <w:t>et de ressources locales favorisant le</w:t>
                            </w:r>
                            <w:r w:rsidR="00A24D0A" w:rsidRPr="00E73472">
                              <w:t xml:space="preserve"> réemploi</w:t>
                            </w:r>
                            <w:r w:rsidR="00A24D0A">
                              <w:t>-réutilisation</w:t>
                            </w:r>
                            <w:r>
                              <w:t xml:space="preserve"> et la réparation (atelier d’upcycling</w:t>
                            </w:r>
                            <w:r w:rsidR="00E8449A">
                              <w:t xml:space="preserve"> de meubles</w:t>
                            </w:r>
                            <w:r>
                              <w:t xml:space="preserve">, </w:t>
                            </w:r>
                            <w:r w:rsidR="00ED5ED9">
                              <w:t xml:space="preserve">repair’café, </w:t>
                            </w:r>
                            <w:r>
                              <w:t>etc.)</w:t>
                            </w:r>
                            <w:r w:rsidR="00956FC0">
                              <w:rPr>
                                <w:rFonts w:ascii="Calibri" w:hAnsi="Calibri" w:cs="Calibri"/>
                              </w:rPr>
                              <w:t>.</w:t>
                            </w:r>
                          </w:p>
                          <w:p w14:paraId="04F1BF5D" w14:textId="6CF5F898" w:rsidR="00A24D0A" w:rsidRPr="00C96E6D" w:rsidRDefault="00A24D0A" w:rsidP="00677986">
                            <w:pPr>
                              <w:pStyle w:val="TexteCourant"/>
                              <w:spacing w:before="240"/>
                              <w:rPr>
                                <w:b/>
                                <w:bCs/>
                              </w:rPr>
                            </w:pPr>
                            <w:r w:rsidRPr="00C96E6D">
                              <w:rPr>
                                <w:b/>
                                <w:bCs/>
                              </w:rPr>
                              <w:t>Conditions d’éligibilité</w:t>
                            </w:r>
                          </w:p>
                          <w:p w14:paraId="137DD6F0" w14:textId="01A5377F" w:rsidR="00A24D0A" w:rsidRDefault="00A24D0A" w:rsidP="00677986">
                            <w:pPr>
                              <w:pStyle w:val="Pucenoir"/>
                              <w:numPr>
                                <w:ilvl w:val="0"/>
                                <w:numId w:val="17"/>
                              </w:numPr>
                              <w:ind w:left="284" w:hanging="284"/>
                            </w:pPr>
                            <w:r>
                              <w:t>Pour tout projet, faire montre des capacités et compétences nécessaires, en interne et/ou via un prestataire externe, pour mener à bien le diagnostic ou l’étude et répondre aux critères de sélection et d’instruction des projets (business plan, stratégie commerciale et RH, analyse juridique et financière</w:t>
                            </w:r>
                            <w:r w:rsidR="001E6C3E">
                              <w:t xml:space="preserve"> dont la législation thématique en vigueur</w:t>
                            </w:r>
                            <w:r>
                              <w:t>,</w:t>
                            </w:r>
                            <w:r w:rsidR="006D0E0A">
                              <w:t xml:space="preserve"> partenaires institutionnels et privés</w:t>
                            </w:r>
                            <w:r w:rsidR="00D03BE7">
                              <w:t>,</w:t>
                            </w:r>
                            <w:r>
                              <w:t xml:space="preserve"> i</w:t>
                            </w:r>
                            <w:r w:rsidR="00546DFB">
                              <w:t>mpacts environnementaux</w:t>
                            </w:r>
                            <w:r w:rsidR="002D1323">
                              <w:t xml:space="preserve"> et sociaux</w:t>
                            </w:r>
                            <w:r w:rsidR="00546DFB">
                              <w:t>,</w:t>
                            </w:r>
                            <w:r w:rsidR="00442788">
                              <w:t xml:space="preserve"> </w:t>
                            </w:r>
                            <w:r w:rsidR="00D03BE7">
                              <w:t>identification des gisements</w:t>
                            </w:r>
                            <w:r w:rsidR="002F373C">
                              <w:t xml:space="preserve"> et performances attendues en matière de réemploi</w:t>
                            </w:r>
                            <w:r w:rsidR="001663CE">
                              <w:t>,</w:t>
                            </w:r>
                            <w:r w:rsidR="00546DFB">
                              <w:t xml:space="preserve"> etc.)</w:t>
                            </w:r>
                            <w:r w:rsidR="00546DFB">
                              <w:rPr>
                                <w:rFonts w:ascii="Calibri" w:hAnsi="Calibri" w:cs="Calibri"/>
                              </w:rPr>
                              <w:t> </w:t>
                            </w:r>
                            <w:r w:rsidR="00546DFB">
                              <w:t>;</w:t>
                            </w:r>
                          </w:p>
                          <w:p w14:paraId="1B9182DD" w14:textId="1197CE57" w:rsidR="00FF0853" w:rsidRPr="006B6185" w:rsidRDefault="00E45238" w:rsidP="00F2359E">
                            <w:pPr>
                              <w:pStyle w:val="Pucenoir"/>
                              <w:numPr>
                                <w:ilvl w:val="0"/>
                                <w:numId w:val="17"/>
                              </w:numPr>
                              <w:ind w:left="284" w:hanging="284"/>
                            </w:pPr>
                            <w:r w:rsidRPr="004D4EFE">
                              <w:rPr>
                                <w:u w:val="single"/>
                              </w:rPr>
                              <w:t xml:space="preserve">Pour les opérations </w:t>
                            </w:r>
                            <w:r w:rsidR="00114ABC" w:rsidRPr="004D4EFE">
                              <w:rPr>
                                <w:u w:val="single"/>
                              </w:rPr>
                              <w:t xml:space="preserve">qui concernent </w:t>
                            </w:r>
                            <w:r w:rsidRPr="004D4EFE">
                              <w:rPr>
                                <w:u w:val="single"/>
                              </w:rPr>
                              <w:t xml:space="preserve">partiellement ou </w:t>
                            </w:r>
                            <w:r w:rsidR="00765BE7" w:rsidRPr="004D4EFE">
                              <w:rPr>
                                <w:u w:val="single"/>
                              </w:rPr>
                              <w:t>totalement</w:t>
                            </w:r>
                            <w:r w:rsidRPr="004D4EFE">
                              <w:rPr>
                                <w:u w:val="single"/>
                              </w:rPr>
                              <w:t xml:space="preserve"> de</w:t>
                            </w:r>
                            <w:r w:rsidR="00765BE7" w:rsidRPr="004D4EFE">
                              <w:rPr>
                                <w:u w:val="single"/>
                              </w:rPr>
                              <w:t>s</w:t>
                            </w:r>
                            <w:r w:rsidRPr="004D4EFE">
                              <w:rPr>
                                <w:u w:val="single"/>
                              </w:rPr>
                              <w:t xml:space="preserve"> </w:t>
                            </w:r>
                            <w:r w:rsidR="00761AC4" w:rsidRPr="004D4EFE">
                              <w:rPr>
                                <w:u w:val="single"/>
                              </w:rPr>
                              <w:t xml:space="preserve">gisements couverts </w:t>
                            </w:r>
                            <w:r w:rsidR="00765BE7" w:rsidRPr="004D4EFE">
                              <w:rPr>
                                <w:u w:val="single"/>
                              </w:rPr>
                              <w:t>par une filière REP avec objectifs de réemploi</w:t>
                            </w:r>
                            <w:r w:rsidR="00765BE7">
                              <w:t xml:space="preserve"> (</w:t>
                            </w:r>
                            <w:r w:rsidR="00761AC4">
                              <w:t>«</w:t>
                            </w:r>
                            <w:r w:rsidR="00761AC4" w:rsidRPr="001B5DAB">
                              <w:rPr>
                                <w:rFonts w:ascii="Calibri" w:hAnsi="Calibri" w:cs="Calibri"/>
                              </w:rPr>
                              <w:t> </w:t>
                            </w:r>
                            <w:r w:rsidR="008C28B1">
                              <w:t>Articles de Sport et Loisirs (ASL)</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Articles de Bricolage et Jardin (ABJ)</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Eléments d’Ameublement (EA)</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Equipements Electriques et Electroniques (EEE)</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Jouets</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Textiles, Linge de maison et Chaussures (TLC)</w:t>
                            </w:r>
                            <w:r w:rsidR="00761AC4" w:rsidRPr="001B5DAB">
                              <w:rPr>
                                <w:rFonts w:ascii="Calibri" w:hAnsi="Calibri" w:cs="Calibri"/>
                              </w:rPr>
                              <w:t> </w:t>
                            </w:r>
                            <w:r w:rsidR="00761AC4" w:rsidRPr="001B5DAB">
                              <w:rPr>
                                <w:rFonts w:cs="Marianne Light"/>
                              </w:rPr>
                              <w:t>»</w:t>
                            </w:r>
                            <w:r w:rsidR="001B5DAB">
                              <w:t xml:space="preserve"> et</w:t>
                            </w:r>
                            <w:r w:rsidR="008C28B1">
                              <w:t xml:space="preserve"> </w:t>
                            </w:r>
                            <w:r w:rsidR="001B5DAB">
                              <w:t>«</w:t>
                            </w:r>
                            <w:r w:rsidR="001B5DAB">
                              <w:rPr>
                                <w:rFonts w:ascii="Calibri" w:hAnsi="Calibri" w:cs="Calibri"/>
                              </w:rPr>
                              <w:t> </w:t>
                            </w:r>
                            <w:r w:rsidR="008C28B1">
                              <w:t>Produits et Matériaux de Construction du secteur du Bâtiment (PMCB)</w:t>
                            </w:r>
                            <w:r w:rsidR="001B5DAB">
                              <w:rPr>
                                <w:rFonts w:ascii="Calibri" w:hAnsi="Calibri" w:cs="Calibri"/>
                              </w:rPr>
                              <w:t> </w:t>
                            </w:r>
                            <w:r w:rsidR="001B5DAB">
                              <w:rPr>
                                <w:rFonts w:cs="Marianne Light"/>
                              </w:rPr>
                              <w:t>»</w:t>
                            </w:r>
                            <w:r w:rsidR="00804865">
                              <w:rPr>
                                <w:rFonts w:cs="Marianne Light"/>
                              </w:rPr>
                              <w:t>)</w:t>
                            </w:r>
                            <w:r w:rsidR="001B5DAB">
                              <w:t xml:space="preserve">, </w:t>
                            </w:r>
                            <w:r w:rsidR="004D4EFE" w:rsidRPr="003F7F67">
                              <w:rPr>
                                <w:u w:val="single"/>
                              </w:rPr>
                              <w:t xml:space="preserve">la prise en compte dès l’étude de l’articulation avec </w:t>
                            </w:r>
                            <w:r w:rsidR="005C627E">
                              <w:rPr>
                                <w:u w:val="single"/>
                              </w:rPr>
                              <w:t>le</w:t>
                            </w:r>
                            <w:r w:rsidR="00982BDD">
                              <w:rPr>
                                <w:u w:val="single"/>
                              </w:rPr>
                              <w:t>s champs d’</w:t>
                            </w:r>
                            <w:r w:rsidR="005C627E">
                              <w:rPr>
                                <w:u w:val="single"/>
                              </w:rPr>
                              <w:t xml:space="preserve">action de </w:t>
                            </w:r>
                            <w:r w:rsidR="004D4EFE" w:rsidRPr="003F7F67">
                              <w:rPr>
                                <w:u w:val="single"/>
                              </w:rPr>
                              <w:t>ces filières et des soutiens/partenariats possibles</w:t>
                            </w:r>
                            <w:r w:rsidR="00F2359E">
                              <w:rPr>
                                <w:rFonts w:ascii="Calibri" w:hAnsi="Calibri" w:cs="Calibri"/>
                              </w:rPr>
                              <w:t>.</w:t>
                            </w:r>
                          </w:p>
                          <w:p w14:paraId="5DBC0235" w14:textId="77777777" w:rsidR="00826D7B" w:rsidRPr="009C0395" w:rsidRDefault="00826D7B" w:rsidP="00677986">
                            <w:pPr>
                              <w:pStyle w:val="TexteCourant"/>
                              <w:spacing w:before="240"/>
                              <w:rPr>
                                <w:b/>
                                <w:bCs/>
                                <w:i/>
                                <w:u w:val="single"/>
                              </w:rPr>
                            </w:pPr>
                            <w:r w:rsidRPr="009C0395">
                              <w:rPr>
                                <w:b/>
                                <w:bCs/>
                                <w:i/>
                                <w:u w:val="single"/>
                              </w:rPr>
                              <w:t>Opérations non-éligibles</w:t>
                            </w:r>
                          </w:p>
                          <w:p w14:paraId="41D43591" w14:textId="05E02100" w:rsidR="00826D7B" w:rsidRDefault="00826D7B" w:rsidP="00677986">
                            <w:pPr>
                              <w:pStyle w:val="TexteCourant"/>
                              <w:numPr>
                                <w:ilvl w:val="0"/>
                                <w:numId w:val="14"/>
                              </w:numPr>
                              <w:spacing w:after="0"/>
                              <w:ind w:left="284" w:hanging="142"/>
                              <w:rPr>
                                <w:i/>
                              </w:rPr>
                            </w:pPr>
                            <w:r w:rsidRPr="00126A71">
                              <w:rPr>
                                <w:i/>
                              </w:rPr>
                              <w:t>Les diagnostics relatifs à la gestion des produits, matériaux et déchets issus de travaux</w:t>
                            </w:r>
                            <w:r w:rsidR="00116C13">
                              <w:rPr>
                                <w:i/>
                              </w:rPr>
                              <w:t xml:space="preserve"> du BTP</w:t>
                            </w:r>
                            <w:r w:rsidRPr="00126A71">
                              <w:rPr>
                                <w:i/>
                              </w:rPr>
                              <w:t xml:space="preserve"> </w:t>
                            </w:r>
                            <w:r w:rsidR="00647056">
                              <w:rPr>
                                <w:i/>
                              </w:rPr>
                              <w:t xml:space="preserve">(diagnostic </w:t>
                            </w:r>
                            <w:r w:rsidR="00941553">
                              <w:rPr>
                                <w:i/>
                              </w:rPr>
                              <w:t xml:space="preserve">PEMD) </w:t>
                            </w:r>
                            <w:r w:rsidRPr="00126A71">
                              <w:rPr>
                                <w:i/>
                              </w:rPr>
                              <w:t>dont la réglementation impose depuis 2020 d’y inclure les volets réemploi et valorisation</w:t>
                            </w:r>
                            <w:r w:rsidR="00434DA2" w:rsidRPr="00434DA2">
                              <w:rPr>
                                <w:rFonts w:ascii="Calibri" w:hAnsi="Calibri" w:cs="Calibri"/>
                                <w:i/>
                              </w:rPr>
                              <w:t> </w:t>
                            </w:r>
                            <w:r w:rsidR="00434DA2">
                              <w:rPr>
                                <w:i/>
                              </w:rPr>
                              <w:t>;</w:t>
                            </w:r>
                          </w:p>
                          <w:p w14:paraId="4D4BF45D" w14:textId="67BA285F" w:rsidR="00453433" w:rsidRPr="00434DA2" w:rsidRDefault="00285BBA" w:rsidP="00677986">
                            <w:pPr>
                              <w:pStyle w:val="TexteCourant"/>
                              <w:numPr>
                                <w:ilvl w:val="0"/>
                                <w:numId w:val="14"/>
                              </w:numPr>
                              <w:spacing w:after="0"/>
                              <w:ind w:left="284" w:hanging="142"/>
                              <w:rPr>
                                <w:i/>
                              </w:rPr>
                            </w:pPr>
                            <w:r>
                              <w:rPr>
                                <w:i/>
                              </w:rPr>
                              <w:t>Les m</w:t>
                            </w:r>
                            <w:r w:rsidR="00453433" w:rsidRPr="00126A71">
                              <w:rPr>
                                <w:i/>
                              </w:rPr>
                              <w:t xml:space="preserve">issions de coordination </w:t>
                            </w:r>
                            <w:r w:rsidR="003A560F">
                              <w:rPr>
                                <w:i/>
                              </w:rPr>
                              <w:t xml:space="preserve">des </w:t>
                            </w:r>
                            <w:r w:rsidR="00453433" w:rsidRPr="00126A71">
                              <w:rPr>
                                <w:i/>
                              </w:rPr>
                              <w:t>déchets</w:t>
                            </w:r>
                            <w:r w:rsidR="003A560F">
                              <w:rPr>
                                <w:i/>
                              </w:rPr>
                              <w:t xml:space="preserve"> du BTP</w:t>
                            </w:r>
                            <w:r w:rsidR="00453433" w:rsidRPr="00126A71">
                              <w:rPr>
                                <w:i/>
                              </w:rPr>
                              <w:t xml:space="preserve"> de la Maîtrise d’œuvre (MOE)</w:t>
                            </w:r>
                            <w:r>
                              <w:rPr>
                                <w:rFonts w:ascii="Calibri" w:hAnsi="Calibri" w:cs="Calibri"/>
                                <w:i/>
                              </w:rPr>
                              <w:t> </w:t>
                            </w:r>
                            <w:r>
                              <w:rPr>
                                <w:i/>
                              </w:rPr>
                              <w:t>;</w:t>
                            </w:r>
                          </w:p>
                          <w:p w14:paraId="3804C3D8" w14:textId="57DCE3E5" w:rsidR="00434DA2" w:rsidRDefault="00434DA2" w:rsidP="00677986">
                            <w:pPr>
                              <w:pStyle w:val="TexteCourant"/>
                              <w:numPr>
                                <w:ilvl w:val="0"/>
                                <w:numId w:val="14"/>
                              </w:numPr>
                              <w:spacing w:after="0"/>
                              <w:ind w:left="284" w:hanging="142"/>
                              <w:rPr>
                                <w:i/>
                              </w:rPr>
                            </w:pPr>
                            <w:r w:rsidRPr="00434DA2">
                              <w:rPr>
                                <w:i/>
                              </w:rPr>
                              <w:t>Les diagno</w:t>
                            </w:r>
                            <w:r w:rsidR="009E3A47">
                              <w:rPr>
                                <w:i/>
                              </w:rPr>
                              <w:t xml:space="preserve">stics ou études </w:t>
                            </w:r>
                            <w:r w:rsidR="00122E64">
                              <w:rPr>
                                <w:i/>
                              </w:rPr>
                              <w:t xml:space="preserve">stratégiques </w:t>
                            </w:r>
                            <w:r w:rsidR="00BB6504">
                              <w:rPr>
                                <w:i/>
                              </w:rPr>
                              <w:t>sous</w:t>
                            </w:r>
                            <w:r w:rsidR="006D561C" w:rsidRPr="006D561C">
                              <w:rPr>
                                <w:i/>
                              </w:rPr>
                              <w:t xml:space="preserve"> </w:t>
                            </w:r>
                            <w:r w:rsidR="00CD4345">
                              <w:rPr>
                                <w:i/>
                              </w:rPr>
                              <w:t xml:space="preserve">la </w:t>
                            </w:r>
                            <w:r w:rsidR="006D561C" w:rsidRPr="006D561C">
                              <w:rPr>
                                <w:i/>
                              </w:rPr>
                              <w:t>responsabilité des filières REP avec objectifs de Réemploi</w:t>
                            </w:r>
                            <w:r w:rsidR="00BB6504">
                              <w:rPr>
                                <w:i/>
                              </w:rPr>
                              <w:t xml:space="preserve"> ou de l’Observatoire </w:t>
                            </w:r>
                            <w:r w:rsidR="0074104F">
                              <w:rPr>
                                <w:i/>
                              </w:rPr>
                              <w:t>du Réemploi</w:t>
                            </w:r>
                            <w:r w:rsidR="00254A06">
                              <w:rPr>
                                <w:rFonts w:ascii="Calibri" w:hAnsi="Calibri" w:cs="Calibri"/>
                                <w:i/>
                              </w:rPr>
                              <w:t> </w:t>
                            </w:r>
                            <w:r w:rsidR="00254A06">
                              <w:rPr>
                                <w:i/>
                              </w:rPr>
                              <w:t>;</w:t>
                            </w:r>
                          </w:p>
                          <w:p w14:paraId="384A0584" w14:textId="4536E984" w:rsidR="00254A06" w:rsidRPr="00434DA2" w:rsidRDefault="00C72925" w:rsidP="00677986">
                            <w:pPr>
                              <w:pStyle w:val="TexteCourant"/>
                              <w:numPr>
                                <w:ilvl w:val="0"/>
                                <w:numId w:val="14"/>
                              </w:numPr>
                              <w:ind w:left="284" w:hanging="142"/>
                              <w:rPr>
                                <w:i/>
                              </w:rPr>
                            </w:pPr>
                            <w:r>
                              <w:rPr>
                                <w:i/>
                              </w:rPr>
                              <w:t>Tout type d’</w:t>
                            </w:r>
                            <w:r w:rsidR="00254A06">
                              <w:rPr>
                                <w:i/>
                              </w:rPr>
                              <w:t xml:space="preserve">étude concernant </w:t>
                            </w:r>
                            <w:r w:rsidR="00F7212E">
                              <w:rPr>
                                <w:i/>
                              </w:rPr>
                              <w:t>la gestion ou l’utilisation</w:t>
                            </w:r>
                            <w:r>
                              <w:rPr>
                                <w:i/>
                              </w:rPr>
                              <w:t xml:space="preserve"> </w:t>
                            </w:r>
                            <w:r w:rsidR="00945768">
                              <w:rPr>
                                <w:i/>
                              </w:rPr>
                              <w:t xml:space="preserve">de </w:t>
                            </w:r>
                            <w:r w:rsidR="00415861">
                              <w:rPr>
                                <w:i/>
                              </w:rPr>
                              <w:t>biens ou de m</w:t>
                            </w:r>
                            <w:r w:rsidR="00945768">
                              <w:rPr>
                                <w:i/>
                              </w:rPr>
                              <w:t>atières qui n’ont pas eu de 1</w:t>
                            </w:r>
                            <w:r w:rsidR="00945768" w:rsidRPr="00CA153B">
                              <w:rPr>
                                <w:i/>
                                <w:vertAlign w:val="superscript"/>
                              </w:rPr>
                              <w:t>ère</w:t>
                            </w:r>
                            <w:r w:rsidR="00945768">
                              <w:rPr>
                                <w:i/>
                              </w:rPr>
                              <w:t xml:space="preserve"> vie </w:t>
                            </w:r>
                            <w:r w:rsidR="00953BEF">
                              <w:rPr>
                                <w:i/>
                              </w:rPr>
                              <w:t xml:space="preserve">ou </w:t>
                            </w:r>
                            <w:r w:rsidR="00945768">
                              <w:rPr>
                                <w:i/>
                              </w:rPr>
                              <w:t>de 1</w:t>
                            </w:r>
                            <w:r w:rsidR="00945768" w:rsidRPr="00CA153B">
                              <w:rPr>
                                <w:i/>
                                <w:vertAlign w:val="superscript"/>
                              </w:rPr>
                              <w:t>er</w:t>
                            </w:r>
                            <w:r w:rsidR="00945768">
                              <w:rPr>
                                <w:i/>
                              </w:rPr>
                              <w:t xml:space="preserve"> usage</w:t>
                            </w:r>
                            <w:r w:rsidR="007622D0">
                              <w:rPr>
                                <w:rFonts w:ascii="Calibri" w:hAnsi="Calibri" w:cs="Calibri"/>
                                <w:i/>
                              </w:rPr>
                              <w:t> </w:t>
                            </w:r>
                            <w:r w:rsidR="00F455AE">
                              <w:rPr>
                                <w:rFonts w:ascii="Calibri" w:hAnsi="Calibri" w:cs="Calibri"/>
                                <w:i/>
                              </w:rPr>
                              <w:t>(</w:t>
                            </w:r>
                            <w:r w:rsidR="00953BEF">
                              <w:rPr>
                                <w:i/>
                              </w:rPr>
                              <w:t xml:space="preserve">les </w:t>
                            </w:r>
                            <w:r>
                              <w:rPr>
                                <w:i/>
                              </w:rPr>
                              <w:t>invendus non-alimentaires</w:t>
                            </w:r>
                            <w:r w:rsidR="00953BEF">
                              <w:rPr>
                                <w:i/>
                              </w:rPr>
                              <w:t>, les stocks dormants</w:t>
                            </w:r>
                            <w:r w:rsidR="00CE576A">
                              <w:rPr>
                                <w:i/>
                              </w:rPr>
                              <w:t xml:space="preserve">), </w:t>
                            </w:r>
                            <w:r w:rsidR="00B278D5">
                              <w:rPr>
                                <w:i/>
                              </w:rPr>
                              <w:t xml:space="preserve">qui découlent d’une </w:t>
                            </w:r>
                            <w:r w:rsidR="008F4472">
                              <w:rPr>
                                <w:i/>
                              </w:rPr>
                              <w:t xml:space="preserve">rétractation </w:t>
                            </w:r>
                            <w:r w:rsidR="00B278D5">
                              <w:rPr>
                                <w:i/>
                              </w:rPr>
                              <w:t xml:space="preserve">client ou </w:t>
                            </w:r>
                            <w:r w:rsidR="00684B69">
                              <w:rPr>
                                <w:i/>
                              </w:rPr>
                              <w:t>qui bénéficie</w:t>
                            </w:r>
                            <w:r w:rsidR="009C0220">
                              <w:rPr>
                                <w:i/>
                              </w:rPr>
                              <w:t xml:space="preserve">nt </w:t>
                            </w:r>
                            <w:r w:rsidR="003F69C6">
                              <w:rPr>
                                <w:i/>
                              </w:rPr>
                              <w:t>d</w:t>
                            </w:r>
                            <w:r w:rsidR="009C0220">
                              <w:rPr>
                                <w:i/>
                              </w:rPr>
                              <w:t>e la</w:t>
                            </w:r>
                            <w:r w:rsidR="003F69C6">
                              <w:rPr>
                                <w:i/>
                              </w:rPr>
                              <w:t xml:space="preserve"> garantie</w:t>
                            </w:r>
                            <w:r w:rsidR="009C0220">
                              <w:rPr>
                                <w:i/>
                              </w:rPr>
                              <w:t xml:space="preserve"> légale du</w:t>
                            </w:r>
                            <w:r w:rsidR="003F69C6">
                              <w:rPr>
                                <w:i/>
                              </w:rPr>
                              <w:t xml:space="preserve"> constructeur</w:t>
                            </w:r>
                            <w:r w:rsidR="00B324B5">
                              <w:rPr>
                                <w:i/>
                              </w:rPr>
                              <w:t>.</w:t>
                            </w:r>
                          </w:p>
                          <w:p w14:paraId="05EDB886" w14:textId="157197AB" w:rsidR="00A24D0A" w:rsidRPr="00C96E6D" w:rsidRDefault="00A24D0A" w:rsidP="00677986">
                            <w:pPr>
                              <w:pStyle w:val="TexteCourant"/>
                              <w:spacing w:before="240"/>
                              <w:rPr>
                                <w:b/>
                                <w:bCs/>
                              </w:rPr>
                            </w:pPr>
                            <w:r w:rsidRPr="00C96E6D">
                              <w:rPr>
                                <w:b/>
                                <w:bCs/>
                              </w:rPr>
                              <w:t>Modalités de calcul de l’aide</w:t>
                            </w:r>
                          </w:p>
                          <w:p w14:paraId="4EE0E865" w14:textId="502CDDFF" w:rsidR="00A24D0A" w:rsidRPr="00524C97" w:rsidRDefault="00A24D0A" w:rsidP="000D56EC">
                            <w:pPr>
                              <w:pStyle w:val="Pucenoir"/>
                              <w:numPr>
                                <w:ilvl w:val="0"/>
                                <w:numId w:val="18"/>
                              </w:numPr>
                              <w:ind w:left="567"/>
                              <w:rPr>
                                <w:rFonts w:cs="Arial"/>
                              </w:rPr>
                            </w:pPr>
                            <w:r w:rsidRPr="001324CF">
                              <w:rPr>
                                <w:rFonts w:cs="Arial"/>
                              </w:rPr>
                              <w:t xml:space="preserve">Taux d’aide </w:t>
                            </w:r>
                            <w:r w:rsidRPr="001A6D71">
                              <w:rPr>
                                <w:rFonts w:cs="Arial"/>
                                <w:u w:val="single"/>
                              </w:rPr>
                              <w:t>maximum</w:t>
                            </w:r>
                            <w:r w:rsidRPr="001324CF">
                              <w:rPr>
                                <w:rFonts w:ascii="Calibri" w:hAnsi="Calibri" w:cs="Calibri"/>
                              </w:rPr>
                              <w:t> </w:t>
                            </w:r>
                            <w:r w:rsidRPr="001324CF">
                              <w:rPr>
                                <w:rFonts w:cs="Arial"/>
                              </w:rPr>
                              <w:t xml:space="preserve">: </w:t>
                            </w:r>
                            <w:r w:rsidR="001D6E5E">
                              <w:rPr>
                                <w:rFonts w:cs="Arial"/>
                              </w:rPr>
                              <w:t>60 à 80</w:t>
                            </w:r>
                            <w:r w:rsidRPr="001324CF">
                              <w:rPr>
                                <w:rFonts w:cs="Arial"/>
                              </w:rPr>
                              <w:t xml:space="preserve"> % des d</w:t>
                            </w:r>
                            <w:r w:rsidRPr="001324CF">
                              <w:rPr>
                                <w:rFonts w:cs="Marianne Light"/>
                              </w:rPr>
                              <w:t>é</w:t>
                            </w:r>
                            <w:r w:rsidRPr="001324CF">
                              <w:rPr>
                                <w:rFonts w:cs="Arial"/>
                              </w:rPr>
                              <w:t xml:space="preserve">penses </w:t>
                            </w:r>
                            <w:r w:rsidRPr="001324CF">
                              <w:rPr>
                                <w:rFonts w:cs="Marianne Light"/>
                              </w:rPr>
                              <w:t>é</w:t>
                            </w:r>
                            <w:r w:rsidRPr="001324CF">
                              <w:rPr>
                                <w:rFonts w:cs="Arial"/>
                              </w:rPr>
                              <w:t>ligibles</w:t>
                            </w:r>
                            <w:r w:rsidR="00E41FDF">
                              <w:rPr>
                                <w:rFonts w:cs="Arial"/>
                              </w:rPr>
                              <w:t xml:space="preserve"> selon statut</w:t>
                            </w:r>
                            <w:r w:rsidR="002B3CA3">
                              <w:rPr>
                                <w:rFonts w:cs="Arial"/>
                              </w:rPr>
                              <w:t xml:space="preserve"> du porteur</w:t>
                            </w:r>
                            <w:r w:rsidR="00546DFB">
                              <w:rPr>
                                <w:rFonts w:ascii="Calibri" w:hAnsi="Calibri" w:cs="Calibri"/>
                              </w:rPr>
                              <w:t> </w:t>
                            </w:r>
                            <w:r w:rsidR="00546DFB">
                              <w:t>;</w:t>
                            </w:r>
                          </w:p>
                          <w:p w14:paraId="625AAF93" w14:textId="74E3335E" w:rsidR="00A24D0A" w:rsidRPr="008C2FB9" w:rsidRDefault="00524C97" w:rsidP="000D56EC">
                            <w:pPr>
                              <w:pStyle w:val="Pucenoir"/>
                              <w:numPr>
                                <w:ilvl w:val="0"/>
                                <w:numId w:val="18"/>
                              </w:numPr>
                              <w:ind w:left="567"/>
                              <w:rPr>
                                <w:rFonts w:cs="Arial"/>
                              </w:rPr>
                            </w:pPr>
                            <w:r w:rsidRPr="008C2FB9">
                              <w:rPr>
                                <w:rFonts w:cs="Arial"/>
                                <w:u w:val="single"/>
                              </w:rPr>
                              <w:t>Plafond de l’assiette des dépenses éligibles</w:t>
                            </w:r>
                            <w:r w:rsidR="008C463F" w:rsidRPr="008C2FB9">
                              <w:rPr>
                                <w:rFonts w:ascii="Calibri" w:hAnsi="Calibri" w:cs="Calibri"/>
                              </w:rPr>
                              <w:t> </w:t>
                            </w:r>
                            <w:r w:rsidR="008C463F" w:rsidRPr="008C2FB9">
                              <w:rPr>
                                <w:rFonts w:cs="Arial"/>
                              </w:rPr>
                              <w:t>:</w:t>
                            </w:r>
                            <w:r w:rsidRPr="008C2FB9">
                              <w:rPr>
                                <w:rFonts w:cs="Arial"/>
                              </w:rPr>
                              <w:t xml:space="preserve"> 50 000 € pour étude de diagnostic et 100 000 € pour étude de faisabilité d’un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5.3pt;margin-top:188.3pt;width:452.5pt;height:51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" fillcolor="white [3201]" strokecolor="black [3213]" strokeweight=".5pt">
                <v:textbox>
                  <w:txbxContent>
                    <w:p w14:paraId="27D2FC9E" w14:textId="77777777" w:rsidR="00A24D0A" w:rsidRDefault="00A24D0A" w:rsidP="00A03817">
                      <w:pPr>
                        <w:pStyle w:val="TexteCourant"/>
                        <w:rPr>
                          <w:b/>
                          <w:bCs/>
                          <w:sz w:val="28"/>
                          <w:szCs w:val="28"/>
                          <w:u w:val="single"/>
                        </w:rPr>
                      </w:pPr>
                      <w:r w:rsidRPr="00C96E6D">
                        <w:rPr>
                          <w:b/>
                          <w:bCs/>
                          <w:sz w:val="28"/>
                          <w:szCs w:val="28"/>
                          <w:u w:val="single"/>
                        </w:rPr>
                        <w:t xml:space="preserve">Ce qu’il faut retenir </w:t>
                      </w:r>
                    </w:p>
                    <w:p w14:paraId="3DE578AA" w14:textId="39EB8AD3" w:rsidR="00A24D0A" w:rsidRPr="00C96E6D" w:rsidRDefault="00A24D0A" w:rsidP="00677986">
                      <w:pPr>
                        <w:pStyle w:val="TexteCourant"/>
                        <w:spacing w:before="240"/>
                        <w:rPr>
                          <w:b/>
                          <w:bCs/>
                        </w:rPr>
                      </w:pPr>
                      <w:r w:rsidRPr="00C96E6D">
                        <w:rPr>
                          <w:b/>
                          <w:bCs/>
                        </w:rPr>
                        <w:t>Opérations éligibles</w:t>
                      </w:r>
                    </w:p>
                    <w:p w14:paraId="54A816BA" w14:textId="55719B7C" w:rsidR="00A24D0A" w:rsidRPr="001324CF" w:rsidRDefault="00126A71" w:rsidP="00677986">
                      <w:pPr>
                        <w:pStyle w:val="Pucenoir"/>
                        <w:ind w:left="284" w:hanging="142"/>
                      </w:pPr>
                      <w:r>
                        <w:t>Les d</w:t>
                      </w:r>
                      <w:r w:rsidR="00A24D0A" w:rsidRPr="001324CF">
                        <w:t>iagnostics de territoire (gisements, acteurs et structures existants, dynamique</w:t>
                      </w:r>
                      <w:r w:rsidR="009F061B">
                        <w:t>s</w:t>
                      </w:r>
                      <w:r w:rsidR="00A24D0A" w:rsidRPr="001324CF">
                        <w:t xml:space="preserve"> locale</w:t>
                      </w:r>
                      <w:r w:rsidR="009F061B">
                        <w:t>s</w:t>
                      </w:r>
                      <w:r w:rsidR="00A24D0A" w:rsidRPr="001324CF">
                        <w:t>, besoins</w:t>
                      </w:r>
                      <w:r w:rsidR="00286918">
                        <w:t xml:space="preserve"> d</w:t>
                      </w:r>
                      <w:r w:rsidR="005668A7">
                        <w:t xml:space="preserve">’activités </w:t>
                      </w:r>
                      <w:r w:rsidR="00286918">
                        <w:t>s</w:t>
                      </w:r>
                      <w:r w:rsidR="005668A7">
                        <w:t>upplémentaires</w:t>
                      </w:r>
                      <w:r w:rsidR="00A24D0A">
                        <w:t>, etc.</w:t>
                      </w:r>
                      <w:r w:rsidR="006418B9">
                        <w:t>)</w:t>
                      </w:r>
                      <w:r w:rsidR="006418B9">
                        <w:rPr>
                          <w:rFonts w:ascii="Calibri" w:hAnsi="Calibri" w:cs="Calibri"/>
                        </w:rPr>
                        <w:t> </w:t>
                      </w:r>
                      <w:r w:rsidR="006418B9">
                        <w:t>;</w:t>
                      </w:r>
                    </w:p>
                    <w:p w14:paraId="4F7CB469" w14:textId="65A25135" w:rsidR="00A24D0A" w:rsidRPr="001324CF" w:rsidRDefault="00126A71" w:rsidP="00677986">
                      <w:pPr>
                        <w:pStyle w:val="Pucenoir"/>
                        <w:spacing w:after="0"/>
                        <w:ind w:left="284" w:hanging="142"/>
                      </w:pPr>
                      <w:r>
                        <w:t>Les é</w:t>
                      </w:r>
                      <w:r w:rsidR="00A24D0A" w:rsidRPr="001324CF">
                        <w:t>tudes d’opportunité (prospective</w:t>
                      </w:r>
                      <w:r w:rsidR="00DE2F3F">
                        <w:t xml:space="preserve"> sur un gisement</w:t>
                      </w:r>
                      <w:r w:rsidR="00A24D0A" w:rsidRPr="001324CF">
                        <w:t xml:space="preserve">) ou de faisabilité d’un projet </w:t>
                      </w:r>
                      <w:r w:rsidR="00A24D0A" w:rsidRPr="004D4EFE">
                        <w:t>concernant par exemple</w:t>
                      </w:r>
                      <w:r w:rsidR="006418B9">
                        <w:rPr>
                          <w:rFonts w:ascii="Calibri" w:hAnsi="Calibri" w:cs="Calibri"/>
                        </w:rPr>
                        <w:t> </w:t>
                      </w:r>
                      <w:r w:rsidR="006418B9">
                        <w:t>:</w:t>
                      </w:r>
                    </w:p>
                    <w:p w14:paraId="36745B30" w14:textId="11A3A993" w:rsidR="00A24D0A" w:rsidRDefault="003123CF" w:rsidP="00677986">
                      <w:pPr>
                        <w:pStyle w:val="Pucerond"/>
                        <w:numPr>
                          <w:ilvl w:val="1"/>
                          <w:numId w:val="16"/>
                        </w:numPr>
                        <w:ind w:left="567" w:hanging="164"/>
                      </w:pPr>
                      <w:r>
                        <w:t>La</w:t>
                      </w:r>
                      <w:r w:rsidR="00A24D0A" w:rsidRPr="00E73472">
                        <w:t xml:space="preserve"> création</w:t>
                      </w:r>
                      <w:r w:rsidR="008D5A8A">
                        <w:t xml:space="preserve"> ou le développement </w:t>
                      </w:r>
                      <w:r w:rsidR="007919B0">
                        <w:t xml:space="preserve">d’une activité </w:t>
                      </w:r>
                      <w:r w:rsidR="008D5A8A">
                        <w:t>complémentaire</w:t>
                      </w:r>
                      <w:r w:rsidR="00A24D0A" w:rsidRPr="00E73472">
                        <w:t xml:space="preserve"> </w:t>
                      </w:r>
                      <w:r w:rsidR="00D1291C">
                        <w:t xml:space="preserve">au sein </w:t>
                      </w:r>
                      <w:r w:rsidR="00A24D0A" w:rsidRPr="00E73472">
                        <w:t>d</w:t>
                      </w:r>
                      <w:r>
                        <w:t>’une</w:t>
                      </w:r>
                      <w:r w:rsidR="00A24D0A" w:rsidRPr="00E73472">
                        <w:t xml:space="preserve"> </w:t>
                      </w:r>
                      <w:r w:rsidR="00D17BCB">
                        <w:t xml:space="preserve">structure </w:t>
                      </w:r>
                      <w:r w:rsidR="00C77C94">
                        <w:t xml:space="preserve">existante </w:t>
                      </w:r>
                      <w:r w:rsidR="00D17BCB">
                        <w:t xml:space="preserve">œuvrant </w:t>
                      </w:r>
                      <w:r w:rsidR="00C77C94">
                        <w:t xml:space="preserve">directement </w:t>
                      </w:r>
                      <w:r w:rsidR="00D17BCB">
                        <w:t>pour le réemploi</w:t>
                      </w:r>
                      <w:r w:rsidR="00546DFB">
                        <w:rPr>
                          <w:rFonts w:ascii="Calibri" w:hAnsi="Calibri" w:cs="Calibri"/>
                        </w:rPr>
                        <w:t> </w:t>
                      </w:r>
                      <w:r w:rsidR="00546DFB">
                        <w:t>;</w:t>
                      </w:r>
                    </w:p>
                    <w:p w14:paraId="1F938812" w14:textId="51C80644" w:rsidR="003173AF" w:rsidRPr="00E73472" w:rsidRDefault="00D544B1" w:rsidP="00677986">
                      <w:pPr>
                        <w:pStyle w:val="Pucerond"/>
                        <w:numPr>
                          <w:ilvl w:val="1"/>
                          <w:numId w:val="16"/>
                        </w:numPr>
                        <w:ind w:left="567" w:hanging="164"/>
                      </w:pPr>
                      <w:r>
                        <w:t xml:space="preserve">La création d’un </w:t>
                      </w:r>
                      <w:r w:rsidR="00197D27">
                        <w:t>atelier de reconditionnement d’un produit ou d’une catégorie de produits</w:t>
                      </w:r>
                      <w:r w:rsidR="00197D27">
                        <w:rPr>
                          <w:rFonts w:ascii="Calibri" w:hAnsi="Calibri" w:cs="Calibri"/>
                        </w:rPr>
                        <w:t> </w:t>
                      </w:r>
                      <w:r w:rsidR="00197D27">
                        <w:t>;</w:t>
                      </w:r>
                    </w:p>
                    <w:p w14:paraId="3BDAA1DA" w14:textId="12578F9A" w:rsidR="00285BBA" w:rsidRPr="00826D7B" w:rsidRDefault="005806FF" w:rsidP="00956FC0">
                      <w:pPr>
                        <w:pStyle w:val="Pucerond"/>
                        <w:numPr>
                          <w:ilvl w:val="1"/>
                          <w:numId w:val="16"/>
                        </w:numPr>
                        <w:ind w:left="567" w:hanging="164"/>
                      </w:pPr>
                      <w:r>
                        <w:t>Le d</w:t>
                      </w:r>
                      <w:r w:rsidR="00A24D0A">
                        <w:t>éveloppement d’</w:t>
                      </w:r>
                      <w:r w:rsidR="00A24D0A" w:rsidRPr="00E73472">
                        <w:t xml:space="preserve">activités spécifiques </w:t>
                      </w:r>
                      <w:r w:rsidR="00A24D0A">
                        <w:t>et de ressources locales favorisant le</w:t>
                      </w:r>
                      <w:r w:rsidR="00A24D0A" w:rsidRPr="00E73472">
                        <w:t xml:space="preserve"> réemploi</w:t>
                      </w:r>
                      <w:r w:rsidR="00A24D0A">
                        <w:t>-réutilisation</w:t>
                      </w:r>
                      <w:r>
                        <w:t xml:space="preserve"> et la réparation (atelier d’upcycling</w:t>
                      </w:r>
                      <w:r w:rsidR="00E8449A">
                        <w:t xml:space="preserve"> de meubles</w:t>
                      </w:r>
                      <w:r>
                        <w:t xml:space="preserve">, </w:t>
                      </w:r>
                      <w:r w:rsidR="00ED5ED9">
                        <w:t xml:space="preserve">repair’café, </w:t>
                      </w:r>
                      <w:r>
                        <w:t>etc.)</w:t>
                      </w:r>
                      <w:r w:rsidR="00956FC0">
                        <w:rPr>
                          <w:rFonts w:ascii="Calibri" w:hAnsi="Calibri" w:cs="Calibri"/>
                        </w:rPr>
                        <w:t>.</w:t>
                      </w:r>
                    </w:p>
                    <w:p w14:paraId="04F1BF5D" w14:textId="6CF5F898" w:rsidR="00A24D0A" w:rsidRPr="00C96E6D" w:rsidRDefault="00A24D0A" w:rsidP="00677986">
                      <w:pPr>
                        <w:pStyle w:val="TexteCourant"/>
                        <w:spacing w:before="240"/>
                        <w:rPr>
                          <w:b/>
                          <w:bCs/>
                        </w:rPr>
                      </w:pPr>
                      <w:r w:rsidRPr="00C96E6D">
                        <w:rPr>
                          <w:b/>
                          <w:bCs/>
                        </w:rPr>
                        <w:t>Conditions d’éligibilité</w:t>
                      </w:r>
                    </w:p>
                    <w:p w14:paraId="137DD6F0" w14:textId="01A5377F" w:rsidR="00A24D0A" w:rsidRDefault="00A24D0A" w:rsidP="00677986">
                      <w:pPr>
                        <w:pStyle w:val="Pucenoir"/>
                        <w:numPr>
                          <w:ilvl w:val="0"/>
                          <w:numId w:val="17"/>
                        </w:numPr>
                        <w:ind w:left="284" w:hanging="284"/>
                      </w:pPr>
                      <w:r>
                        <w:t>Pour tout projet, faire montre des capacités et compétences nécessaires, en interne et/ou via un prestataire externe, pour mener à bien le diagnostic ou l’étude et répondre aux critères de sélection et d’instruction des projets (business plan, stratégie commerciale et RH, analyse juridique et financière</w:t>
                      </w:r>
                      <w:r w:rsidR="001E6C3E">
                        <w:t xml:space="preserve"> dont la législation thématique en vigueur</w:t>
                      </w:r>
                      <w:r>
                        <w:t>,</w:t>
                      </w:r>
                      <w:r w:rsidR="006D0E0A">
                        <w:t xml:space="preserve"> partenaires institutionnels et privés</w:t>
                      </w:r>
                      <w:r w:rsidR="00D03BE7">
                        <w:t>,</w:t>
                      </w:r>
                      <w:r>
                        <w:t xml:space="preserve"> i</w:t>
                      </w:r>
                      <w:r w:rsidR="00546DFB">
                        <w:t>mpacts environnementaux</w:t>
                      </w:r>
                      <w:r w:rsidR="002D1323">
                        <w:t xml:space="preserve"> et sociaux</w:t>
                      </w:r>
                      <w:r w:rsidR="00546DFB">
                        <w:t>,</w:t>
                      </w:r>
                      <w:r w:rsidR="00442788">
                        <w:t xml:space="preserve"> </w:t>
                      </w:r>
                      <w:r w:rsidR="00D03BE7">
                        <w:t>identification des gisements</w:t>
                      </w:r>
                      <w:r w:rsidR="002F373C">
                        <w:t xml:space="preserve"> et performances attendues en matière de réemploi</w:t>
                      </w:r>
                      <w:r w:rsidR="001663CE">
                        <w:t>,</w:t>
                      </w:r>
                      <w:r w:rsidR="00546DFB">
                        <w:t xml:space="preserve"> etc.)</w:t>
                      </w:r>
                      <w:r w:rsidR="00546DFB">
                        <w:rPr>
                          <w:rFonts w:ascii="Calibri" w:hAnsi="Calibri" w:cs="Calibri"/>
                        </w:rPr>
                        <w:t> </w:t>
                      </w:r>
                      <w:r w:rsidR="00546DFB">
                        <w:t>;</w:t>
                      </w:r>
                    </w:p>
                    <w:p w14:paraId="1B9182DD" w14:textId="1197CE57" w:rsidR="00FF0853" w:rsidRPr="006B6185" w:rsidRDefault="00E45238" w:rsidP="00F2359E">
                      <w:pPr>
                        <w:pStyle w:val="Pucenoir"/>
                        <w:numPr>
                          <w:ilvl w:val="0"/>
                          <w:numId w:val="17"/>
                        </w:numPr>
                        <w:ind w:left="284" w:hanging="284"/>
                      </w:pPr>
                      <w:r w:rsidRPr="004D4EFE">
                        <w:rPr>
                          <w:u w:val="single"/>
                        </w:rPr>
                        <w:t xml:space="preserve">Pour les opérations </w:t>
                      </w:r>
                      <w:r w:rsidR="00114ABC" w:rsidRPr="004D4EFE">
                        <w:rPr>
                          <w:u w:val="single"/>
                        </w:rPr>
                        <w:t xml:space="preserve">qui concernent </w:t>
                      </w:r>
                      <w:r w:rsidRPr="004D4EFE">
                        <w:rPr>
                          <w:u w:val="single"/>
                        </w:rPr>
                        <w:t xml:space="preserve">partiellement ou </w:t>
                      </w:r>
                      <w:r w:rsidR="00765BE7" w:rsidRPr="004D4EFE">
                        <w:rPr>
                          <w:u w:val="single"/>
                        </w:rPr>
                        <w:t>totalement</w:t>
                      </w:r>
                      <w:r w:rsidRPr="004D4EFE">
                        <w:rPr>
                          <w:u w:val="single"/>
                        </w:rPr>
                        <w:t xml:space="preserve"> de</w:t>
                      </w:r>
                      <w:r w:rsidR="00765BE7" w:rsidRPr="004D4EFE">
                        <w:rPr>
                          <w:u w:val="single"/>
                        </w:rPr>
                        <w:t>s</w:t>
                      </w:r>
                      <w:r w:rsidRPr="004D4EFE">
                        <w:rPr>
                          <w:u w:val="single"/>
                        </w:rPr>
                        <w:t xml:space="preserve"> </w:t>
                      </w:r>
                      <w:r w:rsidR="00761AC4" w:rsidRPr="004D4EFE">
                        <w:rPr>
                          <w:u w:val="single"/>
                        </w:rPr>
                        <w:t xml:space="preserve">gisements couverts </w:t>
                      </w:r>
                      <w:r w:rsidR="00765BE7" w:rsidRPr="004D4EFE">
                        <w:rPr>
                          <w:u w:val="single"/>
                        </w:rPr>
                        <w:t>par une filière REP avec objectifs de réemploi</w:t>
                      </w:r>
                      <w:r w:rsidR="00765BE7">
                        <w:t xml:space="preserve"> (</w:t>
                      </w:r>
                      <w:r w:rsidR="00761AC4">
                        <w:t>«</w:t>
                      </w:r>
                      <w:r w:rsidR="00761AC4" w:rsidRPr="001B5DAB">
                        <w:rPr>
                          <w:rFonts w:ascii="Calibri" w:hAnsi="Calibri" w:cs="Calibri"/>
                        </w:rPr>
                        <w:t> </w:t>
                      </w:r>
                      <w:r w:rsidR="008C28B1">
                        <w:t>Articles de Sport et Loisirs (ASL)</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Articles de Bricolage et Jardin (ABJ)</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Eléments d’Ameublement (EA)</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Equipements Electriques et Electroniques (EEE)</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Jouets</w:t>
                      </w:r>
                      <w:r w:rsidR="00761AC4" w:rsidRPr="001B5DAB">
                        <w:rPr>
                          <w:rFonts w:ascii="Calibri" w:hAnsi="Calibri" w:cs="Calibri"/>
                        </w:rPr>
                        <w:t> </w:t>
                      </w:r>
                      <w:r w:rsidR="00761AC4" w:rsidRPr="001B5DAB">
                        <w:rPr>
                          <w:rFonts w:cs="Marianne Light"/>
                        </w:rPr>
                        <w:t>»</w:t>
                      </w:r>
                      <w:r w:rsidR="008C28B1">
                        <w:t xml:space="preserve">, </w:t>
                      </w:r>
                      <w:r w:rsidR="00761AC4">
                        <w:t>«</w:t>
                      </w:r>
                      <w:r w:rsidR="00761AC4" w:rsidRPr="001B5DAB">
                        <w:rPr>
                          <w:rFonts w:ascii="Calibri" w:hAnsi="Calibri" w:cs="Calibri"/>
                        </w:rPr>
                        <w:t> </w:t>
                      </w:r>
                      <w:r w:rsidR="008C28B1">
                        <w:t>Textiles, Linge de maison et Chaussures (TLC)</w:t>
                      </w:r>
                      <w:r w:rsidR="00761AC4" w:rsidRPr="001B5DAB">
                        <w:rPr>
                          <w:rFonts w:ascii="Calibri" w:hAnsi="Calibri" w:cs="Calibri"/>
                        </w:rPr>
                        <w:t> </w:t>
                      </w:r>
                      <w:r w:rsidR="00761AC4" w:rsidRPr="001B5DAB">
                        <w:rPr>
                          <w:rFonts w:cs="Marianne Light"/>
                        </w:rPr>
                        <w:t>»</w:t>
                      </w:r>
                      <w:r w:rsidR="001B5DAB">
                        <w:t xml:space="preserve"> et</w:t>
                      </w:r>
                      <w:r w:rsidR="008C28B1">
                        <w:t xml:space="preserve"> </w:t>
                      </w:r>
                      <w:r w:rsidR="001B5DAB">
                        <w:t>«</w:t>
                      </w:r>
                      <w:r w:rsidR="001B5DAB">
                        <w:rPr>
                          <w:rFonts w:ascii="Calibri" w:hAnsi="Calibri" w:cs="Calibri"/>
                        </w:rPr>
                        <w:t> </w:t>
                      </w:r>
                      <w:r w:rsidR="008C28B1">
                        <w:t>Produits et Matériaux de Construction du secteur du Bâtiment (PMCB)</w:t>
                      </w:r>
                      <w:r w:rsidR="001B5DAB">
                        <w:rPr>
                          <w:rFonts w:ascii="Calibri" w:hAnsi="Calibri" w:cs="Calibri"/>
                        </w:rPr>
                        <w:t> </w:t>
                      </w:r>
                      <w:r w:rsidR="001B5DAB">
                        <w:rPr>
                          <w:rFonts w:cs="Marianne Light"/>
                        </w:rPr>
                        <w:t>»</w:t>
                      </w:r>
                      <w:r w:rsidR="00804865">
                        <w:rPr>
                          <w:rFonts w:cs="Marianne Light"/>
                        </w:rPr>
                        <w:t>)</w:t>
                      </w:r>
                      <w:r w:rsidR="001B5DAB">
                        <w:t xml:space="preserve">, </w:t>
                      </w:r>
                      <w:r w:rsidR="004D4EFE" w:rsidRPr="003F7F67">
                        <w:rPr>
                          <w:u w:val="single"/>
                        </w:rPr>
                        <w:t xml:space="preserve">la prise en compte dès l’étude de l’articulation avec </w:t>
                      </w:r>
                      <w:r w:rsidR="005C627E">
                        <w:rPr>
                          <w:u w:val="single"/>
                        </w:rPr>
                        <w:t>le</w:t>
                      </w:r>
                      <w:r w:rsidR="00982BDD">
                        <w:rPr>
                          <w:u w:val="single"/>
                        </w:rPr>
                        <w:t>s champs d’</w:t>
                      </w:r>
                      <w:r w:rsidR="005C627E">
                        <w:rPr>
                          <w:u w:val="single"/>
                        </w:rPr>
                        <w:t xml:space="preserve">action de </w:t>
                      </w:r>
                      <w:r w:rsidR="004D4EFE" w:rsidRPr="003F7F67">
                        <w:rPr>
                          <w:u w:val="single"/>
                        </w:rPr>
                        <w:t>ces filières et des soutiens/partenariats possibles</w:t>
                      </w:r>
                      <w:r w:rsidR="00F2359E">
                        <w:rPr>
                          <w:rFonts w:ascii="Calibri" w:hAnsi="Calibri" w:cs="Calibri"/>
                        </w:rPr>
                        <w:t>.</w:t>
                      </w:r>
                    </w:p>
                    <w:p w14:paraId="5DBC0235" w14:textId="77777777" w:rsidR="00826D7B" w:rsidRPr="009C0395" w:rsidRDefault="00826D7B" w:rsidP="00677986">
                      <w:pPr>
                        <w:pStyle w:val="TexteCourant"/>
                        <w:spacing w:before="240"/>
                        <w:rPr>
                          <w:b/>
                          <w:bCs/>
                          <w:i/>
                          <w:u w:val="single"/>
                        </w:rPr>
                      </w:pPr>
                      <w:r w:rsidRPr="009C0395">
                        <w:rPr>
                          <w:b/>
                          <w:bCs/>
                          <w:i/>
                          <w:u w:val="single"/>
                        </w:rPr>
                        <w:t>Opérations non-éligibles</w:t>
                      </w:r>
                    </w:p>
                    <w:p w14:paraId="41D43591" w14:textId="05E02100" w:rsidR="00826D7B" w:rsidRDefault="00826D7B" w:rsidP="00677986">
                      <w:pPr>
                        <w:pStyle w:val="TexteCourant"/>
                        <w:numPr>
                          <w:ilvl w:val="0"/>
                          <w:numId w:val="14"/>
                        </w:numPr>
                        <w:spacing w:after="0"/>
                        <w:ind w:left="284" w:hanging="142"/>
                        <w:rPr>
                          <w:i/>
                        </w:rPr>
                      </w:pPr>
                      <w:r w:rsidRPr="00126A71">
                        <w:rPr>
                          <w:i/>
                        </w:rPr>
                        <w:t>Les diagnostics relatifs à la gestion des produits, matériaux et déchets issus de travaux</w:t>
                      </w:r>
                      <w:r w:rsidR="00116C13">
                        <w:rPr>
                          <w:i/>
                        </w:rPr>
                        <w:t xml:space="preserve"> du BTP</w:t>
                      </w:r>
                      <w:r w:rsidRPr="00126A71">
                        <w:rPr>
                          <w:i/>
                        </w:rPr>
                        <w:t xml:space="preserve"> </w:t>
                      </w:r>
                      <w:r w:rsidR="00647056">
                        <w:rPr>
                          <w:i/>
                        </w:rPr>
                        <w:t xml:space="preserve">(diagnostic </w:t>
                      </w:r>
                      <w:r w:rsidR="00941553">
                        <w:rPr>
                          <w:i/>
                        </w:rPr>
                        <w:t xml:space="preserve">PEMD) </w:t>
                      </w:r>
                      <w:r w:rsidRPr="00126A71">
                        <w:rPr>
                          <w:i/>
                        </w:rPr>
                        <w:t>dont la réglementation impose depuis 2020 d’y inclure les volets réemploi et valorisation</w:t>
                      </w:r>
                      <w:r w:rsidR="00434DA2" w:rsidRPr="00434DA2">
                        <w:rPr>
                          <w:rFonts w:ascii="Calibri" w:hAnsi="Calibri" w:cs="Calibri"/>
                          <w:i/>
                        </w:rPr>
                        <w:t> </w:t>
                      </w:r>
                      <w:r w:rsidR="00434DA2">
                        <w:rPr>
                          <w:i/>
                        </w:rPr>
                        <w:t>;</w:t>
                      </w:r>
                    </w:p>
                    <w:p w14:paraId="4D4BF45D" w14:textId="67BA285F" w:rsidR="00453433" w:rsidRPr="00434DA2" w:rsidRDefault="00285BBA" w:rsidP="00677986">
                      <w:pPr>
                        <w:pStyle w:val="TexteCourant"/>
                        <w:numPr>
                          <w:ilvl w:val="0"/>
                          <w:numId w:val="14"/>
                        </w:numPr>
                        <w:spacing w:after="0"/>
                        <w:ind w:left="284" w:hanging="142"/>
                        <w:rPr>
                          <w:i/>
                        </w:rPr>
                      </w:pPr>
                      <w:r>
                        <w:rPr>
                          <w:i/>
                        </w:rPr>
                        <w:t>Les m</w:t>
                      </w:r>
                      <w:r w:rsidR="00453433" w:rsidRPr="00126A71">
                        <w:rPr>
                          <w:i/>
                        </w:rPr>
                        <w:t xml:space="preserve">issions de coordination </w:t>
                      </w:r>
                      <w:r w:rsidR="003A560F">
                        <w:rPr>
                          <w:i/>
                        </w:rPr>
                        <w:t xml:space="preserve">des </w:t>
                      </w:r>
                      <w:r w:rsidR="00453433" w:rsidRPr="00126A71">
                        <w:rPr>
                          <w:i/>
                        </w:rPr>
                        <w:t>déchets</w:t>
                      </w:r>
                      <w:r w:rsidR="003A560F">
                        <w:rPr>
                          <w:i/>
                        </w:rPr>
                        <w:t xml:space="preserve"> du BTP</w:t>
                      </w:r>
                      <w:r w:rsidR="00453433" w:rsidRPr="00126A71">
                        <w:rPr>
                          <w:i/>
                        </w:rPr>
                        <w:t xml:space="preserve"> de la Maîtrise d’œuvre (MOE)</w:t>
                      </w:r>
                      <w:r>
                        <w:rPr>
                          <w:rFonts w:ascii="Calibri" w:hAnsi="Calibri" w:cs="Calibri"/>
                          <w:i/>
                        </w:rPr>
                        <w:t> </w:t>
                      </w:r>
                      <w:r>
                        <w:rPr>
                          <w:i/>
                        </w:rPr>
                        <w:t>;</w:t>
                      </w:r>
                    </w:p>
                    <w:p w14:paraId="3804C3D8" w14:textId="57DCE3E5" w:rsidR="00434DA2" w:rsidRDefault="00434DA2" w:rsidP="00677986">
                      <w:pPr>
                        <w:pStyle w:val="TexteCourant"/>
                        <w:numPr>
                          <w:ilvl w:val="0"/>
                          <w:numId w:val="14"/>
                        </w:numPr>
                        <w:spacing w:after="0"/>
                        <w:ind w:left="284" w:hanging="142"/>
                        <w:rPr>
                          <w:i/>
                        </w:rPr>
                      </w:pPr>
                      <w:r w:rsidRPr="00434DA2">
                        <w:rPr>
                          <w:i/>
                        </w:rPr>
                        <w:t>Les diagno</w:t>
                      </w:r>
                      <w:r w:rsidR="009E3A47">
                        <w:rPr>
                          <w:i/>
                        </w:rPr>
                        <w:t xml:space="preserve">stics ou études </w:t>
                      </w:r>
                      <w:r w:rsidR="00122E64">
                        <w:rPr>
                          <w:i/>
                        </w:rPr>
                        <w:t xml:space="preserve">stratégiques </w:t>
                      </w:r>
                      <w:r w:rsidR="00BB6504">
                        <w:rPr>
                          <w:i/>
                        </w:rPr>
                        <w:t>sous</w:t>
                      </w:r>
                      <w:r w:rsidR="006D561C" w:rsidRPr="006D561C">
                        <w:rPr>
                          <w:i/>
                        </w:rPr>
                        <w:t xml:space="preserve"> </w:t>
                      </w:r>
                      <w:r w:rsidR="00CD4345">
                        <w:rPr>
                          <w:i/>
                        </w:rPr>
                        <w:t xml:space="preserve">la </w:t>
                      </w:r>
                      <w:r w:rsidR="006D561C" w:rsidRPr="006D561C">
                        <w:rPr>
                          <w:i/>
                        </w:rPr>
                        <w:t>responsabilité des filières REP avec objectifs de Réemploi</w:t>
                      </w:r>
                      <w:r w:rsidR="00BB6504">
                        <w:rPr>
                          <w:i/>
                        </w:rPr>
                        <w:t xml:space="preserve"> ou de l’Observatoire </w:t>
                      </w:r>
                      <w:r w:rsidR="0074104F">
                        <w:rPr>
                          <w:i/>
                        </w:rPr>
                        <w:t>du Réemploi</w:t>
                      </w:r>
                      <w:r w:rsidR="00254A06">
                        <w:rPr>
                          <w:rFonts w:ascii="Calibri" w:hAnsi="Calibri" w:cs="Calibri"/>
                          <w:i/>
                        </w:rPr>
                        <w:t> </w:t>
                      </w:r>
                      <w:r w:rsidR="00254A06">
                        <w:rPr>
                          <w:i/>
                        </w:rPr>
                        <w:t>;</w:t>
                      </w:r>
                    </w:p>
                    <w:p w14:paraId="384A0584" w14:textId="4536E984" w:rsidR="00254A06" w:rsidRPr="00434DA2" w:rsidRDefault="00C72925" w:rsidP="00677986">
                      <w:pPr>
                        <w:pStyle w:val="TexteCourant"/>
                        <w:numPr>
                          <w:ilvl w:val="0"/>
                          <w:numId w:val="14"/>
                        </w:numPr>
                        <w:ind w:left="284" w:hanging="142"/>
                        <w:rPr>
                          <w:i/>
                        </w:rPr>
                      </w:pPr>
                      <w:r>
                        <w:rPr>
                          <w:i/>
                        </w:rPr>
                        <w:t>Tout type d’</w:t>
                      </w:r>
                      <w:r w:rsidR="00254A06">
                        <w:rPr>
                          <w:i/>
                        </w:rPr>
                        <w:t xml:space="preserve">étude concernant </w:t>
                      </w:r>
                      <w:r w:rsidR="00F7212E">
                        <w:rPr>
                          <w:i/>
                        </w:rPr>
                        <w:t>la gestion ou l’utilisation</w:t>
                      </w:r>
                      <w:r>
                        <w:rPr>
                          <w:i/>
                        </w:rPr>
                        <w:t xml:space="preserve"> </w:t>
                      </w:r>
                      <w:r w:rsidR="00945768">
                        <w:rPr>
                          <w:i/>
                        </w:rPr>
                        <w:t xml:space="preserve">de </w:t>
                      </w:r>
                      <w:r w:rsidR="00415861">
                        <w:rPr>
                          <w:i/>
                        </w:rPr>
                        <w:t>biens ou de m</w:t>
                      </w:r>
                      <w:r w:rsidR="00945768">
                        <w:rPr>
                          <w:i/>
                        </w:rPr>
                        <w:t>atières qui n’ont pas eu de 1</w:t>
                      </w:r>
                      <w:r w:rsidR="00945768" w:rsidRPr="00CA153B">
                        <w:rPr>
                          <w:i/>
                          <w:vertAlign w:val="superscript"/>
                        </w:rPr>
                        <w:t>ère</w:t>
                      </w:r>
                      <w:r w:rsidR="00945768">
                        <w:rPr>
                          <w:i/>
                        </w:rPr>
                        <w:t xml:space="preserve"> vie </w:t>
                      </w:r>
                      <w:r w:rsidR="00953BEF">
                        <w:rPr>
                          <w:i/>
                        </w:rPr>
                        <w:t xml:space="preserve">ou </w:t>
                      </w:r>
                      <w:r w:rsidR="00945768">
                        <w:rPr>
                          <w:i/>
                        </w:rPr>
                        <w:t>de 1</w:t>
                      </w:r>
                      <w:r w:rsidR="00945768" w:rsidRPr="00CA153B">
                        <w:rPr>
                          <w:i/>
                          <w:vertAlign w:val="superscript"/>
                        </w:rPr>
                        <w:t>er</w:t>
                      </w:r>
                      <w:r w:rsidR="00945768">
                        <w:rPr>
                          <w:i/>
                        </w:rPr>
                        <w:t xml:space="preserve"> usage</w:t>
                      </w:r>
                      <w:r w:rsidR="007622D0">
                        <w:rPr>
                          <w:rFonts w:ascii="Calibri" w:hAnsi="Calibri" w:cs="Calibri"/>
                          <w:i/>
                        </w:rPr>
                        <w:t> </w:t>
                      </w:r>
                      <w:r w:rsidR="00F455AE">
                        <w:rPr>
                          <w:rFonts w:ascii="Calibri" w:hAnsi="Calibri" w:cs="Calibri"/>
                          <w:i/>
                        </w:rPr>
                        <w:t>(</w:t>
                      </w:r>
                      <w:r w:rsidR="00953BEF">
                        <w:rPr>
                          <w:i/>
                        </w:rPr>
                        <w:t xml:space="preserve">les </w:t>
                      </w:r>
                      <w:r>
                        <w:rPr>
                          <w:i/>
                        </w:rPr>
                        <w:t>invendus non-alimentaires</w:t>
                      </w:r>
                      <w:r w:rsidR="00953BEF">
                        <w:rPr>
                          <w:i/>
                        </w:rPr>
                        <w:t>, les stocks dormants</w:t>
                      </w:r>
                      <w:r w:rsidR="00CE576A">
                        <w:rPr>
                          <w:i/>
                        </w:rPr>
                        <w:t xml:space="preserve">), </w:t>
                      </w:r>
                      <w:r w:rsidR="00B278D5">
                        <w:rPr>
                          <w:i/>
                        </w:rPr>
                        <w:t xml:space="preserve">qui découlent d’une </w:t>
                      </w:r>
                      <w:r w:rsidR="008F4472">
                        <w:rPr>
                          <w:i/>
                        </w:rPr>
                        <w:t xml:space="preserve">rétractation </w:t>
                      </w:r>
                      <w:r w:rsidR="00B278D5">
                        <w:rPr>
                          <w:i/>
                        </w:rPr>
                        <w:t xml:space="preserve">client ou </w:t>
                      </w:r>
                      <w:r w:rsidR="00684B69">
                        <w:rPr>
                          <w:i/>
                        </w:rPr>
                        <w:t>qui bénéficie</w:t>
                      </w:r>
                      <w:r w:rsidR="009C0220">
                        <w:rPr>
                          <w:i/>
                        </w:rPr>
                        <w:t xml:space="preserve">nt </w:t>
                      </w:r>
                      <w:r w:rsidR="003F69C6">
                        <w:rPr>
                          <w:i/>
                        </w:rPr>
                        <w:t>d</w:t>
                      </w:r>
                      <w:r w:rsidR="009C0220">
                        <w:rPr>
                          <w:i/>
                        </w:rPr>
                        <w:t>e la</w:t>
                      </w:r>
                      <w:r w:rsidR="003F69C6">
                        <w:rPr>
                          <w:i/>
                        </w:rPr>
                        <w:t xml:space="preserve"> garantie</w:t>
                      </w:r>
                      <w:r w:rsidR="009C0220">
                        <w:rPr>
                          <w:i/>
                        </w:rPr>
                        <w:t xml:space="preserve"> légale du</w:t>
                      </w:r>
                      <w:r w:rsidR="003F69C6">
                        <w:rPr>
                          <w:i/>
                        </w:rPr>
                        <w:t xml:space="preserve"> constructeur</w:t>
                      </w:r>
                      <w:r w:rsidR="00B324B5">
                        <w:rPr>
                          <w:i/>
                        </w:rPr>
                        <w:t>.</w:t>
                      </w:r>
                    </w:p>
                    <w:p w14:paraId="05EDB886" w14:textId="157197AB" w:rsidR="00A24D0A" w:rsidRPr="00C96E6D" w:rsidRDefault="00A24D0A" w:rsidP="00677986">
                      <w:pPr>
                        <w:pStyle w:val="TexteCourant"/>
                        <w:spacing w:before="240"/>
                        <w:rPr>
                          <w:b/>
                          <w:bCs/>
                        </w:rPr>
                      </w:pPr>
                      <w:r w:rsidRPr="00C96E6D">
                        <w:rPr>
                          <w:b/>
                          <w:bCs/>
                        </w:rPr>
                        <w:t>Modalités de calcul de l’aide</w:t>
                      </w:r>
                    </w:p>
                    <w:p w14:paraId="4EE0E865" w14:textId="502CDDFF" w:rsidR="00A24D0A" w:rsidRPr="00524C97" w:rsidRDefault="00A24D0A" w:rsidP="000D56EC">
                      <w:pPr>
                        <w:pStyle w:val="Pucenoir"/>
                        <w:numPr>
                          <w:ilvl w:val="0"/>
                          <w:numId w:val="18"/>
                        </w:numPr>
                        <w:ind w:left="567"/>
                        <w:rPr>
                          <w:rFonts w:cs="Arial"/>
                        </w:rPr>
                      </w:pPr>
                      <w:r w:rsidRPr="001324CF">
                        <w:rPr>
                          <w:rFonts w:cs="Arial"/>
                        </w:rPr>
                        <w:t xml:space="preserve">Taux d’aide </w:t>
                      </w:r>
                      <w:r w:rsidRPr="001A6D71">
                        <w:rPr>
                          <w:rFonts w:cs="Arial"/>
                          <w:u w:val="single"/>
                        </w:rPr>
                        <w:t>maximum</w:t>
                      </w:r>
                      <w:r w:rsidRPr="001324CF">
                        <w:rPr>
                          <w:rFonts w:ascii="Calibri" w:hAnsi="Calibri" w:cs="Calibri"/>
                        </w:rPr>
                        <w:t> </w:t>
                      </w:r>
                      <w:r w:rsidRPr="001324CF">
                        <w:rPr>
                          <w:rFonts w:cs="Arial"/>
                        </w:rPr>
                        <w:t xml:space="preserve">: </w:t>
                      </w:r>
                      <w:r w:rsidR="001D6E5E">
                        <w:rPr>
                          <w:rFonts w:cs="Arial"/>
                        </w:rPr>
                        <w:t>60 à 80</w:t>
                      </w:r>
                      <w:r w:rsidRPr="001324CF">
                        <w:rPr>
                          <w:rFonts w:cs="Arial"/>
                        </w:rPr>
                        <w:t xml:space="preserve"> % des d</w:t>
                      </w:r>
                      <w:r w:rsidRPr="001324CF">
                        <w:rPr>
                          <w:rFonts w:cs="Marianne Light"/>
                        </w:rPr>
                        <w:t>é</w:t>
                      </w:r>
                      <w:r w:rsidRPr="001324CF">
                        <w:rPr>
                          <w:rFonts w:cs="Arial"/>
                        </w:rPr>
                        <w:t xml:space="preserve">penses </w:t>
                      </w:r>
                      <w:r w:rsidRPr="001324CF">
                        <w:rPr>
                          <w:rFonts w:cs="Marianne Light"/>
                        </w:rPr>
                        <w:t>é</w:t>
                      </w:r>
                      <w:r w:rsidRPr="001324CF">
                        <w:rPr>
                          <w:rFonts w:cs="Arial"/>
                        </w:rPr>
                        <w:t>ligibles</w:t>
                      </w:r>
                      <w:r w:rsidR="00E41FDF">
                        <w:rPr>
                          <w:rFonts w:cs="Arial"/>
                        </w:rPr>
                        <w:t xml:space="preserve"> selon statut</w:t>
                      </w:r>
                      <w:r w:rsidR="002B3CA3">
                        <w:rPr>
                          <w:rFonts w:cs="Arial"/>
                        </w:rPr>
                        <w:t xml:space="preserve"> du porteur</w:t>
                      </w:r>
                      <w:r w:rsidR="00546DFB">
                        <w:rPr>
                          <w:rFonts w:ascii="Calibri" w:hAnsi="Calibri" w:cs="Calibri"/>
                        </w:rPr>
                        <w:t> </w:t>
                      </w:r>
                      <w:r w:rsidR="00546DFB">
                        <w:t>;</w:t>
                      </w:r>
                    </w:p>
                    <w:p w14:paraId="625AAF93" w14:textId="74E3335E" w:rsidR="00A24D0A" w:rsidRPr="008C2FB9" w:rsidRDefault="00524C97" w:rsidP="000D56EC">
                      <w:pPr>
                        <w:pStyle w:val="Pucenoir"/>
                        <w:numPr>
                          <w:ilvl w:val="0"/>
                          <w:numId w:val="18"/>
                        </w:numPr>
                        <w:ind w:left="567"/>
                        <w:rPr>
                          <w:rFonts w:cs="Arial"/>
                        </w:rPr>
                      </w:pPr>
                      <w:r w:rsidRPr="008C2FB9">
                        <w:rPr>
                          <w:rFonts w:cs="Arial"/>
                          <w:u w:val="single"/>
                        </w:rPr>
                        <w:t>Plafond de l’assiette des dépenses éligibles</w:t>
                      </w:r>
                      <w:r w:rsidR="008C463F" w:rsidRPr="008C2FB9">
                        <w:rPr>
                          <w:rFonts w:ascii="Calibri" w:hAnsi="Calibri" w:cs="Calibri"/>
                        </w:rPr>
                        <w:t> </w:t>
                      </w:r>
                      <w:r w:rsidR="008C463F" w:rsidRPr="008C2FB9">
                        <w:rPr>
                          <w:rFonts w:cs="Arial"/>
                        </w:rPr>
                        <w:t>:</w:t>
                      </w:r>
                      <w:r w:rsidRPr="008C2FB9">
                        <w:rPr>
                          <w:rFonts w:cs="Arial"/>
                        </w:rPr>
                        <w:t xml:space="preserve"> 50 000 € pour étude de diagnostic et 100 000 € pour étude de faisabilité d’un projet.</w:t>
                      </w:r>
                    </w:p>
                  </w:txbxContent>
                </v:textbox>
                <w10:wrap anchorx="margin"/>
              </v:shape>
            </w:pict>
          </mc:Fallback>
        </mc:AlternateContent>
      </w:r>
      <w:r w:rsidR="00DB08E5" w:rsidRPr="006B1608">
        <w:rPr>
          <w:noProof/>
        </w:rPr>
        <mc:AlternateContent>
          <mc:Choice Requires="wps">
            <w:drawing>
              <wp:anchor distT="45720" distB="45720" distL="114300" distR="114300" simplePos="0" relativeHeight="251658241" behindDoc="0" locked="0" layoutInCell="1" allowOverlap="1" wp14:anchorId="4AECFC99" wp14:editId="26A9F255">
                <wp:simplePos x="0" y="0"/>
                <wp:positionH relativeFrom="margin">
                  <wp:posOffset>223520</wp:posOffset>
                </wp:positionH>
                <wp:positionV relativeFrom="paragraph">
                  <wp:posOffset>852170</wp:posOffset>
                </wp:positionV>
                <wp:extent cx="5924550" cy="154178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4178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A24D0A" w:rsidRPr="0076695B" w:rsidRDefault="00A24D0A" w:rsidP="0076695B">
                            <w:pPr>
                              <w:pStyle w:val="TITREPRINCIPAL1repage"/>
                            </w:pPr>
                            <w:r w:rsidRPr="0076695B">
                              <w:t>Conditions d’éligibilité et de financement</w:t>
                            </w:r>
                            <w:r w:rsidRPr="0076695B">
                              <w:rPr>
                                <w:rFonts w:ascii="Calibri" w:hAnsi="Calibri" w:cs="Calibri"/>
                              </w:rPr>
                              <w:t> </w:t>
                            </w:r>
                            <w:r w:rsidRPr="0076695B">
                              <w:t>:</w:t>
                            </w:r>
                          </w:p>
                          <w:p w14:paraId="7BA1E123" w14:textId="14D6AF54" w:rsidR="00A24D0A" w:rsidRPr="002C1672" w:rsidRDefault="009902DF" w:rsidP="002C1672">
                            <w:pPr>
                              <w:pStyle w:val="SOUS-TITREPRINCIPAL1repage"/>
                            </w:pPr>
                            <w:r w:rsidRPr="009902DF">
                              <w:t>Soutien aux études</w:t>
                            </w:r>
                            <w:r w:rsidR="008B2F13">
                              <w:t xml:space="preserve"> et diagnostics</w:t>
                            </w:r>
                            <w:r w:rsidRPr="009902DF">
                              <w:t xml:space="preserve"> pour </w:t>
                            </w:r>
                            <w:r w:rsidR="00404891">
                              <w:t xml:space="preserve">le </w:t>
                            </w:r>
                            <w:r w:rsidR="00C126DF">
                              <w:t>R</w:t>
                            </w:r>
                            <w:r w:rsidRPr="009902DF">
                              <w:t>éemploi-</w:t>
                            </w:r>
                            <w:r w:rsidR="00C126DF">
                              <w:t>R</w:t>
                            </w:r>
                            <w:r w:rsidRPr="009902DF">
                              <w:t xml:space="preserve">éutilisation et </w:t>
                            </w:r>
                            <w:r w:rsidR="00404891">
                              <w:t xml:space="preserve">la </w:t>
                            </w:r>
                            <w:r w:rsidR="00C126DF">
                              <w:t>R</w:t>
                            </w:r>
                            <w:r w:rsidRPr="009902DF">
                              <w:t>éparation</w:t>
                            </w:r>
                            <w:r w:rsidR="00C126DF">
                              <w:t xml:space="preserve"> (RRR)</w:t>
                            </w:r>
                            <w:r w:rsidR="00634FAD">
                              <w:t xml:space="preserve"> </w:t>
                            </w:r>
                            <w:r w:rsidR="00853A4A">
                              <w:t>H</w:t>
                            </w:r>
                            <w:r w:rsidR="00634FAD">
                              <w:t>ors emballages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17.6pt;margin-top:67.1pt;width:466.5pt;height:121.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" adj="-11796480,,5400" path="m,l3136900,,2838450,786765,,786765,,xe" fillcolor="white [3212]" stroked="f">
                <v:stroke joinstyle="miter"/>
                <v:formulas/>
                <v:path arrowok="t" o:connecttype="custom" o:connectlocs="0,0;5924550,0;5360878,1541780;0,1541780;0,0" o:connectangles="0,0,0,0,0" textboxrect="0,0,3136900,786765"/>
                <v:textbox>
                  <w:txbxContent>
                    <w:p w14:paraId="18B2335B" w14:textId="24593AD5" w:rsidR="00A24D0A" w:rsidRPr="0076695B" w:rsidRDefault="00A24D0A" w:rsidP="0076695B">
                      <w:pPr>
                        <w:pStyle w:val="TITREPRINCIPAL1repage"/>
                      </w:pPr>
                      <w:r w:rsidRPr="0076695B">
                        <w:t>Conditions d’éligibilité et de financement</w:t>
                      </w:r>
                      <w:r w:rsidRPr="0076695B">
                        <w:rPr>
                          <w:rFonts w:ascii="Calibri" w:hAnsi="Calibri" w:cs="Calibri"/>
                        </w:rPr>
                        <w:t> </w:t>
                      </w:r>
                      <w:r w:rsidRPr="0076695B">
                        <w:t>:</w:t>
                      </w:r>
                    </w:p>
                    <w:p w14:paraId="7BA1E123" w14:textId="14D6AF54" w:rsidR="00A24D0A" w:rsidRPr="002C1672" w:rsidRDefault="009902DF" w:rsidP="002C1672">
                      <w:pPr>
                        <w:pStyle w:val="SOUS-TITREPRINCIPAL1repage"/>
                      </w:pPr>
                      <w:r w:rsidRPr="009902DF">
                        <w:t>Soutien aux études</w:t>
                      </w:r>
                      <w:r w:rsidR="008B2F13">
                        <w:t xml:space="preserve"> et diagnostics</w:t>
                      </w:r>
                      <w:r w:rsidRPr="009902DF">
                        <w:t xml:space="preserve"> pour </w:t>
                      </w:r>
                      <w:r w:rsidR="00404891">
                        <w:t xml:space="preserve">le </w:t>
                      </w:r>
                      <w:r w:rsidR="00C126DF">
                        <w:t>R</w:t>
                      </w:r>
                      <w:r w:rsidRPr="009902DF">
                        <w:t>éemploi-</w:t>
                      </w:r>
                      <w:r w:rsidR="00C126DF">
                        <w:t>R</w:t>
                      </w:r>
                      <w:r w:rsidRPr="009902DF">
                        <w:t xml:space="preserve">éutilisation et </w:t>
                      </w:r>
                      <w:r w:rsidR="00404891">
                        <w:t xml:space="preserve">la </w:t>
                      </w:r>
                      <w:r w:rsidR="00C126DF">
                        <w:t>R</w:t>
                      </w:r>
                      <w:r w:rsidRPr="009902DF">
                        <w:t>éparation</w:t>
                      </w:r>
                      <w:r w:rsidR="00C126DF">
                        <w:t xml:space="preserve"> (RRR)</w:t>
                      </w:r>
                      <w:r w:rsidR="00634FAD">
                        <w:t xml:space="preserve"> </w:t>
                      </w:r>
                      <w:r w:rsidR="00853A4A">
                        <w:t>H</w:t>
                      </w:r>
                      <w:r w:rsidR="00634FAD">
                        <w:t>ors emballages</w:t>
                      </w:r>
                    </w:p>
                  </w:txbxContent>
                </v:textbox>
                <w10:wrap anchorx="margin"/>
              </v:shape>
            </w:pict>
          </mc:Fallback>
        </mc:AlternateContent>
      </w:r>
      <w:r w:rsidR="00355E54">
        <w:br w:type="page"/>
      </w:r>
    </w:p>
    <w:p w14:paraId="7EA022D3" w14:textId="67B0CD5B" w:rsidR="00A02888" w:rsidRPr="00BC3305" w:rsidRDefault="00A03817" w:rsidP="009E62E2">
      <w:pPr>
        <w:pStyle w:val="Titre1"/>
      </w:pPr>
      <w:r w:rsidRPr="00BC3305">
        <w:lastRenderedPageBreak/>
        <w:t>CONTEXTE</w:t>
      </w:r>
    </w:p>
    <w:p w14:paraId="4FE47CA4" w14:textId="4CF59C90" w:rsidR="001324CF" w:rsidRPr="001324CF" w:rsidRDefault="001324CF" w:rsidP="001324CF">
      <w:pPr>
        <w:jc w:val="both"/>
        <w:rPr>
          <w:rFonts w:ascii="Marianne Light" w:hAnsi="Marianne Light" w:cs="Arial"/>
          <w:sz w:val="18"/>
        </w:rPr>
      </w:pPr>
      <w:r w:rsidRPr="001324CF">
        <w:rPr>
          <w:rFonts w:ascii="Marianne Light" w:hAnsi="Marianne Light" w:cs="Arial"/>
          <w:sz w:val="18"/>
        </w:rP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0937BDE5" w14:textId="53C04A09" w:rsidR="00CA5669" w:rsidRPr="00CA5669" w:rsidRDefault="00CA5669" w:rsidP="00CA5669">
      <w:pPr>
        <w:jc w:val="both"/>
        <w:rPr>
          <w:rFonts w:ascii="Marianne Light" w:eastAsiaTheme="minorEastAsia" w:hAnsi="Marianne Light" w:cs="Arial"/>
          <w:sz w:val="18"/>
        </w:rPr>
      </w:pPr>
      <w:r w:rsidRPr="00CA5669">
        <w:rPr>
          <w:rFonts w:ascii="Marianne Light" w:eastAsiaTheme="minorEastAsia" w:hAnsi="Marianne Light" w:cs="Arial"/>
          <w:sz w:val="18"/>
        </w:rPr>
        <w:t>Les politiques européenne et française mettent en priorité la prévention des déchets ; cette priorité est renforcée par le programme national de prévention des déchets 20</w:t>
      </w:r>
      <w:r w:rsidR="00F06F81">
        <w:rPr>
          <w:rFonts w:ascii="Marianne Light" w:eastAsiaTheme="minorEastAsia" w:hAnsi="Marianne Light" w:cs="Arial"/>
          <w:sz w:val="18"/>
        </w:rPr>
        <w:t>21</w:t>
      </w:r>
      <w:r w:rsidRPr="00CA5669">
        <w:rPr>
          <w:rFonts w:ascii="Marianne Light" w:eastAsiaTheme="minorEastAsia" w:hAnsi="Marianne Light" w:cs="Arial"/>
          <w:sz w:val="18"/>
        </w:rPr>
        <w:t>/202</w:t>
      </w:r>
      <w:r w:rsidR="00F06F81">
        <w:rPr>
          <w:rFonts w:ascii="Marianne Light" w:eastAsiaTheme="minorEastAsia" w:hAnsi="Marianne Light" w:cs="Arial"/>
          <w:sz w:val="18"/>
        </w:rPr>
        <w:t>7</w:t>
      </w:r>
      <w:r w:rsidRPr="00CA5669">
        <w:rPr>
          <w:rFonts w:ascii="Marianne Light" w:eastAsiaTheme="minorEastAsia" w:hAnsi="Marianne Light" w:cs="Arial"/>
          <w:sz w:val="18"/>
        </w:rPr>
        <w:t xml:space="preserve"> et par la loi sur la transition énergétique qui porte des objectifs ambitieux pour orienter l’économie française vers une économie circulaire. La </w:t>
      </w:r>
      <w:r>
        <w:rPr>
          <w:rFonts w:ascii="Marianne Light" w:eastAsiaTheme="minorEastAsia" w:hAnsi="Marianne Light" w:cs="Arial"/>
          <w:sz w:val="18"/>
        </w:rPr>
        <w:t xml:space="preserve">loi </w:t>
      </w:r>
      <w:r w:rsidR="0048506F">
        <w:rPr>
          <w:rFonts w:ascii="Marianne Light" w:eastAsiaTheme="minorEastAsia" w:hAnsi="Marianne Light" w:cs="Arial"/>
          <w:sz w:val="18"/>
        </w:rPr>
        <w:t>du 10 février 2020 relative à «</w:t>
      </w:r>
      <w:r w:rsidR="0048506F">
        <w:rPr>
          <w:rFonts w:eastAsiaTheme="minorEastAsia" w:cs="Calibri"/>
          <w:sz w:val="18"/>
        </w:rPr>
        <w:t> </w:t>
      </w:r>
      <w:r w:rsidR="0048506F">
        <w:rPr>
          <w:rFonts w:ascii="Marianne Light" w:eastAsiaTheme="minorEastAsia" w:hAnsi="Marianne Light" w:cs="Arial"/>
          <w:sz w:val="18"/>
        </w:rPr>
        <w:t>la lutte contre le gaspillage et à l’économie circulaire</w:t>
      </w:r>
      <w:r w:rsidR="00FA1329">
        <w:rPr>
          <w:rStyle w:val="Appelnotedebasdep"/>
          <w:rFonts w:ascii="Marianne Light" w:eastAsiaTheme="minorEastAsia" w:hAnsi="Marianne Light" w:cs="Arial"/>
          <w:sz w:val="18"/>
        </w:rPr>
        <w:footnoteReference w:id="2"/>
      </w:r>
      <w:r w:rsidR="0048506F">
        <w:rPr>
          <w:rFonts w:eastAsiaTheme="minorEastAsia" w:cs="Calibri"/>
          <w:sz w:val="18"/>
        </w:rPr>
        <w:t> </w:t>
      </w:r>
      <w:r w:rsidR="0048506F">
        <w:rPr>
          <w:rFonts w:ascii="Marianne Light" w:eastAsiaTheme="minorEastAsia" w:hAnsi="Marianne Light" w:cs="Marianne Light"/>
          <w:sz w:val="18"/>
        </w:rPr>
        <w:t>»</w:t>
      </w:r>
      <w:r w:rsidR="0048506F">
        <w:rPr>
          <w:rFonts w:ascii="Marianne Light" w:eastAsiaTheme="minorEastAsia" w:hAnsi="Marianne Light" w:cs="Arial"/>
          <w:sz w:val="18"/>
        </w:rPr>
        <w:t xml:space="preserve"> (AGEC) </w:t>
      </w:r>
      <w:r w:rsidRPr="00CA5669">
        <w:rPr>
          <w:rFonts w:ascii="Marianne Light" w:eastAsiaTheme="minorEastAsia" w:hAnsi="Marianne Light" w:cs="Arial"/>
          <w:sz w:val="18"/>
        </w:rPr>
        <w:t xml:space="preserve">vise à développer le réemploi et augmenter la quantité de déchets faisant l'objet de préparation à la réutilisation, afin d'atteindre l'équivalent de 5 % du tonnage de déchets ménagers en 2030. De nombreux articles (modifiant le </w:t>
      </w:r>
      <w:r w:rsidR="00005C62">
        <w:rPr>
          <w:rFonts w:ascii="Marianne Light" w:eastAsiaTheme="minorEastAsia" w:hAnsi="Marianne Light" w:cs="Arial"/>
          <w:sz w:val="18"/>
        </w:rPr>
        <w:t>C</w:t>
      </w:r>
      <w:r w:rsidRPr="00CA5669">
        <w:rPr>
          <w:rFonts w:ascii="Marianne Light" w:eastAsiaTheme="minorEastAsia" w:hAnsi="Marianne Light" w:cs="Arial"/>
          <w:sz w:val="18"/>
        </w:rPr>
        <w:t xml:space="preserve">ode de l’environnement, le </w:t>
      </w:r>
      <w:r w:rsidR="00005C62">
        <w:rPr>
          <w:rFonts w:ascii="Marianne Light" w:eastAsiaTheme="minorEastAsia" w:hAnsi="Marianne Light" w:cs="Arial"/>
          <w:sz w:val="18"/>
        </w:rPr>
        <w:t>C</w:t>
      </w:r>
      <w:r w:rsidRPr="00CA5669">
        <w:rPr>
          <w:rFonts w:ascii="Marianne Light" w:eastAsiaTheme="minorEastAsia" w:hAnsi="Marianne Light" w:cs="Arial"/>
          <w:sz w:val="18"/>
        </w:rPr>
        <w:t xml:space="preserve">ode des collectivités ou bien encore le </w:t>
      </w:r>
      <w:r w:rsidR="00005C62">
        <w:rPr>
          <w:rFonts w:ascii="Marianne Light" w:eastAsiaTheme="minorEastAsia" w:hAnsi="Marianne Light" w:cs="Arial"/>
          <w:sz w:val="18"/>
        </w:rPr>
        <w:t>C</w:t>
      </w:r>
      <w:r w:rsidRPr="00CA5669">
        <w:rPr>
          <w:rFonts w:ascii="Marianne Light" w:eastAsiaTheme="minorEastAsia" w:hAnsi="Marianne Light" w:cs="Arial"/>
          <w:sz w:val="18"/>
        </w:rPr>
        <w:t>ode de la consommation) donnent une place grandissante et importante en m</w:t>
      </w:r>
      <w:r w:rsidR="000E7CD9">
        <w:rPr>
          <w:rFonts w:ascii="Marianne Light" w:eastAsiaTheme="minorEastAsia" w:hAnsi="Marianne Light" w:cs="Arial"/>
          <w:sz w:val="18"/>
        </w:rPr>
        <w:t>atière d’ambition et d’attendus</w:t>
      </w:r>
      <w:r w:rsidR="000E7CD9">
        <w:rPr>
          <w:rFonts w:eastAsiaTheme="minorEastAsia" w:cs="Calibri"/>
          <w:sz w:val="18"/>
        </w:rPr>
        <w:t> </w:t>
      </w:r>
      <w:r w:rsidR="000E7CD9">
        <w:rPr>
          <w:rFonts w:ascii="Marianne Light" w:eastAsiaTheme="minorEastAsia" w:hAnsi="Marianne Light" w:cs="Arial"/>
          <w:sz w:val="18"/>
        </w:rPr>
        <w:t>:</w:t>
      </w:r>
      <w:r w:rsidRPr="00CA5669">
        <w:rPr>
          <w:rFonts w:ascii="Marianne Light" w:eastAsiaTheme="minorEastAsia" w:hAnsi="Marianne Light" w:cs="Arial"/>
          <w:sz w:val="18"/>
        </w:rPr>
        <w:t xml:space="preserve"> objectifs fixés dans les cahiers des charges des </w:t>
      </w:r>
      <w:r w:rsidR="00005C62">
        <w:rPr>
          <w:rFonts w:ascii="Marianne Light" w:eastAsiaTheme="minorEastAsia" w:hAnsi="Marianne Light" w:cs="Arial"/>
          <w:sz w:val="18"/>
        </w:rPr>
        <w:t>é</w:t>
      </w:r>
      <w:r w:rsidRPr="00CA5669">
        <w:rPr>
          <w:rFonts w:ascii="Marianne Light" w:eastAsiaTheme="minorEastAsia" w:hAnsi="Marianne Light" w:cs="Arial"/>
          <w:sz w:val="18"/>
        </w:rPr>
        <w:t xml:space="preserve">co-organismes (EOs), mise en place de fonds réemploi et réparation par les EOs, des objectifs de réemploi dans les achats publics, obligations dans le cadre de </w:t>
      </w:r>
      <w:r w:rsidR="00005C62">
        <w:rPr>
          <w:rFonts w:ascii="Marianne Light" w:eastAsiaTheme="minorEastAsia" w:hAnsi="Marianne Light" w:cs="Arial"/>
          <w:sz w:val="18"/>
        </w:rPr>
        <w:t xml:space="preserve">la </w:t>
      </w:r>
      <w:r w:rsidRPr="00CA5669">
        <w:rPr>
          <w:rFonts w:ascii="Marianne Light" w:eastAsiaTheme="minorEastAsia" w:hAnsi="Marianne Light" w:cs="Arial"/>
          <w:sz w:val="18"/>
        </w:rPr>
        <w:t>déconstruction de bâtiments, etc.</w:t>
      </w:r>
    </w:p>
    <w:p w14:paraId="7114EB04" w14:textId="186928FC" w:rsidR="000E7CD9" w:rsidRDefault="004270A7" w:rsidP="000E7CD9">
      <w:pPr>
        <w:jc w:val="both"/>
        <w:rPr>
          <w:rFonts w:ascii="Marianne Light" w:eastAsiaTheme="minorEastAsia" w:hAnsi="Marianne Light" w:cs="Arial"/>
          <w:sz w:val="18"/>
        </w:rPr>
      </w:pPr>
      <w:r>
        <w:rPr>
          <w:rFonts w:ascii="Marianne Light" w:eastAsiaTheme="minorEastAsia" w:hAnsi="Marianne Light" w:cs="Arial"/>
          <w:sz w:val="18"/>
        </w:rPr>
        <w:t>L</w:t>
      </w:r>
      <w:r w:rsidR="00CA5669" w:rsidRPr="00CA5669">
        <w:rPr>
          <w:rFonts w:ascii="Marianne Light" w:eastAsiaTheme="minorEastAsia" w:hAnsi="Marianne Light" w:cs="Arial"/>
          <w:sz w:val="18"/>
        </w:rPr>
        <w:t>e réemploi</w:t>
      </w:r>
      <w:r w:rsidR="00456C32">
        <w:rPr>
          <w:rFonts w:ascii="Marianne Light" w:eastAsiaTheme="minorEastAsia" w:hAnsi="Marianne Light" w:cs="Arial"/>
          <w:sz w:val="18"/>
        </w:rPr>
        <w:t>,</w:t>
      </w:r>
      <w:r w:rsidR="00CA5669" w:rsidRPr="00CA5669">
        <w:rPr>
          <w:rFonts w:ascii="Marianne Light" w:eastAsiaTheme="minorEastAsia" w:hAnsi="Marianne Light" w:cs="Arial"/>
          <w:sz w:val="18"/>
        </w:rPr>
        <w:t xml:space="preserve"> la réutilisation</w:t>
      </w:r>
      <w:r w:rsidR="00456C32">
        <w:rPr>
          <w:rFonts w:ascii="Marianne Light" w:eastAsiaTheme="minorEastAsia" w:hAnsi="Marianne Light" w:cs="Arial"/>
          <w:sz w:val="18"/>
        </w:rPr>
        <w:t xml:space="preserve"> et la réparation</w:t>
      </w:r>
      <w:r w:rsidR="00CA5669" w:rsidRPr="00CA5669">
        <w:rPr>
          <w:rFonts w:ascii="Marianne Light" w:eastAsiaTheme="minorEastAsia" w:hAnsi="Marianne Light" w:cs="Arial"/>
          <w:sz w:val="18"/>
        </w:rPr>
        <w:t xml:space="preserve"> s’inscrivent donc pleinement </w:t>
      </w:r>
      <w:r w:rsidR="00CA5669" w:rsidRPr="00E9486E">
        <w:rPr>
          <w:rFonts w:ascii="Marianne Light" w:eastAsiaTheme="minorEastAsia" w:hAnsi="Marianne Light" w:cs="Arial"/>
          <w:sz w:val="18"/>
          <w:u w:val="single"/>
        </w:rPr>
        <w:t>dans le cadre de démarches de prévention des déchets et d’une consommation plus responsable en contribuant au prolongement de la durée de vie des produits</w:t>
      </w:r>
      <w:r w:rsidR="00CA5669" w:rsidRPr="00CA5669">
        <w:rPr>
          <w:rFonts w:ascii="Marianne Light" w:eastAsiaTheme="minorEastAsia" w:hAnsi="Marianne Light" w:cs="Arial"/>
          <w:sz w:val="18"/>
        </w:rPr>
        <w:t xml:space="preserve"> ; ils constituent ainsi un levier efficace pour réduire la production de déchets et les prélèvements sur les ressources.</w:t>
      </w:r>
    </w:p>
    <w:p w14:paraId="04F7E768" w14:textId="77777777" w:rsidR="00AA6ACB" w:rsidRPr="005D2E6E" w:rsidRDefault="00AA6ACB" w:rsidP="00AA6ACB">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Marianne Light" w:hAnsi="Marianne Light" w:cs="Arial"/>
          <w:sz w:val="18"/>
        </w:rPr>
      </w:pPr>
      <w:r w:rsidRPr="007C3390">
        <w:rPr>
          <w:rFonts w:ascii="Marianne Light" w:eastAsiaTheme="minorEastAsia" w:hAnsi="Marianne Light" w:cs="Arial"/>
          <w:b/>
          <w:bCs/>
          <w:sz w:val="18"/>
        </w:rPr>
        <w:t>C’est bien ce caractère vertueux du prolongement de la durée de vie et d’usage que l’ADEME veut promouvoir et soutenir</w:t>
      </w:r>
      <w:r>
        <w:rPr>
          <w:rFonts w:ascii="Marianne Light" w:eastAsiaTheme="minorEastAsia" w:hAnsi="Marianne Light" w:cs="Arial"/>
          <w:sz w:val="18"/>
        </w:rPr>
        <w:t xml:space="preserve"> et pas des activités et pratiques induisant à l’inverse des comportements de «</w:t>
      </w:r>
      <w:r>
        <w:rPr>
          <w:rFonts w:eastAsiaTheme="minorEastAsia" w:cs="Calibri"/>
          <w:sz w:val="18"/>
        </w:rPr>
        <w:t> </w:t>
      </w:r>
      <w:r>
        <w:rPr>
          <w:rFonts w:ascii="Marianne Light" w:eastAsiaTheme="minorEastAsia" w:hAnsi="Marianne Light" w:cs="Arial"/>
          <w:sz w:val="18"/>
        </w:rPr>
        <w:t>suréquipement</w:t>
      </w:r>
      <w:r>
        <w:rPr>
          <w:rFonts w:eastAsiaTheme="minorEastAsia" w:cs="Calibri"/>
          <w:sz w:val="18"/>
        </w:rPr>
        <w:t> </w:t>
      </w:r>
      <w:r>
        <w:rPr>
          <w:rFonts w:ascii="Marianne Light" w:eastAsiaTheme="minorEastAsia" w:hAnsi="Marianne Light" w:cs="Marianne Light"/>
          <w:sz w:val="18"/>
        </w:rPr>
        <w:t>»,</w:t>
      </w:r>
      <w:r>
        <w:rPr>
          <w:rFonts w:ascii="Marianne Light" w:eastAsiaTheme="minorEastAsia" w:hAnsi="Marianne Light" w:cs="Arial"/>
          <w:sz w:val="18"/>
        </w:rPr>
        <w:t xml:space="preserve"> de «</w:t>
      </w:r>
      <w:r>
        <w:rPr>
          <w:rFonts w:eastAsiaTheme="minorEastAsia" w:cs="Calibri"/>
          <w:sz w:val="18"/>
        </w:rPr>
        <w:t> </w:t>
      </w:r>
      <w:r>
        <w:rPr>
          <w:rFonts w:ascii="Marianne Light" w:eastAsiaTheme="minorEastAsia" w:hAnsi="Marianne Light" w:cs="Arial"/>
          <w:sz w:val="18"/>
        </w:rPr>
        <w:t>sur-renouvellement</w:t>
      </w:r>
      <w:r>
        <w:rPr>
          <w:rFonts w:eastAsiaTheme="minorEastAsia" w:cs="Calibri"/>
          <w:sz w:val="18"/>
        </w:rPr>
        <w:t> </w:t>
      </w:r>
      <w:r>
        <w:rPr>
          <w:rFonts w:ascii="Marianne Light" w:eastAsiaTheme="minorEastAsia" w:hAnsi="Marianne Light" w:cs="Marianne Light"/>
          <w:sz w:val="18"/>
        </w:rPr>
        <w:t>» et</w:t>
      </w:r>
      <w:r>
        <w:rPr>
          <w:rFonts w:ascii="Marianne Light" w:eastAsiaTheme="minorEastAsia" w:hAnsi="Marianne Light" w:cs="Arial"/>
          <w:sz w:val="18"/>
        </w:rPr>
        <w:t xml:space="preserve"> de turn-over des produits encore en état de 1</w:t>
      </w:r>
      <w:r w:rsidRPr="00DB4FA0">
        <w:rPr>
          <w:rFonts w:ascii="Marianne Light" w:eastAsiaTheme="minorEastAsia" w:hAnsi="Marianne Light" w:cs="Arial"/>
          <w:sz w:val="18"/>
          <w:vertAlign w:val="superscript"/>
        </w:rPr>
        <w:t>er</w:t>
      </w:r>
      <w:r>
        <w:rPr>
          <w:rFonts w:ascii="Marianne Light" w:eastAsiaTheme="minorEastAsia" w:hAnsi="Marianne Light" w:cs="Arial"/>
          <w:sz w:val="18"/>
        </w:rPr>
        <w:t xml:space="preserve"> usage et de bon fonctionnement.</w:t>
      </w:r>
    </w:p>
    <w:p w14:paraId="6064F482" w14:textId="71D2B713" w:rsidR="00A02888" w:rsidRPr="00BC3305" w:rsidRDefault="00A03817" w:rsidP="00BC3305">
      <w:pPr>
        <w:pStyle w:val="Titre1"/>
      </w:pPr>
      <w:r w:rsidRPr="00BC3305">
        <w:t>DESCRIPTION DES PROJETS ELIGIBLES</w:t>
      </w:r>
    </w:p>
    <w:p w14:paraId="0482B81B" w14:textId="6A479707" w:rsidR="00160814" w:rsidRPr="0062475C" w:rsidRDefault="00160814" w:rsidP="00160814">
      <w:pPr>
        <w:pStyle w:val="Titre2"/>
      </w:pPr>
      <w:r>
        <w:t>Objectifs et cibles visés</w:t>
      </w:r>
    </w:p>
    <w:p w14:paraId="1420E79F" w14:textId="2729337D" w:rsidR="004F5ACA" w:rsidRDefault="004F5ACA" w:rsidP="0065013A">
      <w:pPr>
        <w:jc w:val="both"/>
        <w:rPr>
          <w:rStyle w:val="lev"/>
          <w:rFonts w:ascii="Marianne Light" w:hAnsi="Marianne Light" w:cs="Arial"/>
          <w:sz w:val="18"/>
        </w:rPr>
      </w:pPr>
      <w:r w:rsidRPr="004F5ACA">
        <w:rPr>
          <w:rFonts w:ascii="Marianne Light" w:hAnsi="Marianne Light" w:cs="Arial"/>
          <w:sz w:val="18"/>
        </w:rPr>
        <w:t>Dans le cadre de sa politique de soutien à l’économie circulaire</w:t>
      </w:r>
      <w:r w:rsidRPr="004F5ACA">
        <w:rPr>
          <w:rFonts w:ascii="Marianne Light" w:hAnsi="Marianne Light" w:cs="Arial"/>
          <w:b/>
          <w:bCs/>
          <w:sz w:val="18"/>
        </w:rPr>
        <w:t xml:space="preserve">, </w:t>
      </w:r>
      <w:r w:rsidRPr="004F5ACA">
        <w:rPr>
          <w:rFonts w:ascii="Marianne Light" w:hAnsi="Marianne Light" w:cs="Arial"/>
          <w:sz w:val="18"/>
        </w:rPr>
        <w:t xml:space="preserve">l’ADEME </w:t>
      </w:r>
      <w:r w:rsidR="00C262EA">
        <w:rPr>
          <w:rFonts w:ascii="Marianne Light" w:hAnsi="Marianne Light" w:cs="Arial"/>
          <w:sz w:val="18"/>
        </w:rPr>
        <w:t>peut accompagner</w:t>
      </w:r>
      <w:r w:rsidRPr="004F5ACA">
        <w:rPr>
          <w:rFonts w:ascii="Marianne Light" w:hAnsi="Marianne Light" w:cs="Arial"/>
          <w:sz w:val="18"/>
        </w:rPr>
        <w:t xml:space="preserve"> les diagnostics et les études</w:t>
      </w:r>
      <w:r w:rsidR="00B902A7">
        <w:rPr>
          <w:rFonts w:ascii="Marianne Light" w:hAnsi="Marianne Light" w:cs="Arial"/>
          <w:sz w:val="18"/>
        </w:rPr>
        <w:t xml:space="preserve">, préalables à de futurs projets et opérations </w:t>
      </w:r>
      <w:r w:rsidRPr="004F5ACA">
        <w:rPr>
          <w:rFonts w:ascii="Marianne Light" w:hAnsi="Marianne Light" w:cs="Arial"/>
          <w:sz w:val="18"/>
        </w:rPr>
        <w:t xml:space="preserve">concourant </w:t>
      </w:r>
      <w:r w:rsidRPr="00EA26C0">
        <w:rPr>
          <w:rFonts w:ascii="Marianne Light" w:hAnsi="Marianne Light" w:cs="Arial"/>
          <w:b/>
          <w:bCs/>
          <w:sz w:val="18"/>
          <w:u w:val="single"/>
        </w:rPr>
        <w:t>au développement efficace et vertueux</w:t>
      </w:r>
      <w:r w:rsidR="00F946B6">
        <w:rPr>
          <w:rFonts w:ascii="Marianne Light" w:hAnsi="Marianne Light" w:cs="Arial"/>
          <w:b/>
          <w:bCs/>
          <w:sz w:val="18"/>
          <w:u w:val="single"/>
        </w:rPr>
        <w:t>*</w:t>
      </w:r>
      <w:r w:rsidRPr="004F5ACA">
        <w:rPr>
          <w:rFonts w:ascii="Marianne Light" w:hAnsi="Marianne Light" w:cs="Arial"/>
          <w:sz w:val="18"/>
        </w:rPr>
        <w:t xml:space="preserve"> du secteur du réemploi</w:t>
      </w:r>
      <w:r w:rsidR="00B30F9E">
        <w:rPr>
          <w:rFonts w:ascii="Marianne Light" w:hAnsi="Marianne Light" w:cs="Arial"/>
          <w:sz w:val="18"/>
        </w:rPr>
        <w:t>-</w:t>
      </w:r>
      <w:r w:rsidR="00F961E6">
        <w:rPr>
          <w:rFonts w:ascii="Marianne Light" w:hAnsi="Marianne Light" w:cs="Arial"/>
          <w:sz w:val="18"/>
        </w:rPr>
        <w:t>réutilisation</w:t>
      </w:r>
      <w:r w:rsidR="00B30F9E">
        <w:rPr>
          <w:rFonts w:ascii="Marianne Light" w:hAnsi="Marianne Light" w:cs="Arial"/>
          <w:sz w:val="18"/>
        </w:rPr>
        <w:t xml:space="preserve"> et</w:t>
      </w:r>
      <w:r w:rsidRPr="004F5ACA">
        <w:rPr>
          <w:rFonts w:ascii="Marianne Light" w:hAnsi="Marianne Light" w:cs="Arial"/>
          <w:sz w:val="18"/>
        </w:rPr>
        <w:t xml:space="preserve"> de la réparation. </w:t>
      </w:r>
      <w:r w:rsidR="006947F5">
        <w:rPr>
          <w:rFonts w:ascii="Marianne Light" w:hAnsi="Marianne Light" w:cs="Arial"/>
          <w:sz w:val="18"/>
        </w:rPr>
        <w:t>La</w:t>
      </w:r>
      <w:r w:rsidR="00536EE8">
        <w:rPr>
          <w:rFonts w:ascii="Marianne Light" w:hAnsi="Marianne Light" w:cs="Arial"/>
          <w:sz w:val="18"/>
        </w:rPr>
        <w:t xml:space="preserve"> </w:t>
      </w:r>
      <w:r w:rsidR="00086C6A">
        <w:rPr>
          <w:rFonts w:ascii="Marianne Light" w:hAnsi="Marianne Light" w:cs="Arial"/>
          <w:sz w:val="18"/>
        </w:rPr>
        <w:t xml:space="preserve">phase suivante de </w:t>
      </w:r>
      <w:r w:rsidR="00536EE8">
        <w:rPr>
          <w:rFonts w:ascii="Marianne Light" w:hAnsi="Marianne Light" w:cs="Arial"/>
          <w:sz w:val="18"/>
        </w:rPr>
        <w:t>concrétis</w:t>
      </w:r>
      <w:r w:rsidR="006947F5">
        <w:rPr>
          <w:rFonts w:ascii="Marianne Light" w:hAnsi="Marianne Light" w:cs="Arial"/>
          <w:sz w:val="18"/>
        </w:rPr>
        <w:t>ation</w:t>
      </w:r>
      <w:r w:rsidR="00536EE8">
        <w:rPr>
          <w:rFonts w:ascii="Marianne Light" w:hAnsi="Marianne Light" w:cs="Arial"/>
          <w:sz w:val="18"/>
        </w:rPr>
        <w:t xml:space="preserve"> </w:t>
      </w:r>
      <w:r w:rsidR="00C158C3">
        <w:rPr>
          <w:rFonts w:ascii="Marianne Light" w:hAnsi="Marianne Light" w:cs="Arial"/>
          <w:sz w:val="18"/>
        </w:rPr>
        <w:t xml:space="preserve">des projets peut </w:t>
      </w:r>
      <w:r w:rsidR="008D3182">
        <w:rPr>
          <w:rFonts w:ascii="Marianne Light" w:hAnsi="Marianne Light" w:cs="Arial"/>
          <w:sz w:val="18"/>
        </w:rPr>
        <w:t>potentiel</w:t>
      </w:r>
      <w:r w:rsidR="00086C6A">
        <w:rPr>
          <w:rFonts w:ascii="Marianne Light" w:hAnsi="Marianne Light" w:cs="Arial"/>
          <w:sz w:val="18"/>
        </w:rPr>
        <w:t xml:space="preserve">lement et sous conditions </w:t>
      </w:r>
      <w:r w:rsidR="00DE5F3E">
        <w:rPr>
          <w:rFonts w:ascii="Marianne Light" w:hAnsi="Marianne Light" w:cs="Arial"/>
          <w:sz w:val="18"/>
        </w:rPr>
        <w:t xml:space="preserve">bénéficier d’un soutien </w:t>
      </w:r>
      <w:r w:rsidR="00BE14BB">
        <w:rPr>
          <w:rFonts w:ascii="Marianne Light" w:hAnsi="Marianne Light" w:cs="Arial"/>
          <w:sz w:val="18"/>
        </w:rPr>
        <w:t xml:space="preserve">aux investissements </w:t>
      </w:r>
      <w:r w:rsidRPr="004F5ACA">
        <w:rPr>
          <w:rFonts w:ascii="Marianne Light" w:hAnsi="Marianne Light" w:cs="Arial"/>
          <w:sz w:val="18"/>
        </w:rPr>
        <w:t xml:space="preserve">dans des équipements spécifiques </w:t>
      </w:r>
      <w:r w:rsidR="00DE5F3E">
        <w:rPr>
          <w:rFonts w:ascii="Marianne Light" w:hAnsi="Marianne Light" w:cs="Arial"/>
          <w:sz w:val="18"/>
        </w:rPr>
        <w:t>par l’ADEME</w:t>
      </w:r>
      <w:r w:rsidRPr="004F5ACA">
        <w:rPr>
          <w:rFonts w:ascii="Marianne Light" w:hAnsi="Marianne Light" w:cs="Arial"/>
          <w:sz w:val="18"/>
        </w:rPr>
        <w:t xml:space="preserve"> (</w:t>
      </w:r>
      <w:r w:rsidRPr="0068487F">
        <w:rPr>
          <w:rFonts w:ascii="Marianne Light" w:hAnsi="Marianne Light" w:cs="Arial"/>
          <w:sz w:val="18"/>
        </w:rPr>
        <w:t xml:space="preserve">voir </w:t>
      </w:r>
      <w:r w:rsidR="00A30C78">
        <w:rPr>
          <w:rFonts w:ascii="Marianne Light" w:hAnsi="Marianne Light" w:cs="Arial"/>
          <w:sz w:val="18"/>
        </w:rPr>
        <w:t xml:space="preserve">sur AGIR </w:t>
      </w:r>
      <w:r w:rsidR="006E3666">
        <w:rPr>
          <w:rFonts w:ascii="Marianne Light" w:hAnsi="Marianne Light" w:cs="Arial"/>
          <w:sz w:val="18"/>
        </w:rPr>
        <w:t>la f</w:t>
      </w:r>
      <w:r w:rsidRPr="0068487F">
        <w:rPr>
          <w:rFonts w:ascii="Marianne Light" w:hAnsi="Marianne Light" w:cs="Arial"/>
          <w:sz w:val="18"/>
        </w:rPr>
        <w:t xml:space="preserve">iche d’éligibilité et de financement </w:t>
      </w:r>
      <w:r w:rsidR="00A30C78">
        <w:rPr>
          <w:rFonts w:ascii="Marianne Light" w:hAnsi="Marianne Light" w:cs="Arial"/>
          <w:sz w:val="18"/>
        </w:rPr>
        <w:t>«</w:t>
      </w:r>
      <w:r w:rsidR="00A30C78">
        <w:rPr>
          <w:rFonts w:cs="Calibri"/>
          <w:sz w:val="18"/>
        </w:rPr>
        <w:t> </w:t>
      </w:r>
      <w:r w:rsidR="00FE446E" w:rsidRPr="00FE446E">
        <w:rPr>
          <w:rFonts w:ascii="Marianne Light" w:hAnsi="Marianne Light" w:cs="Arial"/>
          <w:i/>
          <w:iCs/>
          <w:sz w:val="18"/>
        </w:rPr>
        <w:t>Soutien aux investissements pour le Réemploi-Réutilisation et la Réparation (RRR) Hors emballages</w:t>
      </w:r>
      <w:r w:rsidR="00FE446E">
        <w:rPr>
          <w:rFonts w:cs="Calibri"/>
          <w:i/>
          <w:iCs/>
          <w:sz w:val="18"/>
        </w:rPr>
        <w:t> </w:t>
      </w:r>
      <w:r w:rsidR="00FE446E">
        <w:rPr>
          <w:rFonts w:ascii="Marianne Light" w:hAnsi="Marianne Light" w:cs="Marianne Light"/>
          <w:i/>
          <w:iCs/>
          <w:sz w:val="18"/>
        </w:rPr>
        <w:t>»</w:t>
      </w:r>
      <w:r w:rsidRPr="004F5ACA">
        <w:rPr>
          <w:rStyle w:val="lev"/>
          <w:rFonts w:ascii="Marianne Light" w:hAnsi="Marianne Light" w:cs="Arial"/>
          <w:sz w:val="18"/>
        </w:rPr>
        <w:t>).</w:t>
      </w:r>
    </w:p>
    <w:p w14:paraId="109EEDE1" w14:textId="77777777" w:rsidR="004F5ACA" w:rsidRPr="004F5ACA" w:rsidRDefault="004F5ACA" w:rsidP="0065013A">
      <w:pPr>
        <w:jc w:val="both"/>
        <w:rPr>
          <w:rFonts w:ascii="Marianne Light" w:hAnsi="Marianne Light" w:cs="Arial"/>
          <w:sz w:val="18"/>
        </w:rPr>
      </w:pPr>
      <w:r w:rsidRPr="004F5ACA">
        <w:rPr>
          <w:rFonts w:ascii="Marianne Light" w:hAnsi="Marianne Light" w:cs="Arial"/>
          <w:sz w:val="18"/>
        </w:rPr>
        <w:t>L’objectif du soutien aux études est de faire émerger des projets pour</w:t>
      </w:r>
      <w:r w:rsidRPr="004F5ACA">
        <w:rPr>
          <w:rFonts w:cs="Calibri"/>
          <w:sz w:val="18"/>
        </w:rPr>
        <w:t> </w:t>
      </w:r>
      <w:r w:rsidRPr="004F5ACA">
        <w:rPr>
          <w:rFonts w:ascii="Marianne Light" w:hAnsi="Marianne Light" w:cs="Arial"/>
          <w:sz w:val="18"/>
        </w:rPr>
        <w:t>:</w:t>
      </w:r>
    </w:p>
    <w:p w14:paraId="3C189141" w14:textId="2A596AEB" w:rsidR="004F5ACA" w:rsidRPr="004F5ACA" w:rsidRDefault="004F5ACA" w:rsidP="0065013A">
      <w:pPr>
        <w:pStyle w:val="Pucenoir"/>
        <w:ind w:left="426" w:hanging="207"/>
        <w:jc w:val="both"/>
      </w:pPr>
      <w:r w:rsidRPr="004F5ACA">
        <w:t xml:space="preserve">Augmenter les flux </w:t>
      </w:r>
      <w:r w:rsidR="00AB64C6" w:rsidRPr="004F5ACA">
        <w:t>réemployés-</w:t>
      </w:r>
      <w:r w:rsidRPr="004F5ACA">
        <w:t>réutilisés</w:t>
      </w:r>
      <w:r w:rsidR="00F961E6">
        <w:t xml:space="preserve">-réparés </w:t>
      </w:r>
      <w:r w:rsidR="00F961E6" w:rsidRPr="000E7CD9">
        <w:rPr>
          <w:rFonts w:eastAsiaTheme="minorEastAsia" w:cs="Arial"/>
        </w:rPr>
        <w:t xml:space="preserve">à remettre sur le marché et </w:t>
      </w:r>
      <w:r w:rsidR="000802B2" w:rsidRPr="00A977A8">
        <w:rPr>
          <w:rFonts w:eastAsiaTheme="minorEastAsia" w:cs="Arial"/>
          <w:u w:val="single"/>
        </w:rPr>
        <w:t>encourage</w:t>
      </w:r>
      <w:r w:rsidR="00A00976">
        <w:rPr>
          <w:rFonts w:eastAsiaTheme="minorEastAsia" w:cs="Arial"/>
          <w:u w:val="single"/>
        </w:rPr>
        <w:t>r</w:t>
      </w:r>
      <w:r w:rsidR="00F961E6" w:rsidRPr="00A977A8">
        <w:rPr>
          <w:rFonts w:eastAsiaTheme="minorEastAsia" w:cs="Arial"/>
          <w:u w:val="single"/>
        </w:rPr>
        <w:t xml:space="preserve"> la demande</w:t>
      </w:r>
      <w:r w:rsidRPr="004F5ACA">
        <w:t xml:space="preserve"> grâce</w:t>
      </w:r>
      <w:r w:rsidRPr="004F5ACA">
        <w:rPr>
          <w:rFonts w:ascii="Calibri" w:hAnsi="Calibri" w:cs="Calibri"/>
        </w:rPr>
        <w:t> </w:t>
      </w:r>
      <w:r w:rsidRPr="004F5ACA">
        <w:t>:</w:t>
      </w:r>
    </w:p>
    <w:p w14:paraId="15892D27" w14:textId="154E9A87" w:rsidR="004F5ACA" w:rsidRDefault="0054158C" w:rsidP="0065013A">
      <w:pPr>
        <w:pStyle w:val="Pucerond"/>
        <w:ind w:left="851" w:hanging="199"/>
        <w:jc w:val="both"/>
      </w:pPr>
      <w:r>
        <w:t>A</w:t>
      </w:r>
      <w:r w:rsidR="004F5ACA" w:rsidRPr="004F5ACA">
        <w:t>u développement des éq</w:t>
      </w:r>
      <w:r w:rsidR="00546DFB">
        <w:t>uipements et structures dédiés</w:t>
      </w:r>
      <w:r w:rsidR="00F71F87">
        <w:t xml:space="preserve"> dans </w:t>
      </w:r>
      <w:r w:rsidR="00422BD7">
        <w:t xml:space="preserve">une bonne articulation territoriale avec l’ensemble des parties prenantes </w:t>
      </w:r>
      <w:r w:rsidR="00F35C25">
        <w:t xml:space="preserve">(les collectivités, </w:t>
      </w:r>
      <w:r w:rsidR="00363207">
        <w:t xml:space="preserve">les réseaux relais, </w:t>
      </w:r>
      <w:r w:rsidR="00F35C25">
        <w:t>les structures existantes, les éco-organismes</w:t>
      </w:r>
      <w:r w:rsidR="00363207">
        <w:t>, le tissu économique local)</w:t>
      </w:r>
      <w:r w:rsidR="00546DFB">
        <w:rPr>
          <w:rFonts w:ascii="Calibri" w:hAnsi="Calibri" w:cs="Calibri"/>
        </w:rPr>
        <w:t> </w:t>
      </w:r>
      <w:r w:rsidR="00546DFB">
        <w:t>;</w:t>
      </w:r>
    </w:p>
    <w:p w14:paraId="44C9FAFC" w14:textId="04B4231C" w:rsidR="007C5721" w:rsidRPr="004F5ACA" w:rsidRDefault="007C5721" w:rsidP="0065013A">
      <w:pPr>
        <w:pStyle w:val="Pucerond"/>
        <w:ind w:left="851" w:hanging="199"/>
        <w:jc w:val="both"/>
      </w:pPr>
      <w:r>
        <w:t xml:space="preserve">A la facilitation </w:t>
      </w:r>
      <w:r w:rsidR="00400790">
        <w:t xml:space="preserve">pour accéder </w:t>
      </w:r>
      <w:r w:rsidR="00F0344B">
        <w:t>à des gisements de</w:t>
      </w:r>
      <w:r w:rsidR="00400790">
        <w:t xml:space="preserve"> 2</w:t>
      </w:r>
      <w:r w:rsidR="00400790" w:rsidRPr="00400790">
        <w:rPr>
          <w:vertAlign w:val="superscript"/>
        </w:rPr>
        <w:t>nd</w:t>
      </w:r>
      <w:r w:rsidR="000152A1">
        <w:rPr>
          <w:vertAlign w:val="superscript"/>
        </w:rPr>
        <w:t>e</w:t>
      </w:r>
      <w:r w:rsidR="00400790">
        <w:t xml:space="preserve"> main </w:t>
      </w:r>
      <w:r w:rsidR="00F0344B">
        <w:t xml:space="preserve">de qualité </w:t>
      </w:r>
      <w:r w:rsidR="00400790">
        <w:t xml:space="preserve">et les mettre </w:t>
      </w:r>
      <w:r w:rsidR="00F0344B">
        <w:t xml:space="preserve">en œuvre </w:t>
      </w:r>
      <w:r w:rsidR="00EC71CC">
        <w:t>(pour les entreprises et professionnels, les collectivités, les particuliers)</w:t>
      </w:r>
      <w:r w:rsidR="00EC71CC">
        <w:rPr>
          <w:rFonts w:ascii="Calibri" w:hAnsi="Calibri" w:cs="Calibri"/>
        </w:rPr>
        <w:t> </w:t>
      </w:r>
      <w:r w:rsidR="00EC71CC">
        <w:t>;</w:t>
      </w:r>
    </w:p>
    <w:p w14:paraId="4A95F008" w14:textId="223D505A" w:rsidR="004F5ACA" w:rsidRPr="004F5ACA" w:rsidRDefault="0054158C" w:rsidP="0065013A">
      <w:pPr>
        <w:pStyle w:val="Pucerond"/>
        <w:ind w:left="851" w:hanging="199"/>
        <w:jc w:val="both"/>
      </w:pPr>
      <w:r w:rsidRPr="004F5ACA">
        <w:t>À</w:t>
      </w:r>
      <w:r w:rsidR="004F5ACA" w:rsidRPr="004F5ACA">
        <w:t xml:space="preserve"> une meilleure visibilité de ces structures auprès du grand public, des collectivités, des</w:t>
      </w:r>
      <w:r w:rsidR="001B0B76">
        <w:t xml:space="preserve"> entreprises dont les </w:t>
      </w:r>
      <w:r w:rsidR="004F5ACA" w:rsidRPr="004F5ACA">
        <w:t>TPE</w:t>
      </w:r>
      <w:r w:rsidR="001B0B76">
        <w:t>/PME</w:t>
      </w:r>
      <w:r w:rsidR="004F5ACA" w:rsidRPr="004F5ACA">
        <w:t>, des relais (chambres de m</w:t>
      </w:r>
      <w:r w:rsidR="00546DFB">
        <w:t>étiers, associations notamment).</w:t>
      </w:r>
    </w:p>
    <w:p w14:paraId="75264BF4" w14:textId="6CFC7DB8" w:rsidR="004F5ACA" w:rsidRDefault="004F5ACA" w:rsidP="0065013A">
      <w:pPr>
        <w:pStyle w:val="Pucenoir"/>
        <w:ind w:left="426" w:hanging="199"/>
        <w:jc w:val="both"/>
      </w:pPr>
      <w:r w:rsidRPr="004F5ACA">
        <w:t>Développer la professionnalisation des acteurs et des structures</w:t>
      </w:r>
      <w:r w:rsidR="007C5B98">
        <w:t xml:space="preserve"> et pérenniser les modèles économiques </w:t>
      </w:r>
      <w:r w:rsidRPr="004F5ACA">
        <w:t>(</w:t>
      </w:r>
      <w:r w:rsidR="005049B6">
        <w:t>captage de nouveaux gisements, nouveaux modèles d’offre</w:t>
      </w:r>
      <w:r w:rsidR="005049B6" w:rsidRPr="004F5ACA">
        <w:t xml:space="preserve">, </w:t>
      </w:r>
      <w:r w:rsidR="005049B6">
        <w:t>montée en compétences sur des flux spécifiques,</w:t>
      </w:r>
      <w:r w:rsidR="005049B6" w:rsidRPr="004F5ACA">
        <w:t xml:space="preserve"> démarches qualité-traçabilité</w:t>
      </w:r>
      <w:r w:rsidR="005049B6">
        <w:t>, etc.</w:t>
      </w:r>
      <w:r w:rsidRPr="004F5ACA">
        <w:t>).</w:t>
      </w:r>
    </w:p>
    <w:tbl>
      <w:tblPr>
        <w:tblStyle w:val="Grilledutableau"/>
        <w:tblW w:w="0" w:type="auto"/>
        <w:jc w:val="center"/>
        <w:tblLook w:val="04A0" w:firstRow="1" w:lastRow="0" w:firstColumn="1" w:lastColumn="0" w:noHBand="0" w:noVBand="1"/>
      </w:tblPr>
      <w:tblGrid>
        <w:gridCol w:w="9060"/>
      </w:tblGrid>
      <w:tr w:rsidR="005A0D8F" w14:paraId="4E0239C9" w14:textId="77777777" w:rsidTr="003E0DE8">
        <w:trPr>
          <w:jc w:val="center"/>
        </w:trPr>
        <w:tc>
          <w:tcPr>
            <w:tcW w:w="9060" w:type="dxa"/>
          </w:tcPr>
          <w:p w14:paraId="7A8C7C73" w14:textId="2911BF21" w:rsidR="005A0D8F" w:rsidRDefault="00917CCD" w:rsidP="005A0D8F">
            <w:pPr>
              <w:pStyle w:val="Pucenoir"/>
              <w:numPr>
                <w:ilvl w:val="0"/>
                <w:numId w:val="0"/>
              </w:numPr>
              <w:spacing w:before="240"/>
            </w:pPr>
            <w:r w:rsidRPr="00716BFC">
              <w:rPr>
                <w:noProof/>
                <w:u w:val="single"/>
              </w:rPr>
              <w:lastRenderedPageBreak/>
              <w:drawing>
                <wp:anchor distT="0" distB="0" distL="114300" distR="114300" simplePos="0" relativeHeight="251664386" behindDoc="0" locked="0" layoutInCell="1" allowOverlap="1" wp14:anchorId="28DE16DA" wp14:editId="3F7D8967">
                  <wp:simplePos x="0" y="0"/>
                  <wp:positionH relativeFrom="margin">
                    <wp:posOffset>-6350</wp:posOffset>
                  </wp:positionH>
                  <wp:positionV relativeFrom="paragraph">
                    <wp:posOffset>58420</wp:posOffset>
                  </wp:positionV>
                  <wp:extent cx="624840" cy="555625"/>
                  <wp:effectExtent l="0" t="0" r="3810" b="0"/>
                  <wp:wrapThrough wrapText="bothSides">
                    <wp:wrapPolygon edited="0">
                      <wp:start x="0" y="0"/>
                      <wp:lineTo x="0" y="20736"/>
                      <wp:lineTo x="21073" y="20736"/>
                      <wp:lineTo x="21073" y="0"/>
                      <wp:lineTo x="0" y="0"/>
                    </wp:wrapPolygon>
                  </wp:wrapThrough>
                  <wp:docPr id="1893892536" name="Image 1" descr="The Cost of Missing the December 1st FLSA Deadline in Business and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st of Missing the December 1st FLSA Deadline in Business and a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8F3D09" w14:textId="77777777" w:rsidR="005A0D8F" w:rsidRDefault="005A0D8F" w:rsidP="00917CCD">
            <w:pPr>
              <w:pStyle w:val="Pucenoir"/>
              <w:numPr>
                <w:ilvl w:val="0"/>
                <w:numId w:val="0"/>
              </w:numPr>
              <w:ind w:left="1168"/>
              <w:jc w:val="both"/>
            </w:pPr>
            <w:r>
              <w:t>* IMPORTANT A NOTER</w:t>
            </w:r>
            <w:r>
              <w:rPr>
                <w:rFonts w:ascii="Calibri" w:hAnsi="Calibri" w:cs="Calibri"/>
              </w:rPr>
              <w:t> </w:t>
            </w:r>
            <w:r>
              <w:t xml:space="preserve">: </w:t>
            </w:r>
            <w:r w:rsidRPr="00706F30">
              <w:t xml:space="preserve">Le caractère </w:t>
            </w:r>
            <w:r>
              <w:t>«</w:t>
            </w:r>
            <w:r>
              <w:rPr>
                <w:rFonts w:ascii="Calibri" w:hAnsi="Calibri" w:cs="Calibri"/>
              </w:rPr>
              <w:t> </w:t>
            </w:r>
            <w:r w:rsidRPr="00706F30">
              <w:t>vertueux</w:t>
            </w:r>
            <w:r>
              <w:rPr>
                <w:rFonts w:ascii="Calibri" w:hAnsi="Calibri" w:cs="Calibri"/>
              </w:rPr>
              <w:t> </w:t>
            </w:r>
            <w:r>
              <w:rPr>
                <w:rFonts w:cs="Marianne Light"/>
              </w:rPr>
              <w:t>» attendu par l’ADEME pour les activités de</w:t>
            </w:r>
            <w:r w:rsidRPr="00706F30">
              <w:t xml:space="preserve"> la 2</w:t>
            </w:r>
            <w:r w:rsidRPr="00706F30">
              <w:rPr>
                <w:vertAlign w:val="superscript"/>
              </w:rPr>
              <w:t>nde</w:t>
            </w:r>
            <w:r>
              <w:t xml:space="preserve"> </w:t>
            </w:r>
            <w:r w:rsidRPr="00706F30">
              <w:t xml:space="preserve">vie des produits et </w:t>
            </w:r>
            <w:r>
              <w:t xml:space="preserve">leur </w:t>
            </w:r>
            <w:r w:rsidRPr="00706F30">
              <w:t>objectif originel dans la boucle d’économie circulaire</w:t>
            </w:r>
            <w:r>
              <w:t xml:space="preserve"> doit consister à</w:t>
            </w:r>
            <w:r>
              <w:rPr>
                <w:rFonts w:ascii="Calibri" w:hAnsi="Calibri" w:cs="Calibri"/>
              </w:rPr>
              <w:t> </w:t>
            </w:r>
            <w:r>
              <w:t>:</w:t>
            </w:r>
          </w:p>
          <w:p w14:paraId="64258CCF" w14:textId="77777777" w:rsidR="005A0D8F" w:rsidRDefault="005A0D8F" w:rsidP="005A0D8F">
            <w:pPr>
              <w:pStyle w:val="Pucenoir"/>
              <w:numPr>
                <w:ilvl w:val="0"/>
                <w:numId w:val="0"/>
              </w:numPr>
            </w:pPr>
          </w:p>
          <w:p w14:paraId="0F97DBDC" w14:textId="77777777" w:rsidR="005A0D8F" w:rsidRDefault="005A0D8F" w:rsidP="005A0D8F">
            <w:pPr>
              <w:pStyle w:val="Pucenoir"/>
              <w:numPr>
                <w:ilvl w:val="0"/>
                <w:numId w:val="20"/>
              </w:numPr>
              <w:jc w:val="both"/>
            </w:pPr>
            <w:r w:rsidRPr="00706F30">
              <w:t>Allonger la durée d’usage/de vie des produits (y compris chez leur propriétaire initial)</w:t>
            </w:r>
            <w:r>
              <w:t xml:space="preserve"> dont on considère qu’ils ont au moins atteints une durée d’usage initiale «</w:t>
            </w:r>
            <w:r w:rsidRPr="00D901FF">
              <w:rPr>
                <w:rFonts w:ascii="Calibri" w:hAnsi="Calibri" w:cs="Calibri"/>
              </w:rPr>
              <w:t> </w:t>
            </w:r>
            <w:r>
              <w:t>normale</w:t>
            </w:r>
            <w:r w:rsidRPr="00D901FF">
              <w:rPr>
                <w:rFonts w:ascii="Calibri" w:hAnsi="Calibri" w:cs="Calibri"/>
              </w:rPr>
              <w:t> </w:t>
            </w:r>
            <w:r w:rsidRPr="00D901FF">
              <w:rPr>
                <w:rFonts w:cs="Marianne Light"/>
              </w:rPr>
              <w:t>»</w:t>
            </w:r>
            <w:r w:rsidRPr="00D901FF">
              <w:rPr>
                <w:rFonts w:ascii="Calibri" w:hAnsi="Calibri" w:cs="Calibri"/>
              </w:rPr>
              <w:t> </w:t>
            </w:r>
            <w:r>
              <w:t>;</w:t>
            </w:r>
          </w:p>
          <w:p w14:paraId="4FDA47A9" w14:textId="77777777" w:rsidR="005A0D8F" w:rsidRDefault="005A0D8F" w:rsidP="005A0D8F">
            <w:pPr>
              <w:pStyle w:val="Pucenoir"/>
              <w:numPr>
                <w:ilvl w:val="0"/>
                <w:numId w:val="20"/>
              </w:numPr>
              <w:jc w:val="both"/>
            </w:pPr>
            <w:r w:rsidRPr="00706F30">
              <w:t>Cibler prioritairement la 2</w:t>
            </w:r>
            <w:r w:rsidRPr="00D901FF">
              <w:rPr>
                <w:vertAlign w:val="superscript"/>
              </w:rPr>
              <w:t>nde</w:t>
            </w:r>
            <w:r>
              <w:t xml:space="preserve"> </w:t>
            </w:r>
            <w:r w:rsidRPr="00706F30">
              <w:t xml:space="preserve">vie des produits </w:t>
            </w:r>
            <w:r>
              <w:t>qui seraient sinon «</w:t>
            </w:r>
            <w:r w:rsidRPr="00D901FF">
              <w:rPr>
                <w:rFonts w:ascii="Calibri" w:hAnsi="Calibri" w:cs="Calibri"/>
              </w:rPr>
              <w:t> </w:t>
            </w:r>
            <w:r w:rsidRPr="00706F30">
              <w:t>jetés à la benne</w:t>
            </w:r>
            <w:r w:rsidRPr="00D901FF">
              <w:rPr>
                <w:rFonts w:ascii="Calibri" w:hAnsi="Calibri" w:cs="Calibri"/>
              </w:rPr>
              <w:t> </w:t>
            </w:r>
            <w:r w:rsidRPr="00D901FF">
              <w:rPr>
                <w:rFonts w:cs="Marianne Light"/>
              </w:rPr>
              <w:t>»</w:t>
            </w:r>
            <w:r w:rsidRPr="00706F30">
              <w:t xml:space="preserve"> ou nécessitant une réelle intervention de remise en état pour trouver une nouvelle vie</w:t>
            </w:r>
            <w:r w:rsidRPr="00D901FF">
              <w:rPr>
                <w:rFonts w:ascii="Calibri" w:hAnsi="Calibri" w:cs="Calibri"/>
              </w:rPr>
              <w:t> </w:t>
            </w:r>
            <w:r>
              <w:t>;</w:t>
            </w:r>
          </w:p>
          <w:p w14:paraId="03FBF5D7" w14:textId="77777777" w:rsidR="005A0D8F" w:rsidRDefault="005A0D8F" w:rsidP="005A0D8F">
            <w:pPr>
              <w:pStyle w:val="Pucenoir"/>
              <w:numPr>
                <w:ilvl w:val="0"/>
                <w:numId w:val="20"/>
              </w:numPr>
              <w:jc w:val="both"/>
            </w:pPr>
            <w:r>
              <w:t>L</w:t>
            </w:r>
            <w:r w:rsidRPr="00706F30">
              <w:t>utter contre les pratiques de gaspillage et les modèles incitant à des comportements de consommation « déviants » y compris la surconsommation et la fast fashion de biens et produits de seconde main</w:t>
            </w:r>
            <w:r>
              <w:t>.</w:t>
            </w:r>
          </w:p>
          <w:p w14:paraId="55989D63" w14:textId="77777777" w:rsidR="002054CD" w:rsidRDefault="002054CD" w:rsidP="005A0D8F">
            <w:pPr>
              <w:pStyle w:val="Pucenoir"/>
              <w:numPr>
                <w:ilvl w:val="0"/>
                <w:numId w:val="0"/>
              </w:numPr>
              <w:jc w:val="both"/>
            </w:pPr>
          </w:p>
          <w:p w14:paraId="7412EB9B" w14:textId="630F1B56" w:rsidR="005A0D8F" w:rsidRDefault="005A0D8F" w:rsidP="005A0D8F">
            <w:pPr>
              <w:pStyle w:val="Pucenoir"/>
              <w:numPr>
                <w:ilvl w:val="0"/>
                <w:numId w:val="0"/>
              </w:numPr>
              <w:jc w:val="both"/>
            </w:pPr>
            <w:r>
              <w:t>En ce sens, la 2</w:t>
            </w:r>
            <w:r w:rsidRPr="00E60E04">
              <w:rPr>
                <w:vertAlign w:val="superscript"/>
              </w:rPr>
              <w:t>nde</w:t>
            </w:r>
            <w:r>
              <w:t xml:space="preserve"> vie est donc à différencier du simple marché classique de l’occasion et l’ADEME est vigilante sur la prise en compte, dans les projets et initiatives, des facteurs-clés suivants</w:t>
            </w:r>
            <w:r>
              <w:rPr>
                <w:rFonts w:ascii="Calibri" w:hAnsi="Calibri" w:cs="Calibri"/>
              </w:rPr>
              <w:t> </w:t>
            </w:r>
            <w:r>
              <w:t>:</w:t>
            </w:r>
          </w:p>
          <w:p w14:paraId="14E5837C" w14:textId="77777777" w:rsidR="005A0D8F" w:rsidRDefault="005A0D8F" w:rsidP="005A0D8F">
            <w:pPr>
              <w:pStyle w:val="Pucenoir"/>
              <w:numPr>
                <w:ilvl w:val="0"/>
                <w:numId w:val="21"/>
              </w:numPr>
              <w:jc w:val="both"/>
            </w:pPr>
            <w:r>
              <w:t>Ne pas créer un phénomène d’appel d’air sur des produits incitant à du turn-over et du renouvellement fréquent (ex</w:t>
            </w:r>
            <w:r>
              <w:rPr>
                <w:rFonts w:ascii="Calibri" w:hAnsi="Calibri" w:cs="Calibri"/>
              </w:rPr>
              <w:t> </w:t>
            </w:r>
            <w:r>
              <w:t>: reprise gratuite, collecte en échange d’un bon d’achat)</w:t>
            </w:r>
            <w:r>
              <w:rPr>
                <w:rFonts w:ascii="Calibri" w:hAnsi="Calibri" w:cs="Calibri"/>
              </w:rPr>
              <w:t> </w:t>
            </w:r>
            <w:r>
              <w:t>;</w:t>
            </w:r>
          </w:p>
          <w:p w14:paraId="43F1EE5C" w14:textId="77777777" w:rsidR="005A0D8F" w:rsidRDefault="005A0D8F" w:rsidP="005A0D8F">
            <w:pPr>
              <w:pStyle w:val="Pucenoir"/>
              <w:numPr>
                <w:ilvl w:val="0"/>
                <w:numId w:val="21"/>
              </w:numPr>
              <w:jc w:val="both"/>
            </w:pPr>
            <w:r>
              <w:t>Ne pas s’intéresser qu’à la captation de «</w:t>
            </w:r>
            <w:r>
              <w:rPr>
                <w:rFonts w:ascii="Calibri" w:hAnsi="Calibri" w:cs="Calibri"/>
              </w:rPr>
              <w:t> </w:t>
            </w:r>
            <w:r>
              <w:t>la crème</w:t>
            </w:r>
            <w:r>
              <w:rPr>
                <w:rFonts w:ascii="Calibri" w:hAnsi="Calibri" w:cs="Calibri"/>
              </w:rPr>
              <w:t> </w:t>
            </w:r>
            <w:r>
              <w:rPr>
                <w:rFonts w:cs="Marianne Light"/>
              </w:rPr>
              <w:t>»</w:t>
            </w:r>
            <w:r>
              <w:t xml:space="preserve"> (les gisements les plus qualitatifs d’une catégorie de produits)</w:t>
            </w:r>
            <w:r>
              <w:rPr>
                <w:rFonts w:ascii="Calibri" w:hAnsi="Calibri" w:cs="Calibri"/>
              </w:rPr>
              <w:t> </w:t>
            </w:r>
            <w:r>
              <w:t>;</w:t>
            </w:r>
          </w:p>
          <w:p w14:paraId="512D32C9" w14:textId="32BE0817" w:rsidR="005A0D8F" w:rsidRDefault="005A0D8F" w:rsidP="003E0DE8">
            <w:pPr>
              <w:pStyle w:val="Pucenoir"/>
              <w:numPr>
                <w:ilvl w:val="0"/>
                <w:numId w:val="21"/>
              </w:numPr>
              <w:jc w:val="both"/>
            </w:pPr>
            <w:r>
              <w:t>Eviter la monétisation à outrance des gisements amont pour la 2</w:t>
            </w:r>
            <w:r w:rsidRPr="00D670AC">
              <w:rPr>
                <w:vertAlign w:val="superscript"/>
              </w:rPr>
              <w:t>nde</w:t>
            </w:r>
            <w:r>
              <w:t xml:space="preserve"> main (le rachat de produits) qui </w:t>
            </w:r>
            <w:r w:rsidRPr="001C6475">
              <w:t>incite à du turn-over de biens plus fréquemment et pour des produits en pleine durée d’usage n’étant pas en fin de vie et ne nécessitant pas forcément de remplacement</w:t>
            </w:r>
            <w:r>
              <w:t>.</w:t>
            </w:r>
          </w:p>
        </w:tc>
      </w:tr>
    </w:tbl>
    <w:p w14:paraId="58EFE4FF" w14:textId="77777777" w:rsidR="005A0D8F" w:rsidRDefault="005A0D8F" w:rsidP="00F65B9A">
      <w:pPr>
        <w:pStyle w:val="Pucenoir"/>
        <w:numPr>
          <w:ilvl w:val="0"/>
          <w:numId w:val="0"/>
        </w:numPr>
        <w:jc w:val="both"/>
      </w:pPr>
    </w:p>
    <w:p w14:paraId="65BEB5FB" w14:textId="3CDAFD59" w:rsidR="00160814" w:rsidRDefault="00160814" w:rsidP="0065013A">
      <w:pPr>
        <w:pStyle w:val="Titre2"/>
        <w:jc w:val="both"/>
      </w:pPr>
      <w:r>
        <w:t xml:space="preserve">Définitions </w:t>
      </w:r>
      <w:r w:rsidR="000C0967">
        <w:t>retenues pour l’instruction des projets</w:t>
      </w:r>
      <w:r w:rsidR="00932040">
        <w:t xml:space="preserve"> concernant les activités spécifiques suivantes</w:t>
      </w:r>
    </w:p>
    <w:p w14:paraId="0CE67376" w14:textId="33FD7CAC" w:rsidR="00942A0B" w:rsidRPr="00942A0B" w:rsidRDefault="00942A0B" w:rsidP="0065013A">
      <w:pPr>
        <w:pStyle w:val="Pucenoir"/>
        <w:numPr>
          <w:ilvl w:val="0"/>
          <w:numId w:val="13"/>
        </w:numPr>
        <w:ind w:left="284" w:hanging="284"/>
        <w:jc w:val="both"/>
      </w:pPr>
      <w:r w:rsidRPr="00942A0B">
        <w:rPr>
          <w:b/>
          <w:bCs/>
        </w:rPr>
        <w:t>Pour une activité de reconditionnement</w:t>
      </w:r>
      <w:r w:rsidRPr="00942A0B">
        <w:rPr>
          <w:rFonts w:ascii="Calibri" w:hAnsi="Calibri" w:cs="Calibri"/>
        </w:rPr>
        <w:t> </w:t>
      </w:r>
      <w:r w:rsidRPr="00942A0B">
        <w:t>:</w:t>
      </w:r>
    </w:p>
    <w:p w14:paraId="1CEB7249" w14:textId="4F4777DD" w:rsidR="00056959" w:rsidRPr="000C06FB" w:rsidRDefault="00056959" w:rsidP="0065013A">
      <w:pPr>
        <w:pStyle w:val="Pucenoir"/>
        <w:numPr>
          <w:ilvl w:val="0"/>
          <w:numId w:val="0"/>
        </w:numPr>
        <w:ind w:left="426"/>
        <w:jc w:val="both"/>
        <w:rPr>
          <w:i/>
          <w:iCs/>
        </w:rPr>
      </w:pPr>
      <w:r w:rsidRPr="00D86ED2">
        <w:rPr>
          <w:b/>
          <w:bCs/>
        </w:rPr>
        <w:t>Produit reconditionné (définition légiférée par décret du 17 février 2022)</w:t>
      </w:r>
      <w:r w:rsidR="00D86ED2">
        <w:rPr>
          <w:rFonts w:ascii="Calibri" w:hAnsi="Calibri" w:cs="Calibri"/>
        </w:rPr>
        <w:t> </w:t>
      </w:r>
      <w:r w:rsidR="00D86ED2">
        <w:t>:</w:t>
      </w:r>
      <w:r>
        <w:t xml:space="preserve"> </w:t>
      </w:r>
      <w:r w:rsidR="00D86ED2" w:rsidRPr="000C06FB">
        <w:rPr>
          <w:i/>
          <w:iCs/>
        </w:rPr>
        <w:t>«</w:t>
      </w:r>
      <w:r w:rsidR="00D86ED2" w:rsidRPr="000C06FB">
        <w:rPr>
          <w:rFonts w:ascii="Calibri" w:hAnsi="Calibri" w:cs="Calibri"/>
          <w:i/>
          <w:iCs/>
        </w:rPr>
        <w:t> </w:t>
      </w:r>
      <w:r w:rsidRPr="000C06FB">
        <w:rPr>
          <w:i/>
          <w:iCs/>
        </w:rPr>
        <w:t xml:space="preserve">Un produit ou une pièce détachée d'occasion, au sens de l'article L. 321-1 du </w:t>
      </w:r>
      <w:r w:rsidR="00AC26F0">
        <w:rPr>
          <w:i/>
          <w:iCs/>
        </w:rPr>
        <w:t>C</w:t>
      </w:r>
      <w:r w:rsidRPr="000C06FB">
        <w:rPr>
          <w:i/>
          <w:iCs/>
        </w:rPr>
        <w:t xml:space="preserve">ode de commerce, peut être qualifié de </w:t>
      </w:r>
      <w:r w:rsidR="00D00FC7" w:rsidRPr="000C06FB">
        <w:rPr>
          <w:i/>
          <w:iCs/>
        </w:rPr>
        <w:t>«</w:t>
      </w:r>
      <w:r w:rsidR="00D00FC7" w:rsidRPr="000C06FB">
        <w:rPr>
          <w:rFonts w:ascii="Calibri" w:hAnsi="Calibri" w:cs="Calibri"/>
          <w:i/>
          <w:iCs/>
        </w:rPr>
        <w:t> </w:t>
      </w:r>
      <w:r w:rsidRPr="000C06FB">
        <w:rPr>
          <w:i/>
          <w:iCs/>
        </w:rPr>
        <w:t>produit reconditionné</w:t>
      </w:r>
      <w:r w:rsidR="00D00FC7" w:rsidRPr="000C06FB">
        <w:rPr>
          <w:rFonts w:ascii="Calibri" w:hAnsi="Calibri" w:cs="Calibri"/>
          <w:i/>
          <w:iCs/>
        </w:rPr>
        <w:t> </w:t>
      </w:r>
      <w:r w:rsidR="00D00FC7" w:rsidRPr="000C06FB">
        <w:rPr>
          <w:rFonts w:cs="Marianne Light"/>
          <w:i/>
          <w:iCs/>
        </w:rPr>
        <w:t>»</w:t>
      </w:r>
      <w:r w:rsidRPr="000C06FB">
        <w:rPr>
          <w:i/>
          <w:iCs/>
        </w:rPr>
        <w:t xml:space="preserve"> ou être accompagné du terme </w:t>
      </w:r>
      <w:r w:rsidR="00D00FC7" w:rsidRPr="000C06FB">
        <w:rPr>
          <w:i/>
          <w:iCs/>
        </w:rPr>
        <w:t>«</w:t>
      </w:r>
      <w:r w:rsidR="00D00FC7" w:rsidRPr="000C06FB">
        <w:rPr>
          <w:rFonts w:ascii="Calibri" w:hAnsi="Calibri" w:cs="Calibri"/>
          <w:i/>
          <w:iCs/>
        </w:rPr>
        <w:t> </w:t>
      </w:r>
      <w:r w:rsidRPr="000C06FB">
        <w:rPr>
          <w:i/>
          <w:iCs/>
        </w:rPr>
        <w:t>reconditionné</w:t>
      </w:r>
      <w:r w:rsidR="00D00FC7" w:rsidRPr="000C06FB">
        <w:rPr>
          <w:rFonts w:ascii="Calibri" w:hAnsi="Calibri" w:cs="Calibri"/>
          <w:i/>
          <w:iCs/>
        </w:rPr>
        <w:t> </w:t>
      </w:r>
      <w:r w:rsidR="00D00FC7" w:rsidRPr="000C06FB">
        <w:rPr>
          <w:rFonts w:cs="Marianne Light"/>
          <w:i/>
          <w:iCs/>
        </w:rPr>
        <w:t>»</w:t>
      </w:r>
      <w:r w:rsidRPr="000C06FB">
        <w:rPr>
          <w:i/>
          <w:iCs/>
        </w:rPr>
        <w:t>, dès lors que les conditions suivantes sont réuni</w:t>
      </w:r>
      <w:r w:rsidR="00943E87">
        <w:rPr>
          <w:i/>
          <w:iCs/>
        </w:rPr>
        <w:t>es</w:t>
      </w:r>
      <w:r w:rsidR="00943E87">
        <w:rPr>
          <w:rFonts w:ascii="Calibri" w:hAnsi="Calibri" w:cs="Calibri"/>
          <w:i/>
          <w:iCs/>
        </w:rPr>
        <w:t> </w:t>
      </w:r>
      <w:r w:rsidR="00943E87">
        <w:rPr>
          <w:i/>
          <w:iCs/>
        </w:rPr>
        <w:t>:</w:t>
      </w:r>
    </w:p>
    <w:p w14:paraId="0F8C2274" w14:textId="4B0628F4" w:rsidR="00056959" w:rsidRPr="000C06FB" w:rsidRDefault="00056959" w:rsidP="0065013A">
      <w:pPr>
        <w:pStyle w:val="Pucenoir"/>
        <w:numPr>
          <w:ilvl w:val="0"/>
          <w:numId w:val="0"/>
        </w:numPr>
        <w:ind w:left="567" w:hanging="142"/>
        <w:jc w:val="both"/>
        <w:rPr>
          <w:i/>
          <w:iCs/>
        </w:rPr>
      </w:pPr>
      <w:r w:rsidRPr="000C06FB">
        <w:rPr>
          <w:i/>
          <w:iCs/>
        </w:rPr>
        <w:t>1°</w:t>
      </w:r>
      <w:r w:rsidR="00AC26F0">
        <w:rPr>
          <w:i/>
          <w:iCs/>
        </w:rPr>
        <w:t>/</w:t>
      </w:r>
      <w:r w:rsidRPr="000C06FB">
        <w:rPr>
          <w:i/>
          <w:iCs/>
        </w:rPr>
        <w:t xml:space="preserve"> Le produit ou la pièce détachée </w:t>
      </w:r>
      <w:r w:rsidRPr="000C06FB">
        <w:rPr>
          <w:b/>
          <w:bCs/>
          <w:i/>
          <w:iCs/>
        </w:rPr>
        <w:t>a subi des tests portant sur toutes ses fonctionnalités</w:t>
      </w:r>
      <w:r w:rsidRPr="000C06FB">
        <w:rPr>
          <w:i/>
          <w:iCs/>
        </w:rPr>
        <w:t xml:space="preserve"> afin d'établir qu'il répond aux obligations légales de sécurité et à l'usage auquel le consommateur peut légitimement s'attendre</w:t>
      </w:r>
      <w:r w:rsidR="00441C13">
        <w:rPr>
          <w:rFonts w:ascii="Calibri" w:hAnsi="Calibri" w:cs="Calibri"/>
          <w:i/>
          <w:iCs/>
        </w:rPr>
        <w:t> </w:t>
      </w:r>
      <w:r w:rsidR="00441C13">
        <w:rPr>
          <w:i/>
          <w:iCs/>
        </w:rPr>
        <w:t>;</w:t>
      </w:r>
    </w:p>
    <w:p w14:paraId="0E127E02" w14:textId="707AB99C" w:rsidR="00056959" w:rsidRDefault="00056959" w:rsidP="0065013A">
      <w:pPr>
        <w:pStyle w:val="Pucenoir"/>
        <w:numPr>
          <w:ilvl w:val="0"/>
          <w:numId w:val="0"/>
        </w:numPr>
        <w:ind w:left="567" w:hanging="142"/>
        <w:jc w:val="both"/>
      </w:pPr>
      <w:r w:rsidRPr="000C06FB">
        <w:rPr>
          <w:i/>
          <w:iCs/>
        </w:rPr>
        <w:t>2°</w:t>
      </w:r>
      <w:r w:rsidR="00AC26F0">
        <w:rPr>
          <w:i/>
          <w:iCs/>
        </w:rPr>
        <w:t>/</w:t>
      </w:r>
      <w:r w:rsidRPr="000C06FB">
        <w:rPr>
          <w:i/>
          <w:iCs/>
        </w:rPr>
        <w:t xml:space="preserve"> S'il y avait lieu, le produit ou la pièce détachée </w:t>
      </w:r>
      <w:r w:rsidRPr="000C06FB">
        <w:rPr>
          <w:b/>
          <w:bCs/>
          <w:i/>
          <w:iCs/>
        </w:rPr>
        <w:t>a subi une ou plusieurs interventions afin de lui restituer ses fonctionnalités</w:t>
      </w:r>
      <w:r w:rsidRPr="000C06FB">
        <w:rPr>
          <w:i/>
          <w:iCs/>
        </w:rPr>
        <w:t>. Cette intervention inclut la suppression de toutes les données enregistrées ou conservées en lien avec un précédent usage ou un précédent utilisateur, avant que le produit ou la pièce ne change de propriétaire.</w:t>
      </w:r>
      <w:r w:rsidR="000C06FB">
        <w:rPr>
          <w:rFonts w:ascii="Calibri" w:hAnsi="Calibri" w:cs="Calibri"/>
          <w:i/>
          <w:iCs/>
        </w:rPr>
        <w:t> </w:t>
      </w:r>
      <w:r w:rsidR="000C06FB">
        <w:rPr>
          <w:rFonts w:cs="Marianne Light"/>
          <w:i/>
          <w:iCs/>
        </w:rPr>
        <w:t>»</w:t>
      </w:r>
    </w:p>
    <w:p w14:paraId="7D53FEFD" w14:textId="32D7549B" w:rsidR="00056959" w:rsidRDefault="00056959" w:rsidP="0065013A">
      <w:pPr>
        <w:pStyle w:val="Pucenoir"/>
        <w:numPr>
          <w:ilvl w:val="0"/>
          <w:numId w:val="0"/>
        </w:numPr>
        <w:jc w:val="both"/>
      </w:pPr>
    </w:p>
    <w:p w14:paraId="61642BA8" w14:textId="77777777" w:rsidR="00923546" w:rsidRDefault="00923546" w:rsidP="0065013A">
      <w:pPr>
        <w:pStyle w:val="Pucenoir"/>
        <w:numPr>
          <w:ilvl w:val="0"/>
          <w:numId w:val="13"/>
        </w:numPr>
        <w:ind w:left="284" w:hanging="284"/>
        <w:jc w:val="both"/>
      </w:pPr>
      <w:r>
        <w:rPr>
          <w:b/>
        </w:rPr>
        <w:t>Pour une activité d’</w:t>
      </w:r>
      <w:r w:rsidR="00441C13" w:rsidRPr="00533C8C">
        <w:rPr>
          <w:b/>
        </w:rPr>
        <w:t>Upcycling ou Upcyclage ou Surcyclage</w:t>
      </w:r>
      <w:r w:rsidR="00441C13" w:rsidRPr="00160814">
        <w:rPr>
          <w:rFonts w:ascii="Calibri" w:hAnsi="Calibri" w:cs="Calibri"/>
        </w:rPr>
        <w:t> </w:t>
      </w:r>
      <w:r w:rsidR="00441C13">
        <w:t>:</w:t>
      </w:r>
    </w:p>
    <w:p w14:paraId="77F452FB" w14:textId="434C2EB0" w:rsidR="00441C13" w:rsidRDefault="00345889" w:rsidP="0065013A">
      <w:pPr>
        <w:pStyle w:val="Pucenoir"/>
        <w:numPr>
          <w:ilvl w:val="0"/>
          <w:numId w:val="0"/>
        </w:numPr>
        <w:ind w:left="426"/>
        <w:jc w:val="both"/>
      </w:pPr>
      <w:r>
        <w:t>Cela concerne la f</w:t>
      </w:r>
      <w:r w:rsidR="00441C13">
        <w:t xml:space="preserve">abrication, </w:t>
      </w:r>
      <w:r w:rsidR="00441C13" w:rsidRPr="000C0967">
        <w:rPr>
          <w:b/>
        </w:rPr>
        <w:t>à partir d’objets ou de matériaux de récupération</w:t>
      </w:r>
      <w:r w:rsidR="00441C13">
        <w:rPr>
          <w:b/>
        </w:rPr>
        <w:t xml:space="preserve"> </w:t>
      </w:r>
      <w:r w:rsidR="00441C13" w:rsidRPr="000C0967">
        <w:rPr>
          <w:b/>
        </w:rPr>
        <w:t>(des matériaux ou des produits dont on n’a plus l'usage)</w:t>
      </w:r>
      <w:r w:rsidR="00441C13">
        <w:t xml:space="preserve">, de produits </w:t>
      </w:r>
      <w:r w:rsidR="00441C13" w:rsidRPr="000C0967">
        <w:rPr>
          <w:b/>
        </w:rPr>
        <w:t>de plus haute valeur</w:t>
      </w:r>
      <w:r w:rsidR="008C1256">
        <w:rPr>
          <w:b/>
        </w:rPr>
        <w:t xml:space="preserve"> économique</w:t>
      </w:r>
      <w:r w:rsidR="00441C13" w:rsidRPr="000C0967">
        <w:rPr>
          <w:b/>
        </w:rPr>
        <w:t xml:space="preserve"> que les objets ou matériaux d’origine</w:t>
      </w:r>
      <w:r w:rsidR="00557190">
        <w:t xml:space="preserve"> </w:t>
      </w:r>
      <w:r w:rsidR="00FF7CC7">
        <w:t>(exemples</w:t>
      </w:r>
      <w:r w:rsidR="00FF7CC7">
        <w:rPr>
          <w:rFonts w:ascii="Calibri" w:hAnsi="Calibri" w:cs="Calibri"/>
        </w:rPr>
        <w:t> </w:t>
      </w:r>
      <w:r w:rsidR="00FF7CC7">
        <w:t xml:space="preserve">: </w:t>
      </w:r>
      <w:r w:rsidR="00122677">
        <w:t xml:space="preserve">mobiliers anciens remis au goût du jour, vêtements usagés </w:t>
      </w:r>
      <w:r w:rsidR="00652E67">
        <w:t xml:space="preserve">pour </w:t>
      </w:r>
      <w:r w:rsidR="00122677">
        <w:t>recompos</w:t>
      </w:r>
      <w:r w:rsidR="00652E67">
        <w:t>er d’autre vêtements originaux</w:t>
      </w:r>
      <w:r w:rsidR="00557190">
        <w:t>).</w:t>
      </w:r>
    </w:p>
    <w:p w14:paraId="7320697B" w14:textId="19F74DF8" w:rsidR="00441C13" w:rsidRDefault="00441C13" w:rsidP="0065013A">
      <w:pPr>
        <w:pStyle w:val="Pucenoir"/>
        <w:numPr>
          <w:ilvl w:val="0"/>
          <w:numId w:val="0"/>
        </w:numPr>
        <w:ind w:left="426"/>
        <w:jc w:val="both"/>
      </w:pPr>
      <w:r>
        <w:t xml:space="preserve">La terminologie est aussi appliquée à l’ensemble de procédés par lesquels on transforme </w:t>
      </w:r>
      <w:r w:rsidRPr="00E14986">
        <w:rPr>
          <w:b/>
          <w:bCs/>
        </w:rPr>
        <w:t>un</w:t>
      </w:r>
      <w:r w:rsidR="000625AC" w:rsidRPr="00E14986">
        <w:rPr>
          <w:b/>
          <w:bCs/>
        </w:rPr>
        <w:t xml:space="preserve">e matière </w:t>
      </w:r>
      <w:r w:rsidRPr="00E14986">
        <w:rPr>
          <w:b/>
          <w:bCs/>
        </w:rPr>
        <w:t>ou un</w:t>
      </w:r>
      <w:r w:rsidRPr="000C0967">
        <w:rPr>
          <w:b/>
        </w:rPr>
        <w:t xml:space="preserve"> produit en apparence inutile</w:t>
      </w:r>
      <w:r>
        <w:t xml:space="preserve"> en un nouveau matériau ou produit </w:t>
      </w:r>
      <w:r w:rsidRPr="000C0967">
        <w:rPr>
          <w:b/>
        </w:rPr>
        <w:t>de qualité ou d’utilité supérieure</w:t>
      </w:r>
      <w:r>
        <w:t>.</w:t>
      </w:r>
    </w:p>
    <w:p w14:paraId="0850856A" w14:textId="24C344C5" w:rsidR="00F61603" w:rsidRDefault="00557190" w:rsidP="0065013A">
      <w:pPr>
        <w:pStyle w:val="Pucenoir"/>
        <w:numPr>
          <w:ilvl w:val="0"/>
          <w:numId w:val="0"/>
        </w:numPr>
        <w:ind w:left="426"/>
        <w:jc w:val="both"/>
        <w:rPr>
          <w:b/>
          <w:bCs/>
        </w:rPr>
      </w:pPr>
      <w:r w:rsidRPr="003177AB">
        <w:rPr>
          <w:b/>
          <w:bCs/>
          <w:u w:val="single"/>
        </w:rPr>
        <w:t xml:space="preserve">A noter </w:t>
      </w:r>
      <w:r w:rsidR="00BC36DB" w:rsidRPr="003177AB">
        <w:rPr>
          <w:b/>
          <w:bCs/>
        </w:rPr>
        <w:t>que cette acti</w:t>
      </w:r>
      <w:r w:rsidR="00987545" w:rsidRPr="003177AB">
        <w:rPr>
          <w:b/>
          <w:bCs/>
        </w:rPr>
        <w:t>vité</w:t>
      </w:r>
      <w:r w:rsidR="00154530" w:rsidRPr="003177AB">
        <w:rPr>
          <w:b/>
          <w:bCs/>
        </w:rPr>
        <w:t xml:space="preserve">/appellation </w:t>
      </w:r>
      <w:r w:rsidR="00987545" w:rsidRPr="003177AB">
        <w:rPr>
          <w:b/>
          <w:bCs/>
          <w:u w:val="single"/>
        </w:rPr>
        <w:t>n</w:t>
      </w:r>
      <w:r w:rsidR="00365DFB" w:rsidRPr="003177AB">
        <w:rPr>
          <w:b/>
          <w:bCs/>
          <w:u w:val="single"/>
        </w:rPr>
        <w:t xml:space="preserve">e concerne </w:t>
      </w:r>
      <w:r w:rsidR="00987545" w:rsidRPr="003177AB">
        <w:rPr>
          <w:b/>
          <w:bCs/>
          <w:u w:val="single"/>
        </w:rPr>
        <w:t xml:space="preserve">pas </w:t>
      </w:r>
      <w:r w:rsidR="00756B9A" w:rsidRPr="003177AB">
        <w:rPr>
          <w:b/>
          <w:bCs/>
          <w:u w:val="single"/>
        </w:rPr>
        <w:t>l’utilisation d’</w:t>
      </w:r>
      <w:r w:rsidR="00987545" w:rsidRPr="003177AB">
        <w:rPr>
          <w:b/>
          <w:bCs/>
          <w:u w:val="single"/>
        </w:rPr>
        <w:t xml:space="preserve">invendus </w:t>
      </w:r>
      <w:r w:rsidR="00E742B1">
        <w:rPr>
          <w:b/>
          <w:bCs/>
          <w:u w:val="single"/>
        </w:rPr>
        <w:t>ou de stocks dormants</w:t>
      </w:r>
      <w:r w:rsidR="00C22F9A">
        <w:rPr>
          <w:b/>
          <w:bCs/>
          <w:u w:val="single"/>
        </w:rPr>
        <w:t xml:space="preserve"> ou de matière vierge </w:t>
      </w:r>
      <w:r w:rsidR="00756B9A" w:rsidRPr="003177AB">
        <w:rPr>
          <w:b/>
          <w:bCs/>
          <w:u w:val="single"/>
        </w:rPr>
        <w:t>ou de</w:t>
      </w:r>
      <w:r w:rsidR="00FC512E" w:rsidRPr="003177AB">
        <w:rPr>
          <w:b/>
          <w:bCs/>
          <w:u w:val="single"/>
        </w:rPr>
        <w:t xml:space="preserve"> produit</w:t>
      </w:r>
      <w:r w:rsidR="00756B9A" w:rsidRPr="003177AB">
        <w:rPr>
          <w:b/>
          <w:bCs/>
          <w:u w:val="single"/>
        </w:rPr>
        <w:t>s et matériaux</w:t>
      </w:r>
      <w:r w:rsidR="00FC512E" w:rsidRPr="003177AB">
        <w:rPr>
          <w:b/>
          <w:bCs/>
          <w:u w:val="single"/>
        </w:rPr>
        <w:t xml:space="preserve"> neuf</w:t>
      </w:r>
      <w:r w:rsidR="00781352" w:rsidRPr="003177AB">
        <w:rPr>
          <w:b/>
          <w:bCs/>
          <w:u w:val="single"/>
        </w:rPr>
        <w:t>s</w:t>
      </w:r>
      <w:r w:rsidR="00AE0B37">
        <w:rPr>
          <w:b/>
          <w:bCs/>
          <w:u w:val="single"/>
        </w:rPr>
        <w:t xml:space="preserve"> (exemple</w:t>
      </w:r>
      <w:r w:rsidR="00AE0B37">
        <w:rPr>
          <w:rFonts w:ascii="Calibri" w:hAnsi="Calibri" w:cs="Calibri"/>
          <w:b/>
          <w:bCs/>
          <w:u w:val="single"/>
        </w:rPr>
        <w:t> </w:t>
      </w:r>
      <w:r w:rsidR="00AE0B37">
        <w:rPr>
          <w:b/>
          <w:bCs/>
          <w:u w:val="single"/>
        </w:rPr>
        <w:t>: la re</w:t>
      </w:r>
      <w:r w:rsidR="0020325A">
        <w:rPr>
          <w:b/>
          <w:bCs/>
          <w:u w:val="single"/>
        </w:rPr>
        <w:t>-</w:t>
      </w:r>
      <w:r w:rsidR="00AE0B37">
        <w:rPr>
          <w:b/>
          <w:bCs/>
          <w:u w:val="single"/>
        </w:rPr>
        <w:t xml:space="preserve">confection de vêtements à partir de vêtements neufs </w:t>
      </w:r>
      <w:r w:rsidR="00BA5D36">
        <w:rPr>
          <w:b/>
          <w:bCs/>
          <w:u w:val="single"/>
        </w:rPr>
        <w:t>n’est pas de l’upcycling</w:t>
      </w:r>
      <w:r w:rsidR="00113B11">
        <w:rPr>
          <w:b/>
          <w:bCs/>
          <w:u w:val="single"/>
        </w:rPr>
        <w:t>)</w:t>
      </w:r>
      <w:r w:rsidR="0024704B" w:rsidRPr="003177AB">
        <w:rPr>
          <w:rFonts w:ascii="Calibri" w:hAnsi="Calibri" w:cs="Calibri"/>
          <w:b/>
          <w:bCs/>
        </w:rPr>
        <w:t> </w:t>
      </w:r>
      <w:r w:rsidR="0024704B" w:rsidRPr="003177AB">
        <w:rPr>
          <w:b/>
          <w:bCs/>
        </w:rPr>
        <w:t xml:space="preserve">; </w:t>
      </w:r>
      <w:r w:rsidR="00F207A9" w:rsidRPr="003177AB">
        <w:rPr>
          <w:b/>
          <w:bCs/>
        </w:rPr>
        <w:t xml:space="preserve">elle </w:t>
      </w:r>
      <w:r w:rsidR="00C406B5" w:rsidRPr="003177AB">
        <w:rPr>
          <w:b/>
          <w:bCs/>
        </w:rPr>
        <w:t>n</w:t>
      </w:r>
      <w:r w:rsidR="00665C5C" w:rsidRPr="003177AB">
        <w:rPr>
          <w:b/>
          <w:bCs/>
        </w:rPr>
        <w:t>e concerne pas non plus la valorisation matière de chutes de production.</w:t>
      </w:r>
    </w:p>
    <w:p w14:paraId="30C0B67A" w14:textId="77777777" w:rsidR="00644B00" w:rsidRPr="00644B00" w:rsidRDefault="00644B00" w:rsidP="0065013A">
      <w:pPr>
        <w:pStyle w:val="Pucenoir"/>
        <w:numPr>
          <w:ilvl w:val="0"/>
          <w:numId w:val="0"/>
        </w:numPr>
        <w:ind w:left="426"/>
        <w:jc w:val="both"/>
      </w:pPr>
    </w:p>
    <w:p w14:paraId="6B633ED7" w14:textId="77777777" w:rsidR="00644B00" w:rsidRDefault="00644B00" w:rsidP="0065013A">
      <w:pPr>
        <w:pStyle w:val="Pucenoir"/>
        <w:numPr>
          <w:ilvl w:val="0"/>
          <w:numId w:val="0"/>
        </w:numPr>
        <w:ind w:left="426"/>
        <w:jc w:val="both"/>
      </w:pPr>
    </w:p>
    <w:p w14:paraId="45735EC6" w14:textId="7607A925" w:rsidR="002054CD" w:rsidRDefault="002054CD">
      <w:pPr>
        <w:spacing w:after="200" w:line="276" w:lineRule="auto"/>
        <w:rPr>
          <w:rFonts w:ascii="Marianne Light" w:eastAsiaTheme="minorHAnsi" w:hAnsi="Marianne Light" w:cstheme="minorBidi"/>
          <w:color w:val="auto"/>
          <w:kern w:val="0"/>
          <w:sz w:val="18"/>
          <w:szCs w:val="18"/>
          <w14:ligatures w14:val="none"/>
          <w14:cntxtAlts w14:val="0"/>
        </w:rPr>
      </w:pPr>
      <w:r>
        <w:br w:type="page"/>
      </w:r>
    </w:p>
    <w:p w14:paraId="1C0502CF" w14:textId="37CCA8D9" w:rsidR="00A02888" w:rsidRPr="00BC3305" w:rsidRDefault="00A03817" w:rsidP="00BC3305">
      <w:pPr>
        <w:pStyle w:val="Titre1"/>
      </w:pPr>
      <w:r w:rsidRPr="00BC3305">
        <w:lastRenderedPageBreak/>
        <w:t>CONDITIONS D’ELIGIBILITE</w:t>
      </w:r>
    </w:p>
    <w:p w14:paraId="431FF3F8" w14:textId="5447AA51" w:rsidR="007B52ED" w:rsidRPr="007B52ED" w:rsidRDefault="007B52ED" w:rsidP="008D66F1">
      <w:pPr>
        <w:pStyle w:val="Titre2"/>
        <w:jc w:val="both"/>
      </w:pPr>
      <w:r w:rsidRPr="007B52ED">
        <w:t>Conditions communes à toutes les thématiques</w:t>
      </w:r>
    </w:p>
    <w:p w14:paraId="3BDF3FB2" w14:textId="5511B8F8" w:rsidR="007B52ED" w:rsidRPr="00BC3305" w:rsidRDefault="007B52ED" w:rsidP="008D66F1">
      <w:pPr>
        <w:pStyle w:val="TexteCourant"/>
      </w:pPr>
      <w:r w:rsidRPr="00F4598B">
        <w:rPr>
          <w:b/>
          <w:bCs/>
          <w:u w:val="single"/>
        </w:rPr>
        <w:t xml:space="preserve">L’étude ne doit pas </w:t>
      </w:r>
      <w:r w:rsidR="00CB58D0" w:rsidRPr="00F4598B">
        <w:rPr>
          <w:b/>
          <w:bCs/>
          <w:u w:val="single"/>
        </w:rPr>
        <w:t xml:space="preserve">être </w:t>
      </w:r>
      <w:r w:rsidRPr="00F4598B">
        <w:rPr>
          <w:b/>
          <w:bCs/>
          <w:u w:val="single"/>
        </w:rPr>
        <w:t>déjà commencée</w:t>
      </w:r>
      <w:r w:rsidR="00032DFE" w:rsidRPr="00F4598B">
        <w:rPr>
          <w:b/>
          <w:bCs/>
          <w:u w:val="single"/>
        </w:rPr>
        <w:t xml:space="preserve"> si réalisée en interne</w:t>
      </w:r>
      <w:r w:rsidRPr="00F4598B">
        <w:rPr>
          <w:b/>
          <w:bCs/>
          <w:u w:val="single"/>
        </w:rPr>
        <w:t xml:space="preserve"> ou commandée</w:t>
      </w:r>
      <w:r w:rsidRPr="00F4598B">
        <w:rPr>
          <w:u w:val="single"/>
        </w:rPr>
        <w:t xml:space="preserve"> lorsque le porteur a reco</w:t>
      </w:r>
      <w:r w:rsidR="00546DFB" w:rsidRPr="00F4598B">
        <w:rPr>
          <w:u w:val="single"/>
        </w:rPr>
        <w:t>urs à un prestataire extérieur</w:t>
      </w:r>
      <w:r w:rsidR="00546DFB">
        <w:t>.</w:t>
      </w:r>
    </w:p>
    <w:p w14:paraId="7E9B57E4" w14:textId="55FAFC2D" w:rsidR="007B52ED" w:rsidRPr="00BC3305" w:rsidRDefault="007B52ED" w:rsidP="008D66F1">
      <w:pPr>
        <w:pStyle w:val="TexteCourant"/>
      </w:pPr>
      <w:r w:rsidRPr="00BC3305">
        <w:t>Tous les coûts liés à l’étude sont éligibles. Ils peuvent être éventuellement plafonnés notammen</w:t>
      </w:r>
      <w:r w:rsidR="00CB58D0">
        <w:t>t pour les études de diagnostic</w:t>
      </w:r>
      <w:r w:rsidRPr="00BC3305">
        <w:t xml:space="preserve"> (50</w:t>
      </w:r>
      <w:r w:rsidRPr="00BC3305">
        <w:rPr>
          <w:rFonts w:ascii="Calibri" w:hAnsi="Calibri" w:cs="Calibri"/>
        </w:rPr>
        <w:t> </w:t>
      </w:r>
      <w:r w:rsidRPr="00BC3305">
        <w:t>000 €) ou pour les études d’accompagnement de projet (100</w:t>
      </w:r>
      <w:r w:rsidRPr="00BC3305">
        <w:rPr>
          <w:rFonts w:ascii="Calibri" w:hAnsi="Calibri" w:cs="Calibri"/>
        </w:rPr>
        <w:t> </w:t>
      </w:r>
      <w:r w:rsidR="00546DFB">
        <w:t>000 €).</w:t>
      </w:r>
    </w:p>
    <w:p w14:paraId="2887C9EE" w14:textId="03B9B76D" w:rsidR="007B52ED" w:rsidRPr="00BC3305" w:rsidRDefault="007B52ED" w:rsidP="008D66F1">
      <w:pPr>
        <w:pStyle w:val="TexteCourant"/>
      </w:pPr>
      <w:r w:rsidRPr="00BC3305">
        <w:t>Elle peut être réalisée par un prestataire</w:t>
      </w:r>
      <w:r w:rsidR="00244026">
        <w:t xml:space="preserve"> ext</w:t>
      </w:r>
      <w:r w:rsidR="00883660">
        <w:t>érieur</w:t>
      </w:r>
      <w:r w:rsidRPr="00BC3305">
        <w:t xml:space="preserve"> ou être réalisée en interne pour une étude générale ou une expérimentation préalable au déploiemen</w:t>
      </w:r>
      <w:r w:rsidR="00546DFB">
        <w:t>t d’un projet d’investissement.</w:t>
      </w:r>
    </w:p>
    <w:p w14:paraId="7C5A6BED" w14:textId="77777777" w:rsidR="007B52ED" w:rsidRPr="00BC3305" w:rsidRDefault="007B52ED" w:rsidP="008D66F1">
      <w:pPr>
        <w:pStyle w:val="TexteCourant"/>
      </w:pPr>
      <w:r w:rsidRPr="00BC3305">
        <w:t>Pour certaines opérations, l’octroi de l’aide pourra être conditionné au recours à un prestataire dont les compétences respectent un référentiel validé par l’ADEME ou pouvant justifier de conditions équivalentes.</w:t>
      </w:r>
    </w:p>
    <w:p w14:paraId="33EB5357" w14:textId="3384D6F9" w:rsidR="007B52ED" w:rsidRPr="00BC3305" w:rsidRDefault="007B52ED" w:rsidP="008D66F1">
      <w:pPr>
        <w:pStyle w:val="TexteCourant"/>
      </w:pPr>
      <w:r w:rsidRPr="00BC3305">
        <w:t>Le prestataire réalisant l’étude doit être externe au bénéficiaire de l’étude et doit s’engager à n’exercer aucune activité incompatible avec son indépendance de jugement et son intégrité. Il n’est pas impliqué directement et n’a pas d’intérêts particuliers</w:t>
      </w:r>
      <w:r w:rsidR="00AC6AE8">
        <w:rPr>
          <w:rFonts w:ascii="Calibri" w:hAnsi="Calibri" w:cs="Calibri"/>
        </w:rPr>
        <w:t> </w:t>
      </w:r>
      <w:r w:rsidR="00AC6AE8">
        <w:t>:</w:t>
      </w:r>
      <w:r w:rsidRPr="00BC3305">
        <w:t xml:space="preserve"> vente, fabrication, installation, utilisation ou maintenance des objets sur lesquels porte l’étude. À ce titre, il doit être non dépendant d’opérateurs de services ou de matériels ayant des intérêts particuliers indiqué</w:t>
      </w:r>
      <w:r w:rsidR="00546DFB">
        <w:t>s ci-dessus avec la prestation.</w:t>
      </w:r>
    </w:p>
    <w:p w14:paraId="65E90E57" w14:textId="574B99B0" w:rsidR="007B52ED" w:rsidRPr="00BC3305" w:rsidRDefault="007B52ED" w:rsidP="008D66F1">
      <w:pPr>
        <w:pStyle w:val="TexteCourant"/>
      </w:pPr>
      <w:r w:rsidRPr="00BC3305">
        <w:t>L’ADEME pourra cependant décider d’accorder son aide dans les situations où les compétences, qualifications et disponibilités requises pour réaliser la prestation d’aide à la décision ne pourraient être trouvées en appli</w:t>
      </w:r>
      <w:r w:rsidR="00546DFB">
        <w:t>quant ces critères d’autonomie.</w:t>
      </w:r>
    </w:p>
    <w:p w14:paraId="06E253CC" w14:textId="69539237" w:rsidR="007B52ED" w:rsidRDefault="007B52ED" w:rsidP="002054CD">
      <w:pPr>
        <w:pStyle w:val="TexteCourant"/>
        <w:spacing w:after="0"/>
      </w:pPr>
      <w:r w:rsidRPr="00BC3305">
        <w:t>Dans tous les cas, le prestataire ne doit pas être exclu de ce champ d’activité par une quelconque réglemen</w:t>
      </w:r>
      <w:r w:rsidR="00546DFB">
        <w:t>tation.</w:t>
      </w:r>
    </w:p>
    <w:p w14:paraId="51DF6CB2" w14:textId="0D1BE696" w:rsidR="007B52ED" w:rsidRPr="007B52ED" w:rsidRDefault="007B52ED" w:rsidP="008D66F1">
      <w:pPr>
        <w:pStyle w:val="Titre2"/>
        <w:jc w:val="both"/>
      </w:pPr>
      <w:r w:rsidRPr="007B52ED">
        <w:t>Conditions spécifiques</w:t>
      </w:r>
      <w:r w:rsidR="001751E1">
        <w:t xml:space="preserve"> pour la thématique Réemploi-</w:t>
      </w:r>
      <w:r w:rsidR="00FD73C0">
        <w:t>R</w:t>
      </w:r>
      <w:r w:rsidR="001751E1">
        <w:t xml:space="preserve">éutilisation et </w:t>
      </w:r>
      <w:r w:rsidR="00FD73C0">
        <w:t>Réparation</w:t>
      </w:r>
      <w:r w:rsidR="001751E1">
        <w:t xml:space="preserve"> </w:t>
      </w:r>
      <w:r w:rsidR="00FD73C0">
        <w:t>H</w:t>
      </w:r>
      <w:r w:rsidR="001751E1">
        <w:t>ors emballages</w:t>
      </w:r>
    </w:p>
    <w:p w14:paraId="172BFB9A" w14:textId="0059C025" w:rsidR="00CB58D0" w:rsidRDefault="00CB58D0" w:rsidP="008D66F1">
      <w:pPr>
        <w:spacing w:line="240" w:lineRule="auto"/>
        <w:jc w:val="both"/>
        <w:rPr>
          <w:rFonts w:ascii="Marianne Light" w:hAnsi="Marianne Light" w:cs="Arial"/>
          <w:bCs/>
          <w:sz w:val="18"/>
        </w:rPr>
      </w:pPr>
      <w:r>
        <w:rPr>
          <w:rFonts w:ascii="Marianne Light" w:hAnsi="Marianne Light" w:cs="Arial"/>
          <w:bCs/>
          <w:sz w:val="18"/>
        </w:rPr>
        <w:t xml:space="preserve">Les </w:t>
      </w:r>
      <w:r w:rsidRPr="00CB58D0">
        <w:rPr>
          <w:rFonts w:ascii="Marianne Light" w:hAnsi="Marianne Light" w:cs="Arial"/>
          <w:bCs/>
          <w:sz w:val="18"/>
        </w:rPr>
        <w:t xml:space="preserve">diagnostics et études peuvent être réalisés en interne par le porteur de projet ou via un prestataire externe indépendant. </w:t>
      </w:r>
      <w:r w:rsidRPr="000520E6">
        <w:rPr>
          <w:rFonts w:ascii="Marianne Light" w:hAnsi="Marianne Light" w:cs="Arial"/>
          <w:b/>
          <w:sz w:val="18"/>
        </w:rPr>
        <w:t>Une étude interne est éligible MAIS le porteur doit être capable de prouver ses capacités à mener à bien l’étude</w:t>
      </w:r>
      <w:r w:rsidRPr="00CB58D0">
        <w:rPr>
          <w:rFonts w:ascii="Marianne Light" w:hAnsi="Marianne Light" w:cs="Arial"/>
          <w:bCs/>
          <w:sz w:val="18"/>
        </w:rPr>
        <w:t xml:space="preserve"> (moyens humains et techniques</w:t>
      </w:r>
      <w:r w:rsidR="009372B5">
        <w:rPr>
          <w:rFonts w:ascii="Marianne Light" w:hAnsi="Marianne Light" w:cs="Arial"/>
          <w:bCs/>
          <w:sz w:val="18"/>
        </w:rPr>
        <w:t xml:space="preserve"> dédiés</w:t>
      </w:r>
      <w:r w:rsidRPr="00CB58D0">
        <w:rPr>
          <w:rFonts w:ascii="Marianne Light" w:hAnsi="Marianne Light" w:cs="Arial"/>
          <w:bCs/>
          <w:sz w:val="18"/>
        </w:rPr>
        <w:t>, compétences</w:t>
      </w:r>
      <w:r w:rsidR="00D338AE">
        <w:rPr>
          <w:rFonts w:ascii="Marianne Light" w:hAnsi="Marianne Light" w:cs="Arial"/>
          <w:bCs/>
          <w:sz w:val="18"/>
        </w:rPr>
        <w:t xml:space="preserve"> et </w:t>
      </w:r>
      <w:r w:rsidR="00D338AE" w:rsidRPr="00D338AE">
        <w:rPr>
          <w:rFonts w:ascii="Marianne Light" w:hAnsi="Marianne Light" w:cs="Arial"/>
          <w:bCs/>
          <w:sz w:val="18"/>
        </w:rPr>
        <w:t>prise de recul sur le projet vis-à-vis du contexte et de l’écosystème étudié</w:t>
      </w:r>
      <w:r w:rsidRPr="00CB58D0">
        <w:rPr>
          <w:rFonts w:ascii="Marianne Light" w:hAnsi="Marianne Light" w:cs="Arial"/>
          <w:bCs/>
          <w:sz w:val="18"/>
        </w:rPr>
        <w:t>) et répondre aux attentes et critères nécessaires à l’instruction du projet notamment concernant le busines</w:t>
      </w:r>
      <w:r>
        <w:rPr>
          <w:rFonts w:ascii="Marianne Light" w:hAnsi="Marianne Light" w:cs="Arial"/>
          <w:bCs/>
          <w:sz w:val="18"/>
        </w:rPr>
        <w:t>s plan et le modèle économique</w:t>
      </w:r>
      <w:r w:rsidR="00D15C0A">
        <w:rPr>
          <w:rFonts w:ascii="Marianne Light" w:hAnsi="Marianne Light" w:cs="Arial"/>
          <w:bCs/>
          <w:sz w:val="18"/>
        </w:rPr>
        <w:t>, les connaissances réglementaires et techniques</w:t>
      </w:r>
      <w:r w:rsidRPr="00CB58D0">
        <w:rPr>
          <w:rFonts w:ascii="Marianne Light" w:hAnsi="Marianne Light" w:cs="Arial"/>
          <w:bCs/>
          <w:sz w:val="18"/>
        </w:rPr>
        <w:t>.</w:t>
      </w:r>
    </w:p>
    <w:p w14:paraId="1D3CC8E5" w14:textId="4977D21B" w:rsidR="00D376F0" w:rsidRPr="00512A93" w:rsidRDefault="00BD4854" w:rsidP="008D66F1">
      <w:pPr>
        <w:spacing w:line="240" w:lineRule="auto"/>
        <w:jc w:val="both"/>
        <w:rPr>
          <w:rFonts w:ascii="Marianne Light" w:hAnsi="Marianne Light" w:cs="Arial"/>
          <w:b/>
          <w:sz w:val="18"/>
        </w:rPr>
      </w:pPr>
      <w:r>
        <w:rPr>
          <w:noProof/>
        </w:rPr>
        <w:drawing>
          <wp:anchor distT="0" distB="0" distL="114300" distR="114300" simplePos="0" relativeHeight="251662338" behindDoc="0" locked="0" layoutInCell="1" allowOverlap="1" wp14:anchorId="1124810E" wp14:editId="47FCC71A">
            <wp:simplePos x="0" y="0"/>
            <wp:positionH relativeFrom="margin">
              <wp:posOffset>0</wp:posOffset>
            </wp:positionH>
            <wp:positionV relativeFrom="paragraph">
              <wp:posOffset>478155</wp:posOffset>
            </wp:positionV>
            <wp:extent cx="457200" cy="565785"/>
            <wp:effectExtent l="0" t="0" r="0" b="5715"/>
            <wp:wrapThrough wrapText="bothSides">
              <wp:wrapPolygon edited="0">
                <wp:start x="0" y="0"/>
                <wp:lineTo x="0" y="21091"/>
                <wp:lineTo x="20700" y="21091"/>
                <wp:lineTo x="20700" y="0"/>
                <wp:lineTo x="0" y="0"/>
              </wp:wrapPolygon>
            </wp:wrapThrough>
            <wp:docPr id="1336437769" name="Image 133643776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360" b="13540"/>
                    <a:stretch/>
                  </pic:blipFill>
                  <pic:spPr bwMode="auto">
                    <a:xfrm>
                      <a:off x="0" y="0"/>
                      <a:ext cx="457200" cy="565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6247" w:rsidRPr="00512A93">
        <w:rPr>
          <w:rFonts w:ascii="Marianne Light" w:hAnsi="Marianne Light" w:cs="Arial"/>
          <w:b/>
          <w:sz w:val="18"/>
        </w:rPr>
        <w:t>A noter que la</w:t>
      </w:r>
      <w:r w:rsidR="009E3DDA" w:rsidRPr="00512A93">
        <w:rPr>
          <w:rFonts w:ascii="Marianne Light" w:hAnsi="Marianne Light" w:cs="Arial"/>
          <w:b/>
          <w:sz w:val="18"/>
        </w:rPr>
        <w:t xml:space="preserve"> validation des compétences suffisantes se fait aussi a posteriori sur la qualité de l’étude et du contenu du rapport d’étude</w:t>
      </w:r>
      <w:r w:rsidR="009E3DDA" w:rsidRPr="00512A93">
        <w:rPr>
          <w:rFonts w:cs="Calibri"/>
          <w:b/>
          <w:sz w:val="18"/>
        </w:rPr>
        <w:t> </w:t>
      </w:r>
      <w:r w:rsidR="009E3DDA" w:rsidRPr="00512A93">
        <w:rPr>
          <w:rFonts w:ascii="Marianne Light" w:hAnsi="Marianne Light" w:cs="Arial"/>
          <w:b/>
          <w:sz w:val="18"/>
        </w:rPr>
        <w:t>: si l’étude est incomplète ou jugée insatisfaisante dans la qualité et la compréhension du contenu, l</w:t>
      </w:r>
      <w:r w:rsidR="005805BC" w:rsidRPr="00512A93">
        <w:rPr>
          <w:rFonts w:ascii="Marianne Light" w:hAnsi="Marianne Light" w:cs="Arial"/>
          <w:b/>
          <w:sz w:val="18"/>
        </w:rPr>
        <w:t>’aide financière e</w:t>
      </w:r>
      <w:r w:rsidR="009E3DDA" w:rsidRPr="00512A93">
        <w:rPr>
          <w:rFonts w:ascii="Marianne Light" w:hAnsi="Marianne Light" w:cs="Arial"/>
          <w:b/>
          <w:sz w:val="18"/>
        </w:rPr>
        <w:t>nvisagé</w:t>
      </w:r>
      <w:r w:rsidR="005805BC" w:rsidRPr="00512A93">
        <w:rPr>
          <w:rFonts w:ascii="Marianne Light" w:hAnsi="Marianne Light" w:cs="Arial"/>
          <w:b/>
          <w:sz w:val="18"/>
        </w:rPr>
        <w:t>e</w:t>
      </w:r>
      <w:r w:rsidR="009E3DDA" w:rsidRPr="00512A93">
        <w:rPr>
          <w:rFonts w:ascii="Marianne Light" w:hAnsi="Marianne Light" w:cs="Arial"/>
          <w:b/>
          <w:sz w:val="18"/>
        </w:rPr>
        <w:t xml:space="preserve"> ne sera pas versé</w:t>
      </w:r>
      <w:r w:rsidR="005805BC" w:rsidRPr="00512A93">
        <w:rPr>
          <w:rFonts w:ascii="Marianne Light" w:hAnsi="Marianne Light" w:cs="Arial"/>
          <w:b/>
          <w:sz w:val="18"/>
        </w:rPr>
        <w:t>e</w:t>
      </w:r>
      <w:r w:rsidR="00446944" w:rsidRPr="00512A93">
        <w:rPr>
          <w:rFonts w:ascii="Marianne Light" w:hAnsi="Marianne Light" w:cs="Arial"/>
          <w:b/>
          <w:sz w:val="18"/>
        </w:rPr>
        <w:t>.</w:t>
      </w:r>
    </w:p>
    <w:p w14:paraId="6C4586F2" w14:textId="382A4A79" w:rsidR="00CB58D0" w:rsidRDefault="00CB58D0" w:rsidP="008D66F1">
      <w:pPr>
        <w:spacing w:line="240" w:lineRule="auto"/>
        <w:jc w:val="both"/>
        <w:rPr>
          <w:rFonts w:ascii="Marianne Light" w:hAnsi="Marianne Light" w:cs="Arial"/>
          <w:bCs/>
          <w:sz w:val="18"/>
        </w:rPr>
      </w:pPr>
      <w:r w:rsidRPr="00CB58D0">
        <w:rPr>
          <w:rFonts w:ascii="Marianne Light" w:hAnsi="Marianne Light" w:cs="Arial"/>
          <w:bCs/>
          <w:sz w:val="18"/>
        </w:rPr>
        <w:t xml:space="preserve">Si le porteur de projet se fait accompagner tout ou partie par un acteur historique ou spécialisé sur une activité ou un flux (par exemple </w:t>
      </w:r>
      <w:r w:rsidR="002A4B2F">
        <w:rPr>
          <w:rFonts w:ascii="Marianne Light" w:hAnsi="Marianne Light" w:cs="Arial"/>
          <w:bCs/>
          <w:sz w:val="18"/>
        </w:rPr>
        <w:t>les activités artistiques et culturelles</w:t>
      </w:r>
      <w:r w:rsidRPr="00CB58D0">
        <w:rPr>
          <w:rFonts w:ascii="Marianne Light" w:hAnsi="Marianne Light" w:cs="Arial"/>
          <w:bCs/>
          <w:sz w:val="18"/>
        </w:rPr>
        <w:t xml:space="preserve">, </w:t>
      </w:r>
      <w:r w:rsidR="002A4B2F">
        <w:rPr>
          <w:rFonts w:ascii="Marianne Light" w:hAnsi="Marianne Light" w:cs="Arial"/>
          <w:bCs/>
          <w:sz w:val="18"/>
        </w:rPr>
        <w:t xml:space="preserve">les articles de </w:t>
      </w:r>
      <w:r w:rsidRPr="00CB58D0">
        <w:rPr>
          <w:rFonts w:ascii="Marianne Light" w:hAnsi="Marianne Light" w:cs="Arial"/>
          <w:bCs/>
          <w:sz w:val="18"/>
        </w:rPr>
        <w:t>sport,</w:t>
      </w:r>
      <w:r w:rsidR="002A4B2F">
        <w:rPr>
          <w:rFonts w:ascii="Marianne Light" w:hAnsi="Marianne Light" w:cs="Arial"/>
          <w:bCs/>
          <w:sz w:val="18"/>
        </w:rPr>
        <w:t xml:space="preserve"> les</w:t>
      </w:r>
      <w:r w:rsidRPr="00CB58D0">
        <w:rPr>
          <w:rFonts w:ascii="Marianne Light" w:hAnsi="Marianne Light" w:cs="Arial"/>
          <w:bCs/>
          <w:sz w:val="18"/>
        </w:rPr>
        <w:t xml:space="preserve"> jouets, etc.), </w:t>
      </w:r>
      <w:r w:rsidRPr="004D012F">
        <w:rPr>
          <w:rFonts w:ascii="Marianne Light" w:hAnsi="Marianne Light" w:cs="Arial"/>
          <w:bCs/>
          <w:sz w:val="18"/>
          <w:u w:val="single"/>
        </w:rPr>
        <w:t xml:space="preserve">il peut intégrer le coût de prestation de cet acteur </w:t>
      </w:r>
      <w:r w:rsidR="000D4476" w:rsidRPr="004D012F">
        <w:rPr>
          <w:rFonts w:ascii="Marianne Light" w:hAnsi="Marianne Light" w:cs="Arial"/>
          <w:bCs/>
          <w:sz w:val="18"/>
          <w:u w:val="single"/>
        </w:rPr>
        <w:t xml:space="preserve">accompagnant </w:t>
      </w:r>
      <w:r w:rsidRPr="004D012F">
        <w:rPr>
          <w:rFonts w:ascii="Marianne Light" w:hAnsi="Marianne Light" w:cs="Arial"/>
          <w:bCs/>
          <w:sz w:val="18"/>
          <w:u w:val="single"/>
        </w:rPr>
        <w:t>dans sa demande d’aide à la décision</w:t>
      </w:r>
      <w:r w:rsidRPr="00CB58D0">
        <w:rPr>
          <w:rFonts w:ascii="Marianne Light" w:hAnsi="Marianne Light" w:cs="Arial"/>
          <w:bCs/>
          <w:sz w:val="18"/>
        </w:rPr>
        <w:t>.</w:t>
      </w:r>
    </w:p>
    <w:p w14:paraId="3C2CF000" w14:textId="46F5103E" w:rsidR="006045D8" w:rsidRDefault="00112A8B" w:rsidP="008D66F1">
      <w:pPr>
        <w:pStyle w:val="TexteCourant"/>
      </w:pPr>
      <w:r>
        <w:t xml:space="preserve">Il est recommandé </w:t>
      </w:r>
      <w:r w:rsidR="006045D8" w:rsidRPr="006045D8">
        <w:t>d</w:t>
      </w:r>
      <w:r w:rsidR="00662AAD">
        <w:t xml:space="preserve">e solliciter </w:t>
      </w:r>
      <w:r w:rsidR="006045D8" w:rsidRPr="006045D8">
        <w:t>les collectivités</w:t>
      </w:r>
      <w:r w:rsidR="00662AAD">
        <w:t xml:space="preserve"> concernées</w:t>
      </w:r>
      <w:r w:rsidR="00EB2303">
        <w:t xml:space="preserve"> par le projet</w:t>
      </w:r>
      <w:r w:rsidR="006045D8" w:rsidRPr="006045D8">
        <w:t xml:space="preserve"> et les réseaux régionaux existants </w:t>
      </w:r>
      <w:r w:rsidR="00662AAD">
        <w:t xml:space="preserve">(potentiellement </w:t>
      </w:r>
      <w:r w:rsidR="006045D8" w:rsidRPr="006045D8">
        <w:t>l</w:t>
      </w:r>
      <w:r w:rsidR="00662AAD">
        <w:t>a</w:t>
      </w:r>
      <w:r w:rsidR="006045D8" w:rsidRPr="006045D8">
        <w:t xml:space="preserve"> Région</w:t>
      </w:r>
      <w:r w:rsidR="00662AAD">
        <w:t>)</w:t>
      </w:r>
      <w:r w:rsidR="006045D8" w:rsidRPr="006045D8">
        <w:t xml:space="preserve"> qui </w:t>
      </w:r>
      <w:r w:rsidR="00B11F63">
        <w:t xml:space="preserve">peuvent </w:t>
      </w:r>
      <w:r w:rsidR="00B97961">
        <w:t xml:space="preserve">détenir </w:t>
      </w:r>
      <w:r w:rsidR="006045D8" w:rsidRPr="006045D8">
        <w:t>des données contextuelles sur</w:t>
      </w:r>
      <w:r w:rsidR="00B97961">
        <w:t xml:space="preserve"> la thématique </w:t>
      </w:r>
      <w:r w:rsidR="001E0D55">
        <w:t xml:space="preserve">RRR </w:t>
      </w:r>
      <w:r w:rsidR="006045D8" w:rsidRPr="006045D8">
        <w:t xml:space="preserve">et </w:t>
      </w:r>
      <w:r w:rsidR="001E0D55">
        <w:t>conseillé</w:t>
      </w:r>
      <w:r w:rsidR="00D1578C">
        <w:t>s des sources et des accompagnements.</w:t>
      </w:r>
    </w:p>
    <w:p w14:paraId="4B777324" w14:textId="0CA77882" w:rsidR="004F5ACA" w:rsidRPr="004F5ACA" w:rsidRDefault="004F5ACA" w:rsidP="008D66F1">
      <w:pPr>
        <w:pStyle w:val="TexteCourant"/>
      </w:pPr>
      <w:r w:rsidRPr="004F5ACA">
        <w:t>Les porteurs de projets éligibles, dont certains relèvent de l’ESS, sont</w:t>
      </w:r>
      <w:r w:rsidRPr="004F5ACA">
        <w:rPr>
          <w:rFonts w:ascii="Calibri" w:hAnsi="Calibri" w:cs="Calibri"/>
        </w:rPr>
        <w:t> </w:t>
      </w:r>
      <w:r w:rsidR="00546DFB">
        <w:t>notamment</w:t>
      </w:r>
      <w:r w:rsidR="00546DFB">
        <w:rPr>
          <w:rFonts w:ascii="Calibri" w:hAnsi="Calibri" w:cs="Calibri"/>
        </w:rPr>
        <w:t> </w:t>
      </w:r>
      <w:r w:rsidR="00546DFB">
        <w:t>:</w:t>
      </w:r>
    </w:p>
    <w:p w14:paraId="408916ED" w14:textId="658A85F0" w:rsidR="004F5ACA" w:rsidRPr="004F5ACA" w:rsidRDefault="00FA1329" w:rsidP="008D66F1">
      <w:pPr>
        <w:pStyle w:val="Pucenoir"/>
        <w:jc w:val="both"/>
      </w:pPr>
      <w:r w:rsidRPr="004F5ACA">
        <w:t>Les</w:t>
      </w:r>
      <w:r w:rsidR="004F5ACA" w:rsidRPr="004F5ACA">
        <w:t xml:space="preserve"> réseaux régionaux (d’entreprises, d’</w:t>
      </w:r>
      <w:r w:rsidR="00546DFB">
        <w:t>associations, de collectivités)</w:t>
      </w:r>
      <w:r w:rsidR="00546DFB">
        <w:rPr>
          <w:rFonts w:ascii="Calibri" w:hAnsi="Calibri" w:cs="Calibri"/>
        </w:rPr>
        <w:t> </w:t>
      </w:r>
      <w:r w:rsidR="00546DFB">
        <w:t>;</w:t>
      </w:r>
    </w:p>
    <w:p w14:paraId="66415CAF" w14:textId="7EB5CE55" w:rsidR="004F5ACA" w:rsidRPr="004F5ACA" w:rsidRDefault="00FA1329" w:rsidP="008D66F1">
      <w:pPr>
        <w:pStyle w:val="Pucenoir"/>
        <w:jc w:val="both"/>
      </w:pPr>
      <w:r w:rsidRPr="004F5ACA">
        <w:t>Les</w:t>
      </w:r>
      <w:r w:rsidR="004F5ACA" w:rsidRPr="004F5ACA">
        <w:t xml:space="preserve"> </w:t>
      </w:r>
      <w:r w:rsidR="00E81006">
        <w:t xml:space="preserve">acteurs </w:t>
      </w:r>
      <w:r w:rsidR="004F5ACA" w:rsidRPr="004F5ACA">
        <w:t>relais</w:t>
      </w:r>
      <w:r w:rsidR="00E81006">
        <w:t xml:space="preserve"> régionaux et locaux</w:t>
      </w:r>
      <w:r w:rsidR="004F5ACA" w:rsidRPr="004F5ACA">
        <w:t xml:space="preserve"> (associations, chambres</w:t>
      </w:r>
      <w:r w:rsidR="00546DFB">
        <w:t xml:space="preserve"> de métiers, chambres de l’ESS)</w:t>
      </w:r>
      <w:r w:rsidR="00546DFB">
        <w:rPr>
          <w:rFonts w:ascii="Calibri" w:hAnsi="Calibri" w:cs="Calibri"/>
        </w:rPr>
        <w:t> </w:t>
      </w:r>
      <w:r w:rsidR="00546DFB">
        <w:t>;</w:t>
      </w:r>
    </w:p>
    <w:p w14:paraId="748D9690" w14:textId="0F8BA150" w:rsidR="004F5ACA" w:rsidRPr="004F5ACA" w:rsidRDefault="00FA1329" w:rsidP="008D66F1">
      <w:pPr>
        <w:pStyle w:val="Pucenoir"/>
        <w:jc w:val="both"/>
      </w:pPr>
      <w:r w:rsidRPr="004F5ACA">
        <w:t>Les</w:t>
      </w:r>
      <w:r w:rsidR="00546DFB">
        <w:t xml:space="preserve"> collectivités</w:t>
      </w:r>
      <w:r w:rsidR="00546DFB">
        <w:rPr>
          <w:rFonts w:ascii="Calibri" w:hAnsi="Calibri" w:cs="Calibri"/>
        </w:rPr>
        <w:t> </w:t>
      </w:r>
      <w:r w:rsidR="00546DFB">
        <w:t>;</w:t>
      </w:r>
    </w:p>
    <w:p w14:paraId="76D60F37" w14:textId="031B2222" w:rsidR="004F5ACA" w:rsidRPr="004F5ACA" w:rsidRDefault="00FA1329" w:rsidP="008D66F1">
      <w:pPr>
        <w:pStyle w:val="Pucenoir"/>
        <w:jc w:val="both"/>
      </w:pPr>
      <w:r w:rsidRPr="004F5ACA">
        <w:t>Les</w:t>
      </w:r>
      <w:r w:rsidR="004F5ACA" w:rsidRPr="004F5ACA">
        <w:t xml:space="preserve"> entreprises, notamment les TPE/PME.</w:t>
      </w:r>
    </w:p>
    <w:p w14:paraId="1FF93746" w14:textId="4E0FEF25" w:rsidR="004F5ACA" w:rsidRPr="004F5ACA" w:rsidRDefault="004F5ACA" w:rsidP="008D66F1">
      <w:pPr>
        <w:pStyle w:val="TexteCourant"/>
      </w:pPr>
      <w:r w:rsidRPr="004F5ACA">
        <w:t>Les études éligibles aux aides</w:t>
      </w:r>
      <w:r w:rsidR="00546DFB">
        <w:t xml:space="preserve"> de l’ADEME sont de deux types</w:t>
      </w:r>
      <w:r w:rsidR="00546DFB">
        <w:rPr>
          <w:rFonts w:ascii="Calibri" w:hAnsi="Calibri" w:cs="Calibri"/>
        </w:rPr>
        <w:t> </w:t>
      </w:r>
      <w:r w:rsidR="00546DFB">
        <w:t>:</w:t>
      </w:r>
    </w:p>
    <w:p w14:paraId="36CA3905" w14:textId="18B02019" w:rsidR="004F5ACA" w:rsidRPr="004F5ACA" w:rsidRDefault="004F5ACA" w:rsidP="008D66F1">
      <w:pPr>
        <w:pStyle w:val="Pucenoir"/>
        <w:spacing w:after="60"/>
        <w:jc w:val="both"/>
      </w:pPr>
      <w:r w:rsidRPr="004F5ACA">
        <w:rPr>
          <w:b/>
          <w:bCs/>
        </w:rPr>
        <w:t xml:space="preserve">Les diagnostics territoriaux </w:t>
      </w:r>
      <w:r w:rsidR="00D7029B">
        <w:rPr>
          <w:b/>
          <w:bCs/>
        </w:rPr>
        <w:t>(</w:t>
      </w:r>
      <w:r w:rsidRPr="004F5ACA">
        <w:t xml:space="preserve">qui peuvent </w:t>
      </w:r>
      <w:r w:rsidR="00D7029B">
        <w:t xml:space="preserve">faire partie ou alimenter </w:t>
      </w:r>
      <w:r w:rsidR="00D71EF8">
        <w:t xml:space="preserve">une </w:t>
      </w:r>
      <w:r w:rsidRPr="004F5ACA">
        <w:t>étude de faisabilité</w:t>
      </w:r>
      <w:r w:rsidR="008C363A">
        <w:t xml:space="preserve">) qui doivent </w:t>
      </w:r>
      <w:proofErr w:type="gramStart"/>
      <w:r w:rsidR="008C363A">
        <w:t>a</w:t>
      </w:r>
      <w:proofErr w:type="gramEnd"/>
      <w:r w:rsidR="008C363A">
        <w:t xml:space="preserve"> </w:t>
      </w:r>
      <w:r w:rsidR="0067012F">
        <w:t>minima comprendre</w:t>
      </w:r>
      <w:r w:rsidRPr="004F5ACA">
        <w:rPr>
          <w:rFonts w:ascii="Calibri" w:hAnsi="Calibri" w:cs="Calibri"/>
        </w:rPr>
        <w:t> </w:t>
      </w:r>
      <w:r w:rsidR="00546DFB">
        <w:t>:</w:t>
      </w:r>
    </w:p>
    <w:p w14:paraId="06FA3E53" w14:textId="00CB6A21" w:rsidR="004F5ACA" w:rsidRPr="004F5ACA" w:rsidRDefault="004F5ACA" w:rsidP="008D66F1">
      <w:pPr>
        <w:pStyle w:val="Pucerond"/>
        <w:jc w:val="both"/>
      </w:pPr>
      <w:r w:rsidRPr="004F5ACA">
        <w:t xml:space="preserve">L’état des lieux de la production et de la gestion des déchets </w:t>
      </w:r>
      <w:r w:rsidR="00546DFB">
        <w:t>sur le territoire</w:t>
      </w:r>
      <w:r w:rsidR="00546DFB">
        <w:rPr>
          <w:rFonts w:ascii="Calibri" w:hAnsi="Calibri" w:cs="Calibri"/>
        </w:rPr>
        <w:t> </w:t>
      </w:r>
      <w:r w:rsidR="00546DFB">
        <w:t>;</w:t>
      </w:r>
    </w:p>
    <w:p w14:paraId="4935B0E5" w14:textId="13A3155A" w:rsidR="004F5ACA" w:rsidRPr="004F5ACA" w:rsidRDefault="004F5ACA" w:rsidP="008D66F1">
      <w:pPr>
        <w:pStyle w:val="Pucerond"/>
        <w:jc w:val="both"/>
      </w:pPr>
      <w:r w:rsidRPr="004F5ACA">
        <w:t>Le recens</w:t>
      </w:r>
      <w:r w:rsidR="00546DFB">
        <w:t>ement et l’analyse des acteurs</w:t>
      </w:r>
      <w:r w:rsidR="00820488">
        <w:t xml:space="preserve">, </w:t>
      </w:r>
      <w:r w:rsidR="00046509">
        <w:t>parties-prenantes et</w:t>
      </w:r>
      <w:r w:rsidR="00A87C81">
        <w:t xml:space="preserve"> partenaires</w:t>
      </w:r>
      <w:r w:rsidR="000835D2">
        <w:t xml:space="preserve"> potentiels</w:t>
      </w:r>
      <w:r w:rsidR="00546DFB">
        <w:rPr>
          <w:rFonts w:ascii="Calibri" w:hAnsi="Calibri" w:cs="Calibri"/>
        </w:rPr>
        <w:t> </w:t>
      </w:r>
      <w:r w:rsidR="00546DFB">
        <w:t>;</w:t>
      </w:r>
    </w:p>
    <w:p w14:paraId="2BD02A9E" w14:textId="5BC341E4" w:rsidR="004F5ACA" w:rsidRPr="004F5ACA" w:rsidRDefault="004F5ACA" w:rsidP="008D66F1">
      <w:pPr>
        <w:pStyle w:val="Pucerond"/>
        <w:jc w:val="both"/>
      </w:pPr>
      <w:r w:rsidRPr="004F5ACA">
        <w:t>Le recensement des gisements (caractérisation, approche par flux-filière, projets en réflexion o</w:t>
      </w:r>
      <w:r w:rsidR="00546DFB">
        <w:t>u en cours</w:t>
      </w:r>
      <w:r w:rsidR="00A87C81">
        <w:t>, disponi</w:t>
      </w:r>
      <w:r w:rsidR="005D3844">
        <w:t>bilité, caractéristiques réglementaires</w:t>
      </w:r>
      <w:r w:rsidR="00546DFB">
        <w:t>)</w:t>
      </w:r>
      <w:r w:rsidR="00546DFB">
        <w:rPr>
          <w:rFonts w:ascii="Calibri" w:hAnsi="Calibri" w:cs="Calibri"/>
        </w:rPr>
        <w:t> </w:t>
      </w:r>
      <w:r w:rsidR="00546DFB">
        <w:t>;</w:t>
      </w:r>
    </w:p>
    <w:p w14:paraId="6BFFB8AD" w14:textId="7568BE82" w:rsidR="004F5ACA" w:rsidRPr="004F5ACA" w:rsidRDefault="004F5ACA" w:rsidP="008D66F1">
      <w:pPr>
        <w:pStyle w:val="Pucerond"/>
        <w:jc w:val="both"/>
      </w:pPr>
      <w:r w:rsidRPr="004F5ACA">
        <w:lastRenderedPageBreak/>
        <w:t>L’étud</w:t>
      </w:r>
      <w:r w:rsidR="00546DFB">
        <w:t>e des besoins et de la demande</w:t>
      </w:r>
      <w:r w:rsidR="000C0AEA">
        <w:t xml:space="preserve"> </w:t>
      </w:r>
      <w:r w:rsidR="00005558">
        <w:t>(</w:t>
      </w:r>
      <w:r w:rsidR="00010311">
        <w:t xml:space="preserve">l’historique des projets, </w:t>
      </w:r>
      <w:r w:rsidR="000C0AEA">
        <w:t>les dynamiques locales</w:t>
      </w:r>
      <w:r w:rsidR="00010311">
        <w:t>, la concurrence</w:t>
      </w:r>
      <w:r w:rsidR="000C0AEA">
        <w:t>)</w:t>
      </w:r>
      <w:r w:rsidR="00546DFB">
        <w:rPr>
          <w:rFonts w:ascii="Calibri" w:hAnsi="Calibri" w:cs="Calibri"/>
        </w:rPr>
        <w:t> </w:t>
      </w:r>
      <w:r w:rsidR="00546DFB">
        <w:t>;</w:t>
      </w:r>
    </w:p>
    <w:p w14:paraId="4C5CB76A" w14:textId="7943000B" w:rsidR="004F5ACA" w:rsidRPr="004F5ACA" w:rsidRDefault="004F5ACA" w:rsidP="008D66F1">
      <w:pPr>
        <w:pStyle w:val="Pucerond"/>
        <w:jc w:val="both"/>
      </w:pPr>
      <w:r w:rsidRPr="004F5ACA">
        <w:t xml:space="preserve">Les pré-scénarii </w:t>
      </w:r>
      <w:r w:rsidR="00386AE2">
        <w:t xml:space="preserve">sur une ou plusieurs </w:t>
      </w:r>
      <w:r w:rsidRPr="004F5ACA">
        <w:t>installation</w:t>
      </w:r>
      <w:r w:rsidR="00386AE2">
        <w:t>s</w:t>
      </w:r>
      <w:r w:rsidRPr="004F5ACA">
        <w:t xml:space="preserve"> de réemploi-réutilisation</w:t>
      </w:r>
      <w:r w:rsidR="00386AE2">
        <w:t xml:space="preserve"> et/ou réparation</w:t>
      </w:r>
      <w:r w:rsidRPr="004F5ACA">
        <w:t>.</w:t>
      </w:r>
    </w:p>
    <w:p w14:paraId="27CC74DA" w14:textId="7A4839F5" w:rsidR="004F5ACA" w:rsidRPr="007B52ED" w:rsidRDefault="004F5ACA" w:rsidP="008D66F1">
      <w:pPr>
        <w:pStyle w:val="Pucenoir"/>
        <w:spacing w:after="60"/>
        <w:jc w:val="both"/>
      </w:pPr>
      <w:r w:rsidRPr="005E76C4">
        <w:rPr>
          <w:b/>
          <w:bCs/>
        </w:rPr>
        <w:t>Les études de faisabilité</w:t>
      </w:r>
      <w:r w:rsidR="005E76C4">
        <w:rPr>
          <w:rFonts w:ascii="Calibri" w:hAnsi="Calibri" w:cs="Calibri"/>
        </w:rPr>
        <w:t xml:space="preserve"> </w:t>
      </w:r>
      <w:r w:rsidR="007B52ED" w:rsidRPr="007B52ED">
        <w:rPr>
          <w:rFonts w:cs="Calibri"/>
        </w:rPr>
        <w:t>(</w:t>
      </w:r>
      <w:r w:rsidR="005E76C4">
        <w:rPr>
          <w:rFonts w:cs="Calibri"/>
        </w:rPr>
        <w:t xml:space="preserve">préalable </w:t>
      </w:r>
      <w:r w:rsidR="00170725">
        <w:rPr>
          <w:rFonts w:cs="Calibri"/>
        </w:rPr>
        <w:t>à la concrétisation d’un</w:t>
      </w:r>
      <w:r w:rsidR="007B52ED" w:rsidRPr="007B52ED">
        <w:rPr>
          <w:rFonts w:cs="Calibri"/>
        </w:rPr>
        <w:t xml:space="preserve"> projet</w:t>
      </w:r>
      <w:r w:rsidR="00F205BA">
        <w:rPr>
          <w:rFonts w:cs="Calibri"/>
        </w:rPr>
        <w:t xml:space="preserve"> </w:t>
      </w:r>
      <w:r w:rsidR="005200D7">
        <w:rPr>
          <w:rFonts w:cs="Calibri"/>
        </w:rPr>
        <w:t>pour la création d’une activité ou le développement de l’existant</w:t>
      </w:r>
      <w:r w:rsidR="007B52ED" w:rsidRPr="007B52ED">
        <w:rPr>
          <w:rFonts w:cs="Calibri"/>
        </w:rPr>
        <w:t xml:space="preserve">) </w:t>
      </w:r>
      <w:r w:rsidR="00170725">
        <w:rPr>
          <w:rFonts w:cs="Calibri"/>
        </w:rPr>
        <w:t xml:space="preserve">qui doivent </w:t>
      </w:r>
      <w:proofErr w:type="gramStart"/>
      <w:r w:rsidR="00170725">
        <w:rPr>
          <w:rFonts w:cs="Calibri"/>
        </w:rPr>
        <w:t>a</w:t>
      </w:r>
      <w:proofErr w:type="gramEnd"/>
      <w:r w:rsidR="00170725">
        <w:rPr>
          <w:rFonts w:cs="Calibri"/>
        </w:rPr>
        <w:t xml:space="preserve"> minima comprendre</w:t>
      </w:r>
      <w:r w:rsidR="00546DFB">
        <w:rPr>
          <w:rFonts w:ascii="Calibri" w:hAnsi="Calibri" w:cs="Calibri"/>
        </w:rPr>
        <w:t> </w:t>
      </w:r>
      <w:r w:rsidR="00546DFB">
        <w:t>:</w:t>
      </w:r>
    </w:p>
    <w:p w14:paraId="0695C7AE" w14:textId="7DFEAB37" w:rsidR="00FE44CC" w:rsidRDefault="00E73035" w:rsidP="008D66F1">
      <w:pPr>
        <w:pStyle w:val="Pucerond"/>
        <w:jc w:val="both"/>
      </w:pPr>
      <w:r>
        <w:t xml:space="preserve">Le contexte et le détail de l’émergence de l’idée et du projet, </w:t>
      </w:r>
      <w:r w:rsidR="0043285C">
        <w:t>re</w:t>
      </w:r>
      <w:r w:rsidR="007E200B">
        <w:t xml:space="preserve">mis en situation </w:t>
      </w:r>
      <w:r w:rsidR="004C7BD2">
        <w:t xml:space="preserve">et argumenté </w:t>
      </w:r>
      <w:r w:rsidR="007E200B">
        <w:t>par rapport à l</w:t>
      </w:r>
      <w:r w:rsidR="005F3C46">
        <w:t>’écosystème thématique</w:t>
      </w:r>
      <w:r w:rsidR="004C7BD2">
        <w:t xml:space="preserve"> du Réemploi-Réparation</w:t>
      </w:r>
      <w:r w:rsidR="005F3C46">
        <w:t xml:space="preserve"> </w:t>
      </w:r>
      <w:r w:rsidR="00BF5D3E">
        <w:t>(</w:t>
      </w:r>
      <w:r w:rsidR="005F3C46">
        <w:t>analyse de</w:t>
      </w:r>
      <w:r w:rsidR="004C7BD2">
        <w:t>s besoins, des</w:t>
      </w:r>
      <w:r w:rsidR="009844CA">
        <w:t xml:space="preserve"> </w:t>
      </w:r>
      <w:r w:rsidR="00036B16">
        <w:t>initiatives e</w:t>
      </w:r>
      <w:r w:rsidR="005F3C46">
        <w:t>xistant</w:t>
      </w:r>
      <w:r w:rsidR="00036B16">
        <w:t>e</w:t>
      </w:r>
      <w:r w:rsidR="009844CA">
        <w:t>s et similaires</w:t>
      </w:r>
      <w:r w:rsidR="005F3C46">
        <w:t>, de la concurrence</w:t>
      </w:r>
      <w:r w:rsidR="00036B16">
        <w:t>,</w:t>
      </w:r>
      <w:r w:rsidR="005F3C46">
        <w:t xml:space="preserve"> du contexte réglementaire</w:t>
      </w:r>
      <w:r w:rsidR="00DA13CC">
        <w:t xml:space="preserve"> et technique, etc.)</w:t>
      </w:r>
      <w:r w:rsidR="002505D5">
        <w:rPr>
          <w:rFonts w:ascii="Calibri" w:hAnsi="Calibri" w:cs="Calibri"/>
        </w:rPr>
        <w:t> </w:t>
      </w:r>
      <w:r w:rsidR="005F3C46">
        <w:t>;</w:t>
      </w:r>
    </w:p>
    <w:p w14:paraId="69ABA1D7" w14:textId="1C9AA39F" w:rsidR="004F5ACA" w:rsidRPr="004F5ACA" w:rsidRDefault="004F5ACA" w:rsidP="008D66F1">
      <w:pPr>
        <w:pStyle w:val="Pucerond"/>
        <w:jc w:val="both"/>
      </w:pPr>
      <w:r w:rsidRPr="004F5ACA">
        <w:t>Une proposition</w:t>
      </w:r>
      <w:r w:rsidR="002A4E22">
        <w:t xml:space="preserve"> et étude</w:t>
      </w:r>
      <w:r w:rsidRPr="004F5ACA">
        <w:t xml:space="preserve"> des différents</w:t>
      </w:r>
      <w:r w:rsidR="00546DFB">
        <w:t xml:space="preserve"> scénarii technico-économiques</w:t>
      </w:r>
      <w:r w:rsidR="002505D5">
        <w:rPr>
          <w:rFonts w:ascii="Calibri" w:hAnsi="Calibri" w:cs="Calibri"/>
        </w:rPr>
        <w:t> </w:t>
      </w:r>
      <w:r w:rsidR="00546DFB">
        <w:t>;</w:t>
      </w:r>
    </w:p>
    <w:p w14:paraId="786C9C5B" w14:textId="24C366AE" w:rsidR="004F5ACA" w:rsidRPr="004F5ACA" w:rsidRDefault="004F5ACA" w:rsidP="008D66F1">
      <w:pPr>
        <w:pStyle w:val="Pucerond"/>
        <w:jc w:val="both"/>
      </w:pPr>
      <w:r w:rsidRPr="004F5ACA">
        <w:t>Une analyse des implantation</w:t>
      </w:r>
      <w:r w:rsidR="00546DFB">
        <w:t>s et du fonctionnement du site</w:t>
      </w:r>
      <w:r w:rsidR="00F06B01">
        <w:t xml:space="preserve"> envisagé</w:t>
      </w:r>
      <w:r w:rsidR="002E11FE">
        <w:t xml:space="preserve"> ou existant</w:t>
      </w:r>
      <w:r w:rsidR="002505D5">
        <w:rPr>
          <w:rFonts w:ascii="Calibri" w:hAnsi="Calibri" w:cs="Calibri"/>
        </w:rPr>
        <w:t> </w:t>
      </w:r>
      <w:r w:rsidR="00546DFB">
        <w:t>;</w:t>
      </w:r>
    </w:p>
    <w:p w14:paraId="79B7346F" w14:textId="782E3DFF" w:rsidR="004F5ACA" w:rsidRPr="004F5ACA" w:rsidRDefault="004F5ACA" w:rsidP="008D66F1">
      <w:pPr>
        <w:pStyle w:val="Pucerond"/>
        <w:jc w:val="both"/>
      </w:pPr>
      <w:r w:rsidRPr="004F5ACA">
        <w:t>Une étude de l’approvisionne</w:t>
      </w:r>
      <w:r w:rsidR="00546DFB">
        <w:t>ment et de la gestion des flux</w:t>
      </w:r>
      <w:r w:rsidR="002505D5">
        <w:rPr>
          <w:rFonts w:ascii="Calibri" w:hAnsi="Calibri" w:cs="Calibri"/>
        </w:rPr>
        <w:t> </w:t>
      </w:r>
      <w:r w:rsidR="00546DFB">
        <w:t>;</w:t>
      </w:r>
    </w:p>
    <w:p w14:paraId="04637D64" w14:textId="17F79A4E" w:rsidR="004F5ACA" w:rsidRPr="004F5ACA" w:rsidRDefault="004F5ACA" w:rsidP="008D66F1">
      <w:pPr>
        <w:pStyle w:val="Pucerond"/>
        <w:jc w:val="both"/>
      </w:pPr>
      <w:r w:rsidRPr="004F5ACA">
        <w:t>Un</w:t>
      </w:r>
      <w:r w:rsidR="002E11FE">
        <w:t>e</w:t>
      </w:r>
      <w:r w:rsidRPr="004F5ACA">
        <w:t xml:space="preserve"> stratégie commerc</w:t>
      </w:r>
      <w:r w:rsidR="00546DFB">
        <w:t>iale et de ressources humaines</w:t>
      </w:r>
      <w:r w:rsidR="002505D5">
        <w:rPr>
          <w:rFonts w:ascii="Calibri" w:hAnsi="Calibri" w:cs="Calibri"/>
        </w:rPr>
        <w:t> </w:t>
      </w:r>
      <w:r w:rsidR="00546DFB">
        <w:t>;</w:t>
      </w:r>
    </w:p>
    <w:p w14:paraId="77CE0A90" w14:textId="17CAE79B" w:rsidR="004F5ACA" w:rsidRPr="004F5ACA" w:rsidRDefault="004F5ACA" w:rsidP="008D66F1">
      <w:pPr>
        <w:pStyle w:val="Pucerond"/>
        <w:jc w:val="both"/>
      </w:pPr>
      <w:r w:rsidRPr="004F5ACA">
        <w:t>L’identific</w:t>
      </w:r>
      <w:r w:rsidR="00546DFB">
        <w:t>ation d</w:t>
      </w:r>
      <w:r w:rsidR="006C3ADC">
        <w:t xml:space="preserve">e la </w:t>
      </w:r>
      <w:r w:rsidR="00546DFB">
        <w:t>structure porteuse</w:t>
      </w:r>
      <w:r w:rsidR="002505D5">
        <w:rPr>
          <w:rFonts w:ascii="Calibri" w:hAnsi="Calibri" w:cs="Calibri"/>
        </w:rPr>
        <w:t> </w:t>
      </w:r>
      <w:r w:rsidR="00546DFB">
        <w:t>;</w:t>
      </w:r>
    </w:p>
    <w:p w14:paraId="36784115" w14:textId="21573C26" w:rsidR="004F5ACA" w:rsidRPr="004F5ACA" w:rsidRDefault="004F5ACA" w:rsidP="008D66F1">
      <w:pPr>
        <w:pStyle w:val="Pucerond"/>
        <w:jc w:val="both"/>
      </w:pPr>
      <w:r w:rsidRPr="004F5ACA">
        <w:t>L’a</w:t>
      </w:r>
      <w:r w:rsidR="00546DFB">
        <w:t>nalyse juridique et budgétaire</w:t>
      </w:r>
      <w:r w:rsidR="006C3ADC">
        <w:t xml:space="preserve"> avec </w:t>
      </w:r>
      <w:r w:rsidR="008F3718">
        <w:t>l’</w:t>
      </w:r>
      <w:r w:rsidR="008F3718">
        <w:rPr>
          <w:rFonts w:cs="Marianne Light"/>
        </w:rPr>
        <w:t>élaboration d’</w:t>
      </w:r>
      <w:r w:rsidR="006C3ADC">
        <w:t>un business-plan</w:t>
      </w:r>
      <w:r w:rsidR="002505D5">
        <w:rPr>
          <w:rFonts w:ascii="Calibri" w:hAnsi="Calibri" w:cs="Calibri"/>
        </w:rPr>
        <w:t> </w:t>
      </w:r>
      <w:r w:rsidR="00546DFB">
        <w:t>;</w:t>
      </w:r>
    </w:p>
    <w:p w14:paraId="3E658564" w14:textId="45734841" w:rsidR="004F5ACA" w:rsidRPr="004F5ACA" w:rsidRDefault="00546DFB" w:rsidP="008D66F1">
      <w:pPr>
        <w:pStyle w:val="Pucerond"/>
        <w:jc w:val="both"/>
      </w:pPr>
      <w:r>
        <w:t>Les partenariats potentiels</w:t>
      </w:r>
      <w:r w:rsidR="004D4F4D">
        <w:t xml:space="preserve"> (publics et privés</w:t>
      </w:r>
      <w:r w:rsidR="00D430F9">
        <w:t xml:space="preserve"> et notamment avec les éco-organismes concernés</w:t>
      </w:r>
      <w:r w:rsidR="004D4F4D">
        <w:t>)</w:t>
      </w:r>
      <w:r w:rsidR="002505D5">
        <w:rPr>
          <w:rFonts w:ascii="Calibri" w:hAnsi="Calibri" w:cs="Calibri"/>
        </w:rPr>
        <w:t> </w:t>
      </w:r>
      <w:r>
        <w:t>;</w:t>
      </w:r>
    </w:p>
    <w:p w14:paraId="06445B81" w14:textId="3A39E143" w:rsidR="009E62E2" w:rsidRPr="003123E1" w:rsidRDefault="004F5ACA" w:rsidP="008D66F1">
      <w:pPr>
        <w:pStyle w:val="Pucerond"/>
        <w:jc w:val="both"/>
      </w:pPr>
      <w:r w:rsidRPr="004F5ACA">
        <w:t>L’analyse des plus-values locales, environnementales et sociales.</w:t>
      </w:r>
    </w:p>
    <w:p w14:paraId="3A24E8A2" w14:textId="5E224F63" w:rsidR="007B52ED" w:rsidRPr="00BC3305" w:rsidRDefault="00A03817" w:rsidP="00BC3305">
      <w:pPr>
        <w:pStyle w:val="Titre1"/>
      </w:pPr>
      <w:r w:rsidRPr="00BC3305">
        <w:t>FORME ET MODALITES DE CALCUL DE L’AIDE</w:t>
      </w:r>
    </w:p>
    <w:p w14:paraId="34FD7056" w14:textId="599F05BA" w:rsidR="007B52ED" w:rsidRPr="0062475C" w:rsidRDefault="007B52ED" w:rsidP="00BC3305">
      <w:pPr>
        <w:pStyle w:val="TexteCourant"/>
      </w:pPr>
      <w:r w:rsidRPr="0062475C">
        <w:t>L’aide est attribuée sous forme de subvention en fonction de la qualification de l’activité aidée et l</w:t>
      </w:r>
      <w:r w:rsidR="00546DFB">
        <w:t>a taille de l’entreprise aidée.</w:t>
      </w:r>
    </w:p>
    <w:p w14:paraId="79CB52C7" w14:textId="39967392" w:rsidR="007B52ED" w:rsidRPr="0062475C" w:rsidRDefault="007B52ED" w:rsidP="00BC3305">
      <w:pPr>
        <w:pStyle w:val="TexteCourant"/>
      </w:pPr>
      <w:r w:rsidRPr="0062475C">
        <w:t xml:space="preserve">Cette aide peut aller jusqu’à </w:t>
      </w:r>
      <w:r w:rsidR="001D6E5E">
        <w:t>8</w:t>
      </w:r>
      <w:r w:rsidRPr="0062475C">
        <w:t>0 % pour une petite entreprise ou dans le cadre d’une activité non é</w:t>
      </w:r>
      <w:r w:rsidR="00546DFB">
        <w:t>conomique.</w:t>
      </w:r>
    </w:p>
    <w:p w14:paraId="3F3583D1" w14:textId="281C9D03" w:rsidR="007B52ED" w:rsidRDefault="007B52ED" w:rsidP="009E62E2">
      <w:pPr>
        <w:pStyle w:val="TexteCourant"/>
      </w:pPr>
      <w:r w:rsidRPr="0062475C">
        <w:t xml:space="preserve">Les Petites, Moyennes ou Grandes Entreprises sont qualifiées selon la </w:t>
      </w:r>
      <w:hyperlink r:id="rId10" w:history="1">
        <w:r w:rsidRPr="0062475C">
          <w:t>définition européenne</w:t>
        </w:r>
      </w:hyperlink>
      <w:r w:rsidRPr="0062475C">
        <w:t xml:space="preserve">. Pour en savoir plus, consultez la page </w:t>
      </w:r>
      <w:r w:rsidR="007B1CDC">
        <w:t>«</w:t>
      </w:r>
      <w:r w:rsidR="007B1CDC">
        <w:rPr>
          <w:rFonts w:ascii="Calibri" w:hAnsi="Calibri" w:cs="Calibri"/>
        </w:rPr>
        <w:t> </w:t>
      </w:r>
      <w:hyperlink r:id="rId11" w:history="1">
        <w:r w:rsidRPr="0062475C">
          <w:t>Comment définit-on les petites et moyennes entreprises</w:t>
        </w:r>
        <w:r w:rsidR="002505D5">
          <w:rPr>
            <w:rFonts w:ascii="Calibri" w:hAnsi="Calibri" w:cs="Calibri"/>
          </w:rPr>
          <w:t> </w:t>
        </w:r>
        <w:r w:rsidRPr="0062475C">
          <w:t>?</w:t>
        </w:r>
      </w:hyperlink>
      <w:r w:rsidR="007B1CDC">
        <w:rPr>
          <w:rFonts w:ascii="Calibri" w:hAnsi="Calibri" w:cs="Calibri"/>
        </w:rPr>
        <w:t> </w:t>
      </w:r>
      <w:r w:rsidR="007B1CDC">
        <w:rPr>
          <w:rFonts w:cs="Marianne Light"/>
        </w:rPr>
        <w:t>»</w:t>
      </w:r>
      <w:r w:rsidRPr="0062475C">
        <w:t xml:space="preserve"> </w:t>
      </w:r>
      <w:hyperlink r:id="rId12" w:history="1">
        <w:r w:rsidRPr="00242E8C">
          <w:rPr>
            <w:rStyle w:val="Lienhypertexte"/>
          </w:rPr>
          <w:t>sur le portail</w:t>
        </w:r>
        <w:r w:rsidR="00242E8C" w:rsidRPr="00242E8C">
          <w:rPr>
            <w:rStyle w:val="Lienhypertexte"/>
          </w:rPr>
          <w:t xml:space="preserve"> du Ministère de</w:t>
        </w:r>
        <w:r w:rsidRPr="00242E8C">
          <w:rPr>
            <w:rStyle w:val="Lienhypertexte"/>
          </w:rPr>
          <w:t xml:space="preserve"> l’Économie</w:t>
        </w:r>
      </w:hyperlink>
      <w:r w:rsidR="00F705E2">
        <w:t>.</w:t>
      </w:r>
    </w:p>
    <w:p w14:paraId="5E53D78F" w14:textId="77777777" w:rsidR="001D6E5E" w:rsidRPr="002554A0" w:rsidRDefault="001D6E5E" w:rsidP="001D6E5E">
      <w:pPr>
        <w:jc w:val="both"/>
        <w:rPr>
          <w:rFonts w:ascii="Marianne Light" w:hAnsi="Marianne Light" w:cs="Arial"/>
          <w:sz w:val="18"/>
        </w:rPr>
      </w:pPr>
      <w:r w:rsidRPr="002554A0">
        <w:rPr>
          <w:rFonts w:ascii="Marianne Light" w:hAnsi="Marianne Light" w:cs="Arial"/>
          <w:sz w:val="18"/>
        </w:rPr>
        <w:t>Le montant de l’aide est calculé de manière à respecter les règles de cumul des aides publiques autorisé par l’encadrement européen des aides d’État et par la règlementation nationale applicable.</w:t>
      </w:r>
    </w:p>
    <w:p w14:paraId="030EADB7" w14:textId="67695019" w:rsidR="007B52ED" w:rsidRPr="00BC3305" w:rsidRDefault="00A03817" w:rsidP="00BC3305">
      <w:pPr>
        <w:pStyle w:val="Titre1"/>
      </w:pPr>
      <w:r w:rsidRPr="00BC3305">
        <w:t>CONDITIONS DE VERSEMENT</w:t>
      </w:r>
    </w:p>
    <w:p w14:paraId="652AEF37" w14:textId="233E301C" w:rsidR="007B52ED" w:rsidRPr="0062475C" w:rsidRDefault="007B52ED" w:rsidP="007B52ED">
      <w:pPr>
        <w:pStyle w:val="TexteCourant"/>
        <w:rPr>
          <w:rFonts w:eastAsiaTheme="minorHAnsi" w:cstheme="minorBidi"/>
          <w:color w:val="auto"/>
          <w:kern w:val="0"/>
          <w:szCs w:val="18"/>
          <w:lang w:eastAsia="en-US"/>
          <w14:ligatures w14:val="none"/>
          <w14:cntxtAlts w14:val="0"/>
        </w:rPr>
      </w:pPr>
      <w:r w:rsidRPr="0062475C">
        <w:rPr>
          <w:rFonts w:eastAsiaTheme="minorHAnsi" w:cstheme="minorBidi"/>
          <w:color w:val="auto"/>
          <w:kern w:val="0"/>
          <w:szCs w:val="18"/>
          <w:lang w:eastAsia="en-US"/>
          <w14:ligatures w14:val="none"/>
          <w14:cntxtAlts w14:val="0"/>
        </w:rPr>
        <w:t>Le versement est réalisé en fonction de l’avancement de l’opération, en un ou plusieurs versements, comme indiqué dans le contrat de financement</w:t>
      </w:r>
      <w:r w:rsidR="00590C69">
        <w:rPr>
          <w:rFonts w:ascii="Calibri" w:eastAsiaTheme="minorHAnsi" w:hAnsi="Calibri" w:cs="Calibri"/>
          <w:color w:val="auto"/>
          <w:kern w:val="0"/>
          <w:szCs w:val="18"/>
          <w:lang w:eastAsia="en-US"/>
          <w14:ligatures w14:val="none"/>
          <w14:cntxtAlts w14:val="0"/>
        </w:rPr>
        <w:t xml:space="preserve"> </w:t>
      </w:r>
      <w:r w:rsidRPr="0062475C">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67243E52" w14:textId="23C86443" w:rsidR="007B52ED" w:rsidRDefault="007B52ED" w:rsidP="009E62E2">
      <w:pPr>
        <w:pStyle w:val="TexteCourant"/>
        <w:rPr>
          <w:rFonts w:eastAsiaTheme="minorHAnsi" w:cstheme="minorBidi"/>
          <w:color w:val="auto"/>
          <w:kern w:val="0"/>
          <w:szCs w:val="18"/>
          <w:lang w:eastAsia="en-US"/>
          <w14:ligatures w14:val="none"/>
          <w14:cntxtAlts w14:val="0"/>
        </w:rPr>
      </w:pPr>
      <w:r w:rsidRPr="0062475C">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7477C02E" w14:textId="7A2D64E2" w:rsidR="007B52ED" w:rsidRPr="0062475C" w:rsidRDefault="00A03817" w:rsidP="00BC3305">
      <w:pPr>
        <w:pStyle w:val="Titre1"/>
      </w:pPr>
      <w:r w:rsidRPr="0062475C">
        <w:t>ENGAGEMENTS DU BENEFICIAIRE</w:t>
      </w:r>
    </w:p>
    <w:p w14:paraId="3114903C" w14:textId="77777777" w:rsidR="007B52ED" w:rsidRPr="0062475C" w:rsidRDefault="007B52ED" w:rsidP="007B52ED">
      <w:pPr>
        <w:autoSpaceDE w:val="0"/>
        <w:autoSpaceDN w:val="0"/>
        <w:adjustRightInd w:val="0"/>
        <w:jc w:val="both"/>
        <w:rPr>
          <w:rFonts w:ascii="Marianne Light" w:hAnsi="Marianne Light" w:cs="Arial"/>
          <w:sz w:val="18"/>
          <w:szCs w:val="18"/>
        </w:rPr>
      </w:pPr>
      <w:r w:rsidRPr="0062475C">
        <w:rPr>
          <w:rFonts w:ascii="Marianne Light" w:hAnsi="Marianne Light" w:cs="Arial"/>
          <w:sz w:val="18"/>
          <w:szCs w:val="18"/>
        </w:rPr>
        <w:t>L’attribution d’une aide ADEME engage le porteur de projet à respecter certains engagements</w:t>
      </w:r>
      <w:r w:rsidRPr="0062475C">
        <w:rPr>
          <w:rFonts w:cs="Calibri"/>
          <w:sz w:val="18"/>
          <w:szCs w:val="18"/>
        </w:rPr>
        <w:t> </w:t>
      </w:r>
      <w:r w:rsidRPr="0062475C">
        <w:rPr>
          <w:rFonts w:ascii="Marianne Light" w:hAnsi="Marianne Light" w:cs="Arial"/>
          <w:sz w:val="18"/>
          <w:szCs w:val="18"/>
        </w:rPr>
        <w:t>:</w:t>
      </w:r>
    </w:p>
    <w:p w14:paraId="7CEE1A72" w14:textId="555768E0" w:rsidR="007B52ED" w:rsidRPr="0062475C" w:rsidRDefault="00FA1329" w:rsidP="00BC3305">
      <w:pPr>
        <w:pStyle w:val="Pucenoir"/>
        <w:spacing w:after="60"/>
      </w:pPr>
      <w:r w:rsidRPr="0062475C">
        <w:t>En</w:t>
      </w:r>
      <w:r w:rsidR="007B52ED" w:rsidRPr="0062475C">
        <w:t xml:space="preserve"> matière de communication</w:t>
      </w:r>
      <w:r w:rsidR="007B52ED" w:rsidRPr="0062475C">
        <w:rPr>
          <w:rFonts w:ascii="Calibri" w:hAnsi="Calibri" w:cs="Calibri"/>
        </w:rPr>
        <w:t> </w:t>
      </w:r>
      <w:r w:rsidR="007B52ED" w:rsidRPr="0062475C">
        <w:t>:</w:t>
      </w:r>
    </w:p>
    <w:p w14:paraId="557980A6" w14:textId="1018DFFA" w:rsidR="007B52ED" w:rsidRPr="0062475C" w:rsidRDefault="00FA1329" w:rsidP="00BC3305">
      <w:pPr>
        <w:pStyle w:val="Pucerond"/>
      </w:pPr>
      <w:r w:rsidRPr="0062475C">
        <w:t>Selon</w:t>
      </w:r>
      <w:r w:rsidR="007B52ED" w:rsidRPr="0062475C">
        <w:t xml:space="preserve"> les spécifications des règles générales de l’ADEME, en vigueur au moment de la notification du contrat de financemen</w:t>
      </w:r>
      <w:r w:rsidR="00810E42">
        <w:t xml:space="preserve">t (et </w:t>
      </w:r>
      <w:r w:rsidR="00114B89">
        <w:t>précisées dans celui-ci).</w:t>
      </w:r>
    </w:p>
    <w:p w14:paraId="31493640" w14:textId="25552B46" w:rsidR="007B52ED" w:rsidRPr="0062475C" w:rsidRDefault="00FA1329" w:rsidP="00BC3305">
      <w:pPr>
        <w:pStyle w:val="Pucenoir"/>
        <w:spacing w:after="60"/>
      </w:pPr>
      <w:r w:rsidRPr="0062475C">
        <w:t>En</w:t>
      </w:r>
      <w:r w:rsidR="007B52ED" w:rsidRPr="0062475C">
        <w:t xml:space="preserve"> matière de remise de rapport</w:t>
      </w:r>
      <w:r w:rsidR="007B52ED" w:rsidRPr="0062475C">
        <w:rPr>
          <w:rFonts w:ascii="Calibri" w:hAnsi="Calibri" w:cs="Calibri"/>
        </w:rPr>
        <w:t> </w:t>
      </w:r>
      <w:r w:rsidR="007B52ED" w:rsidRPr="0062475C">
        <w:t>:</w:t>
      </w:r>
    </w:p>
    <w:p w14:paraId="60B2F5D6" w14:textId="79AE3991" w:rsidR="007B52ED" w:rsidRPr="0062475C" w:rsidRDefault="00FA1329" w:rsidP="00BC3305">
      <w:pPr>
        <w:pStyle w:val="Pucerond"/>
      </w:pPr>
      <w:r w:rsidRPr="0062475C">
        <w:t>D’avancement</w:t>
      </w:r>
      <w:r w:rsidR="007B52ED" w:rsidRPr="0062475C">
        <w:t>, le cas échéant, pendant la réalisation de l’opération</w:t>
      </w:r>
      <w:r w:rsidR="00546DFB">
        <w:rPr>
          <w:rFonts w:ascii="Calibri" w:hAnsi="Calibri" w:cs="Calibri"/>
        </w:rPr>
        <w:t> </w:t>
      </w:r>
      <w:r w:rsidR="00546DFB">
        <w:t>;</w:t>
      </w:r>
    </w:p>
    <w:p w14:paraId="4C8E029C" w14:textId="1EDD4CA2" w:rsidR="007B52ED" w:rsidRPr="0062475C" w:rsidRDefault="00FA1329" w:rsidP="00BC3305">
      <w:pPr>
        <w:pStyle w:val="Pucerond"/>
      </w:pPr>
      <w:r w:rsidRPr="0062475C">
        <w:t>Final</w:t>
      </w:r>
      <w:r w:rsidR="00546DFB">
        <w:t>, en fin d’opération.</w:t>
      </w:r>
    </w:p>
    <w:p w14:paraId="7F06FBC7" w14:textId="4E821FAE" w:rsidR="007B52ED" w:rsidRPr="0062475C" w:rsidRDefault="007F0130" w:rsidP="00BC3305">
      <w:pPr>
        <w:pStyle w:val="TexteCourant"/>
      </w:pPr>
      <w:r>
        <w:t>L</w:t>
      </w:r>
      <w:r w:rsidR="007B52ED" w:rsidRPr="0062475C">
        <w:t>e contenu</w:t>
      </w:r>
      <w:r>
        <w:t xml:space="preserve"> attendu </w:t>
      </w:r>
      <w:r w:rsidR="007B52ED" w:rsidRPr="0062475C">
        <w:t xml:space="preserve">et la forme des rapports seront </w:t>
      </w:r>
      <w:r w:rsidR="001E06F9">
        <w:t>indiqués</w:t>
      </w:r>
      <w:r w:rsidR="007B52ED" w:rsidRPr="0062475C">
        <w:t xml:space="preserve"> dans le contrat.</w:t>
      </w:r>
    </w:p>
    <w:p w14:paraId="486656AD" w14:textId="4E064EF0" w:rsidR="00D430F9" w:rsidRDefault="007B52ED" w:rsidP="002054CD">
      <w:pPr>
        <w:pStyle w:val="TexteCourant"/>
      </w:pPr>
      <w:r w:rsidRPr="0062475C">
        <w:t>Des engagements spécifiques pourront également être demandés selon les dispositifs d’aide et les types d’opération</w:t>
      </w:r>
      <w:r w:rsidRPr="0062475C">
        <w:rPr>
          <w:rFonts w:ascii="Calibri" w:hAnsi="Calibri" w:cs="Calibri"/>
        </w:rPr>
        <w:t> </w:t>
      </w:r>
      <w:r w:rsidRPr="0062475C">
        <w:t xml:space="preserve">; ceux-ci sont indiqués </w:t>
      </w:r>
      <w:r w:rsidR="00546DFB">
        <w:t>dans le contrat de financement.</w:t>
      </w:r>
    </w:p>
    <w:p w14:paraId="20E6DA8C" w14:textId="284F33C5" w:rsidR="00A02888" w:rsidRPr="009E62E2" w:rsidRDefault="00A03817" w:rsidP="009E62E2">
      <w:pPr>
        <w:pStyle w:val="Titre1"/>
      </w:pPr>
      <w:r w:rsidRPr="009E62E2">
        <w:lastRenderedPageBreak/>
        <w:t>CONDITIONS DE DEPOT SUR AGIR</w:t>
      </w:r>
    </w:p>
    <w:p w14:paraId="3DD288CE" w14:textId="77777777" w:rsidR="00F45613" w:rsidRPr="0038673F" w:rsidRDefault="00F45613" w:rsidP="004A2BA4">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0D7107D" w14:textId="77777777" w:rsidR="00F45613" w:rsidRPr="00330245" w:rsidRDefault="00F45613" w:rsidP="004A2BA4">
      <w:pPr>
        <w:pStyle w:val="Soustitre"/>
        <w:spacing w:before="0"/>
        <w:rPr>
          <w:sz w:val="24"/>
          <w:szCs w:val="16"/>
        </w:rPr>
      </w:pPr>
      <w:r w:rsidRPr="00330245">
        <w:rPr>
          <w:sz w:val="24"/>
          <w:szCs w:val="16"/>
        </w:rPr>
        <w:t>Les éléments administratifs vous concernant</w:t>
      </w:r>
      <w:r w:rsidRPr="00330245">
        <w:rPr>
          <w:rFonts w:ascii="Calibri" w:hAnsi="Calibri" w:cs="Calibri"/>
          <w:sz w:val="24"/>
          <w:szCs w:val="16"/>
        </w:rPr>
        <w:t> </w:t>
      </w:r>
      <w:r w:rsidRPr="00330245">
        <w:rPr>
          <w:sz w:val="24"/>
          <w:szCs w:val="16"/>
        </w:rPr>
        <w:t xml:space="preserve"> </w:t>
      </w:r>
    </w:p>
    <w:p w14:paraId="65A07A74" w14:textId="36B8CBFC" w:rsidR="00F45613" w:rsidRPr="00CA5E3B" w:rsidRDefault="003C4E57" w:rsidP="0038673F">
      <w:pPr>
        <w:pStyle w:val="TexteCourant"/>
        <w:rPr>
          <w:rFonts w:eastAsia="Calibri"/>
          <w:highlight w:val="lightGray"/>
          <w:lang w:eastAsia="en-US"/>
        </w:rPr>
      </w:pPr>
      <w:r w:rsidRPr="00CA5E3B">
        <w:rPr>
          <w:rFonts w:eastAsia="Calibri"/>
          <w:highlight w:val="lightGray"/>
          <w:lang w:eastAsia="en-US"/>
        </w:rPr>
        <w:t>Il conviendra de saisir en ligne les informations suivantes</w:t>
      </w:r>
      <w:r w:rsidRPr="00CA5E3B">
        <w:rPr>
          <w:rFonts w:ascii="Calibri" w:eastAsia="Calibri" w:hAnsi="Calibri" w:cs="Calibri"/>
          <w:highlight w:val="lightGray"/>
          <w:lang w:eastAsia="en-US"/>
        </w:rPr>
        <w:t> </w:t>
      </w:r>
      <w:r w:rsidRPr="00CA5E3B">
        <w:rPr>
          <w:rFonts w:eastAsia="Calibri"/>
          <w:highlight w:val="lightGray"/>
          <w:lang w:eastAsia="en-US"/>
        </w:rPr>
        <w:t xml:space="preserve">: </w:t>
      </w:r>
      <w:r w:rsidR="00F45613" w:rsidRPr="00CA5E3B">
        <w:rPr>
          <w:rFonts w:eastAsia="Calibri"/>
          <w:highlight w:val="lightGray"/>
          <w:lang w:eastAsia="en-US"/>
        </w:rPr>
        <w:t>SIRET, définition PME (si concerné), noms et coordonnées (mail, téléphone) du représentant légal, du responsable technique, du responsable administratif</w:t>
      </w:r>
      <w:r w:rsidR="00221632">
        <w:rPr>
          <w:rFonts w:eastAsia="Calibri"/>
          <w:highlight w:val="lightGray"/>
          <w:lang w:eastAsia="en-US"/>
        </w:rPr>
        <w:t>, etc</w:t>
      </w:r>
      <w:r w:rsidR="00590C69" w:rsidRPr="00CA5E3B">
        <w:rPr>
          <w:rFonts w:eastAsia="Calibri"/>
          <w:highlight w:val="lightGray"/>
          <w:lang w:eastAsia="en-US"/>
        </w:rPr>
        <w:t>.</w:t>
      </w:r>
    </w:p>
    <w:p w14:paraId="58869552" w14:textId="77777777" w:rsidR="00F45613" w:rsidRPr="00330245" w:rsidRDefault="00F45613" w:rsidP="009E62E2">
      <w:pPr>
        <w:pStyle w:val="Soustitre"/>
        <w:rPr>
          <w:sz w:val="24"/>
          <w:szCs w:val="16"/>
        </w:rPr>
      </w:pPr>
      <w:r w:rsidRPr="00330245">
        <w:rPr>
          <w:sz w:val="24"/>
          <w:szCs w:val="16"/>
        </w:rPr>
        <w:t>La description du projet (1300 caractères espaces compris)</w:t>
      </w:r>
    </w:p>
    <w:p w14:paraId="3E1B5B2F" w14:textId="1D977AC8" w:rsidR="00F45613" w:rsidRDefault="00F45613" w:rsidP="0038673F">
      <w:pPr>
        <w:pStyle w:val="Texteexerguesurligngris"/>
      </w:pPr>
      <w:r w:rsidRPr="0038673F">
        <w:rPr>
          <w:highlight w:val="lightGray"/>
        </w:rPr>
        <w:t>Présenter le porteur de projet, préciser s’il s’agit d’une création ou d’une extension, sa localisation, sa date prévue d’ouverture, son emprise au sol et sa capacité (tonnes/an</w:t>
      </w:r>
      <w:r w:rsidR="00546DFB">
        <w:rPr>
          <w:highlight w:val="lightGray"/>
        </w:rPr>
        <w:t>)</w:t>
      </w:r>
      <w:r w:rsidR="00221632">
        <w:rPr>
          <w:highlight w:val="lightGray"/>
        </w:rPr>
        <w:t>, etc</w:t>
      </w:r>
      <w:r w:rsidR="00546DFB">
        <w:rPr>
          <w:highlight w:val="lightGray"/>
        </w:rPr>
        <w:t>.</w:t>
      </w:r>
    </w:p>
    <w:p w14:paraId="3CD1CD60" w14:textId="77777777" w:rsidR="00F45613" w:rsidRPr="00330245" w:rsidRDefault="00F45613" w:rsidP="009E62E2">
      <w:pPr>
        <w:pStyle w:val="Soustitre"/>
        <w:rPr>
          <w:sz w:val="24"/>
          <w:szCs w:val="16"/>
        </w:rPr>
      </w:pPr>
      <w:r w:rsidRPr="00330245">
        <w:rPr>
          <w:sz w:val="24"/>
          <w:szCs w:val="16"/>
        </w:rPr>
        <w:t>Le contexte du projet (1300 caractères espaces compris)</w:t>
      </w:r>
    </w:p>
    <w:p w14:paraId="0F32CAE9" w14:textId="5F2D21B2" w:rsidR="00E01E36"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 citer les projets ou thèses antérieurs, en cours ou à venir afin de pouvoir</w:t>
      </w:r>
      <w:r w:rsidR="00E01E36" w:rsidRPr="00E01E36">
        <w:rPr>
          <w:highlight w:val="lightGray"/>
        </w:rPr>
        <w:t xml:space="preserve"> évaluer les liens entre projets et mieux comprendre les filiations. Indiquer les zones d'implantation du projet si celui-ci est en lien avec un ou des territoires</w:t>
      </w:r>
      <w:r w:rsidR="00221632">
        <w:rPr>
          <w:highlight w:val="lightGray"/>
        </w:rPr>
        <w:t>, etc</w:t>
      </w:r>
      <w:r w:rsidR="00E01E36" w:rsidRPr="00E01E36">
        <w:rPr>
          <w:highlight w:val="lightGray"/>
        </w:rPr>
        <w:t>.</w:t>
      </w:r>
    </w:p>
    <w:p w14:paraId="09AB64E6" w14:textId="77777777" w:rsidR="00F45613" w:rsidRPr="00330245" w:rsidRDefault="00F45613" w:rsidP="009E62E2">
      <w:pPr>
        <w:pStyle w:val="Soustitre"/>
        <w:rPr>
          <w:sz w:val="24"/>
          <w:szCs w:val="16"/>
        </w:rPr>
      </w:pPr>
      <w:r w:rsidRPr="00330245">
        <w:rPr>
          <w:sz w:val="24"/>
          <w:szCs w:val="16"/>
        </w:rPr>
        <w:t>Les objectifs et résultats attendus (1300 caractères maximum)</w:t>
      </w:r>
    </w:p>
    <w:p w14:paraId="2E01C225" w14:textId="0CA255DC" w:rsidR="00E01E36"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p>
    <w:p w14:paraId="2048DA64" w14:textId="3AA81480" w:rsidR="00F45613" w:rsidRPr="00330245" w:rsidRDefault="00F45613" w:rsidP="009E62E2">
      <w:pPr>
        <w:pStyle w:val="Soustitre"/>
        <w:rPr>
          <w:sz w:val="24"/>
          <w:szCs w:val="16"/>
        </w:rPr>
      </w:pPr>
      <w:r w:rsidRPr="00330245">
        <w:rPr>
          <w:sz w:val="24"/>
          <w:szCs w:val="16"/>
        </w:rPr>
        <w:t>Le coût total puis le détail des dépenses</w:t>
      </w:r>
    </w:p>
    <w:p w14:paraId="4ADA0AB0" w14:textId="15AE58C0" w:rsidR="009058F5" w:rsidRPr="003962FF" w:rsidRDefault="009058F5" w:rsidP="009E62E2">
      <w:pPr>
        <w:pStyle w:val="TexteCourant"/>
      </w:pPr>
      <w:r w:rsidRPr="003962FF">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t>associées à</w:t>
      </w:r>
      <w:r w:rsidRPr="003962FF">
        <w:t xml:space="preserve"> chacun de ces postes</w:t>
      </w:r>
      <w:r w:rsidR="00546DFB">
        <w:t>.</w:t>
      </w:r>
    </w:p>
    <w:p w14:paraId="43ED76DC" w14:textId="59C222B4" w:rsidR="0076658C" w:rsidRPr="0076658C" w:rsidRDefault="005B21EE" w:rsidP="009E62E2">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t>il convient de préciser également les unités d’œuvre en indiquant soit le n</w:t>
      </w:r>
      <w:r w:rsidR="00546DFB">
        <w:t>om</w:t>
      </w:r>
      <w:r w:rsidR="0076658C">
        <w:t>b</w:t>
      </w:r>
      <w:r w:rsidR="00546DFB">
        <w:t>re</w:t>
      </w:r>
      <w:r w:rsidR="0076658C">
        <w:t xml:space="preserve">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w:t>
      </w:r>
      <w:r w:rsidR="008D7A80">
        <w:t xml:space="preserve"> </w:t>
      </w:r>
      <w:r w:rsidRPr="005B21EE">
        <w:t>€ par jour).</w:t>
      </w:r>
      <w:r w:rsidR="0076658C" w:rsidRPr="0076658C">
        <w:t xml:space="preserve"> Des détails plus précis sur vos dépenses peuvent également être précisés dans ce champ libre.</w:t>
      </w:r>
    </w:p>
    <w:p w14:paraId="247EF6D7" w14:textId="37B63894" w:rsidR="004D76EB" w:rsidRDefault="004D76EB" w:rsidP="009E62E2">
      <w:pPr>
        <w:pStyle w:val="TexteCourant"/>
      </w:pPr>
      <w:r w:rsidRPr="0033281D">
        <w:t>Seuls les champs qui vous concernent sont à saisir.</w:t>
      </w:r>
    </w:p>
    <w:p w14:paraId="188684A0" w14:textId="743AE91B" w:rsidR="005B21EE" w:rsidRPr="00CA5E3B" w:rsidRDefault="005B21EE" w:rsidP="009E62E2">
      <w:pPr>
        <w:pStyle w:val="TexteCourant"/>
        <w:rPr>
          <w:b/>
        </w:rPr>
      </w:pPr>
      <w:r w:rsidRPr="00CA5E3B">
        <w:rPr>
          <w:b/>
        </w:rPr>
        <w:t>Nota</w:t>
      </w:r>
      <w:r w:rsidRPr="00CA5E3B">
        <w:rPr>
          <w:rFonts w:ascii="Calibri" w:hAnsi="Calibri" w:cs="Calibri"/>
          <w:b/>
        </w:rPr>
        <w:t> </w:t>
      </w:r>
      <w:r w:rsidRPr="00CA5E3B">
        <w:rPr>
          <w:b/>
        </w:rPr>
        <w:t>: certaines d</w:t>
      </w:r>
      <w:r w:rsidRPr="00CA5E3B">
        <w:rPr>
          <w:rFonts w:cs="Marianne Light"/>
          <w:b/>
        </w:rPr>
        <w:t>é</w:t>
      </w:r>
      <w:r w:rsidRPr="00CA5E3B">
        <w:rPr>
          <w:b/>
        </w:rPr>
        <w:t xml:space="preserve">penses de votre projet peuvent ne pas </w:t>
      </w:r>
      <w:r w:rsidRPr="00CA5E3B">
        <w:rPr>
          <w:rFonts w:cs="Marianne Light"/>
          <w:b/>
        </w:rPr>
        <w:t>ê</w:t>
      </w:r>
      <w:r w:rsidRPr="00CA5E3B">
        <w:rPr>
          <w:b/>
        </w:rPr>
        <w:t xml:space="preserve">tre </w:t>
      </w:r>
      <w:r w:rsidRPr="00CA5E3B">
        <w:rPr>
          <w:rFonts w:cs="Marianne Light"/>
          <w:b/>
        </w:rPr>
        <w:t>é</w:t>
      </w:r>
      <w:r w:rsidRPr="00CA5E3B">
        <w:rPr>
          <w:b/>
        </w:rPr>
        <w:t>ligibles aux aides ADEME.</w:t>
      </w:r>
    </w:p>
    <w:p w14:paraId="215E87E6" w14:textId="69A9EDC7" w:rsidR="00F45613" w:rsidRPr="00330245" w:rsidRDefault="00F45613" w:rsidP="009E62E2">
      <w:pPr>
        <w:pStyle w:val="Soustitre"/>
        <w:rPr>
          <w:sz w:val="24"/>
          <w:szCs w:val="16"/>
        </w:rPr>
      </w:pPr>
      <w:r w:rsidRPr="00330245">
        <w:rPr>
          <w:rStyle w:val="Titre2Car"/>
          <w:sz w:val="24"/>
          <w:szCs w:val="16"/>
          <w:u w:val="none"/>
        </w:rPr>
        <w:t>Les documents que vous d</w:t>
      </w:r>
      <w:r w:rsidR="00546DFB" w:rsidRPr="00330245">
        <w:rPr>
          <w:rStyle w:val="Titre2Car"/>
          <w:sz w:val="24"/>
          <w:szCs w:val="16"/>
          <w:u w:val="none"/>
        </w:rPr>
        <w:t>evez fournir pour l’instruction</w:t>
      </w:r>
    </w:p>
    <w:p w14:paraId="42905414" w14:textId="5BEC4757" w:rsidR="00F45613" w:rsidRPr="009E62E2" w:rsidRDefault="00F45613" w:rsidP="009E62E2">
      <w:pPr>
        <w:pStyle w:val="TexteCourant"/>
      </w:pPr>
      <w:r w:rsidRPr="009E62E2">
        <w:t>Vous devez fournir sur AGIR les documents suivants (le nom de fichier ne doit pas comporter plus de 100 caractères</w:t>
      </w:r>
      <w:r w:rsidR="009058F5" w:rsidRPr="009E62E2">
        <w:t>, espaces compris</w:t>
      </w:r>
      <w:r w:rsidRPr="009E62E2">
        <w:t>)</w:t>
      </w:r>
      <w:r w:rsidRPr="009E62E2">
        <w:rPr>
          <w:rFonts w:ascii="Calibri" w:hAnsi="Calibri" w:cs="Calibri"/>
        </w:rPr>
        <w:t> </w:t>
      </w:r>
      <w:r w:rsidRPr="009E62E2">
        <w:t>:</w:t>
      </w:r>
    </w:p>
    <w:p w14:paraId="66730470" w14:textId="593A3DF1" w:rsidR="00741C08" w:rsidRPr="009E62E2" w:rsidRDefault="00741C08" w:rsidP="009E62E2">
      <w:pPr>
        <w:pStyle w:val="Pucenoir"/>
      </w:pPr>
      <w:r w:rsidRPr="009E62E2">
        <w:t xml:space="preserve">L’offre technique et économique du </w:t>
      </w:r>
      <w:r w:rsidR="008D7A80">
        <w:t xml:space="preserve">prestataire extérieur </w:t>
      </w:r>
      <w:r w:rsidR="004D085D">
        <w:t>le cas échéant</w:t>
      </w:r>
      <w:r w:rsidR="00546DFB">
        <w:rPr>
          <w:rFonts w:ascii="Calibri" w:hAnsi="Calibri" w:cs="Calibri"/>
        </w:rPr>
        <w:t> </w:t>
      </w:r>
      <w:r w:rsidR="00546DFB">
        <w:t>;</w:t>
      </w:r>
    </w:p>
    <w:p w14:paraId="60562B10" w14:textId="6D88E088" w:rsidR="00F45613" w:rsidRPr="009E62E2" w:rsidRDefault="00F45613" w:rsidP="009E62E2">
      <w:pPr>
        <w:pStyle w:val="Pucenoir"/>
      </w:pPr>
      <w:r w:rsidRPr="009E62E2">
        <w:t xml:space="preserve">Les documents, à </w:t>
      </w:r>
      <w:r w:rsidR="00D81588">
        <w:t xml:space="preserve">votre </w:t>
      </w:r>
      <w:r w:rsidRPr="009E62E2">
        <w:t xml:space="preserve">convenance </w:t>
      </w:r>
      <w:r w:rsidR="00D81588">
        <w:t xml:space="preserve">en tant que </w:t>
      </w:r>
      <w:r w:rsidRPr="009E62E2">
        <w:t xml:space="preserve">porteur de projet, illustrant et argumentant </w:t>
      </w:r>
      <w:r w:rsidR="00E71137">
        <w:t>le contexte du projet et les besoins</w:t>
      </w:r>
      <w:r w:rsidR="00546DFB">
        <w:t xml:space="preserve"> </w:t>
      </w:r>
      <w:r w:rsidR="00E71137">
        <w:t>d’un</w:t>
      </w:r>
      <w:r w:rsidR="007326C8">
        <w:t xml:space="preserve"> diagnostic ou d’un</w:t>
      </w:r>
      <w:r w:rsidR="00E71137">
        <w:t xml:space="preserve">e </w:t>
      </w:r>
      <w:r w:rsidR="00546DFB">
        <w:t>étude préalable</w:t>
      </w:r>
      <w:r w:rsidR="00546DFB">
        <w:rPr>
          <w:rFonts w:ascii="Calibri" w:hAnsi="Calibri" w:cs="Calibri"/>
        </w:rPr>
        <w:t> </w:t>
      </w:r>
      <w:r w:rsidR="00546DFB">
        <w:t>;</w:t>
      </w:r>
    </w:p>
    <w:p w14:paraId="64BEFE32" w14:textId="137E7164" w:rsidR="00F45613" w:rsidRDefault="00F45613" w:rsidP="009E62E2">
      <w:pPr>
        <w:pStyle w:val="Pucenoir"/>
      </w:pPr>
      <w:r w:rsidRPr="009E62E2">
        <w:t xml:space="preserve">Les documents </w:t>
      </w:r>
      <w:r w:rsidR="00412E3C">
        <w:t xml:space="preserve">administratifs </w:t>
      </w:r>
      <w:r w:rsidR="005B21EE" w:rsidRPr="009E62E2">
        <w:t>demandés dans la liste des pièces à joindre du dispositif d’aide de la plateforme AGIR</w:t>
      </w:r>
      <w:r w:rsidR="005B21EE">
        <w:t>.</w:t>
      </w:r>
    </w:p>
    <w:p w14:paraId="1144863F" w14:textId="36A0F7A2" w:rsidR="00F45613" w:rsidRDefault="00A0665D" w:rsidP="009E62E2">
      <w:pPr>
        <w:pStyle w:val="TexteCourant"/>
      </w:pPr>
      <w:r>
        <w:t>Il est conseillé de compresser les fichiers de taille importante avant leur intégration dans votre demande d’aide dématérialisée et de donner un nom de fichier court.</w:t>
      </w:r>
    </w:p>
    <w:p w14:paraId="7BFF459E" w14:textId="77777777" w:rsidR="00D430F9" w:rsidRPr="00F45613" w:rsidRDefault="00D430F9" w:rsidP="009E62E2">
      <w:pPr>
        <w:pStyle w:val="TexteCourant"/>
      </w:pPr>
    </w:p>
    <w:p w14:paraId="5EDF45DB" w14:textId="31136571" w:rsidR="00F45613" w:rsidRPr="009E62E2" w:rsidRDefault="00A03817" w:rsidP="009E62E2">
      <w:pPr>
        <w:pStyle w:val="Titre1"/>
      </w:pPr>
      <w:r w:rsidRPr="009E62E2">
        <w:lastRenderedPageBreak/>
        <w:t>EN SAVOIR PLUS</w:t>
      </w:r>
    </w:p>
    <w:p w14:paraId="1A08F159" w14:textId="60BC2FF1" w:rsidR="001324CF" w:rsidRPr="001324CF" w:rsidRDefault="00BF19E0" w:rsidP="001324CF">
      <w:pPr>
        <w:spacing w:line="240" w:lineRule="auto"/>
        <w:jc w:val="both"/>
        <w:rPr>
          <w:rFonts w:ascii="Marianne Light" w:hAnsi="Marianne Light" w:cs="Arial"/>
          <w:sz w:val="18"/>
          <w:szCs w:val="18"/>
        </w:rPr>
      </w:pPr>
      <w:r>
        <w:rPr>
          <w:rFonts w:ascii="Marianne Light" w:hAnsi="Marianne Light" w:cs="Arial"/>
          <w:sz w:val="18"/>
          <w:szCs w:val="18"/>
        </w:rPr>
        <w:t>Quelques ressources sur la thématique</w:t>
      </w:r>
      <w:r w:rsidR="001324CF" w:rsidRPr="001324CF">
        <w:rPr>
          <w:rFonts w:cs="Calibri"/>
          <w:sz w:val="18"/>
          <w:szCs w:val="18"/>
        </w:rPr>
        <w:t> </w:t>
      </w:r>
      <w:r w:rsidR="001324CF" w:rsidRPr="001324CF">
        <w:rPr>
          <w:rFonts w:ascii="Marianne Light" w:hAnsi="Marianne Light" w:cs="Arial"/>
          <w:sz w:val="18"/>
          <w:szCs w:val="18"/>
        </w:rPr>
        <w:t>:</w:t>
      </w:r>
    </w:p>
    <w:p w14:paraId="2088589B" w14:textId="4921C731" w:rsidR="001324CF" w:rsidRPr="0067689B" w:rsidRDefault="00317F27" w:rsidP="00CD7021">
      <w:pPr>
        <w:pStyle w:val="Paragraphedeliste"/>
        <w:numPr>
          <w:ilvl w:val="0"/>
          <w:numId w:val="6"/>
        </w:numPr>
        <w:spacing w:after="120" w:line="240" w:lineRule="auto"/>
        <w:jc w:val="both"/>
        <w:rPr>
          <w:rFonts w:ascii="Marianne Light" w:eastAsia="Times New Roman" w:hAnsi="Marianne Light" w:cs="Arial"/>
          <w:sz w:val="18"/>
          <w:szCs w:val="18"/>
        </w:rPr>
      </w:pPr>
      <w:hyperlink r:id="rId13" w:history="1">
        <w:r w:rsidRPr="00B61B33">
          <w:rPr>
            <w:rStyle w:val="Lienhypertexte"/>
          </w:rPr>
          <w:t>Entreprises et collectivités</w:t>
        </w:r>
        <w:r w:rsidR="00B61B33" w:rsidRPr="00B61B33">
          <w:rPr>
            <w:rStyle w:val="Lienhypertexte"/>
          </w:rPr>
          <w:t xml:space="preserve"> : </w:t>
        </w:r>
        <w:r w:rsidR="00B61B33" w:rsidRPr="00B61B33">
          <w:rPr>
            <w:rStyle w:val="Lienhypertexte"/>
            <w:rFonts w:ascii="Marianne Light" w:eastAsia="Times New Roman" w:hAnsi="Marianne Light" w:cs="Arial"/>
            <w:sz w:val="18"/>
            <w:szCs w:val="18"/>
          </w:rPr>
          <w:t>o</w:t>
        </w:r>
        <w:r w:rsidR="001324CF" w:rsidRPr="00B61B33">
          <w:rPr>
            <w:rStyle w:val="Lienhypertexte"/>
            <w:rFonts w:ascii="Marianne Light" w:eastAsia="Times New Roman" w:hAnsi="Marianne Light" w:cs="Arial"/>
            <w:sz w:val="18"/>
            <w:szCs w:val="18"/>
          </w:rPr>
          <w:t>pte</w:t>
        </w:r>
        <w:r w:rsidR="00B61B33" w:rsidRPr="00B61B33">
          <w:rPr>
            <w:rStyle w:val="Lienhypertexte"/>
            <w:rFonts w:ascii="Marianne Light" w:eastAsia="Times New Roman" w:hAnsi="Marianne Light" w:cs="Arial"/>
            <w:sz w:val="18"/>
            <w:szCs w:val="18"/>
          </w:rPr>
          <w:t>z</w:t>
        </w:r>
        <w:r w:rsidR="001324CF" w:rsidRPr="00B61B33">
          <w:rPr>
            <w:rStyle w:val="Lienhypertexte"/>
            <w:rFonts w:ascii="Marianne Light" w:eastAsia="Times New Roman" w:hAnsi="Marianne Light" w:cs="Arial"/>
            <w:sz w:val="18"/>
            <w:szCs w:val="18"/>
          </w:rPr>
          <w:t xml:space="preserve"> pour le réemploi et la réparation</w:t>
        </w:r>
      </w:hyperlink>
    </w:p>
    <w:p w14:paraId="20E01EDE" w14:textId="2EE0EB43" w:rsidR="0067689B" w:rsidRPr="001324CF" w:rsidRDefault="0067689B" w:rsidP="00CD7021">
      <w:pPr>
        <w:pStyle w:val="Paragraphedeliste"/>
        <w:numPr>
          <w:ilvl w:val="0"/>
          <w:numId w:val="6"/>
        </w:numPr>
        <w:spacing w:after="120" w:line="240" w:lineRule="auto"/>
        <w:jc w:val="both"/>
        <w:rPr>
          <w:rFonts w:ascii="Marianne Light" w:eastAsia="Times New Roman" w:hAnsi="Marianne Light" w:cs="Arial"/>
          <w:sz w:val="18"/>
          <w:szCs w:val="18"/>
        </w:rPr>
      </w:pPr>
      <w:hyperlink r:id="rId14" w:history="1">
        <w:r w:rsidRPr="00B24284">
          <w:rPr>
            <w:rStyle w:val="Lienhypertexte"/>
            <w:rFonts w:ascii="Marianne Light" w:eastAsia="Times New Roman" w:hAnsi="Marianne Light" w:cs="Arial"/>
            <w:sz w:val="18"/>
            <w:szCs w:val="18"/>
          </w:rPr>
          <w:t>Observatoire national du réemploi et de la réutilisation</w:t>
        </w:r>
      </w:hyperlink>
    </w:p>
    <w:p w14:paraId="5099339F" w14:textId="4F0AFC3E" w:rsidR="00E17C71" w:rsidRPr="00CA5E3B" w:rsidRDefault="00E17C71" w:rsidP="00CD7021">
      <w:pPr>
        <w:pStyle w:val="Paragraphedeliste"/>
        <w:numPr>
          <w:ilvl w:val="0"/>
          <w:numId w:val="6"/>
        </w:numPr>
        <w:spacing w:after="120" w:line="240" w:lineRule="auto"/>
        <w:jc w:val="both"/>
        <w:rPr>
          <w:rFonts w:ascii="Marianne Light" w:eastAsia="Times New Roman" w:hAnsi="Marianne Light" w:cs="Arial"/>
          <w:sz w:val="18"/>
          <w:szCs w:val="18"/>
        </w:rPr>
      </w:pPr>
      <w:hyperlink r:id="rId15" w:history="1">
        <w:r w:rsidRPr="00E17C71">
          <w:rPr>
            <w:rStyle w:val="Lienhypertexte"/>
            <w:rFonts w:ascii="Marianne Light" w:eastAsia="Times New Roman" w:hAnsi="Marianne Light" w:cs="Arial"/>
            <w:sz w:val="18"/>
            <w:szCs w:val="18"/>
          </w:rPr>
          <w:t>Epargnons nos ressources</w:t>
        </w:r>
      </w:hyperlink>
    </w:p>
    <w:p w14:paraId="4273B896" w14:textId="77777777" w:rsidR="001324CF" w:rsidRPr="001324CF" w:rsidRDefault="001324CF" w:rsidP="001324CF">
      <w:pPr>
        <w:spacing w:line="240" w:lineRule="auto"/>
        <w:jc w:val="both"/>
        <w:rPr>
          <w:rFonts w:ascii="Marianne Light" w:hAnsi="Marianne Light" w:cs="Arial"/>
          <w:sz w:val="18"/>
          <w:szCs w:val="18"/>
        </w:rPr>
      </w:pPr>
      <w:r w:rsidRPr="001324CF">
        <w:rPr>
          <w:rFonts w:ascii="Marianne Light" w:hAnsi="Marianne Light" w:cs="Arial"/>
          <w:sz w:val="18"/>
          <w:szCs w:val="18"/>
        </w:rPr>
        <w:t>Publications</w:t>
      </w:r>
      <w:r w:rsidRPr="001324CF">
        <w:rPr>
          <w:rFonts w:cs="Calibri"/>
          <w:sz w:val="18"/>
          <w:szCs w:val="18"/>
        </w:rPr>
        <w:t> </w:t>
      </w:r>
      <w:r w:rsidRPr="001324CF">
        <w:rPr>
          <w:rFonts w:ascii="Marianne Light" w:hAnsi="Marianne Light" w:cs="Arial"/>
          <w:sz w:val="18"/>
          <w:szCs w:val="18"/>
        </w:rPr>
        <w:t>:</w:t>
      </w:r>
    </w:p>
    <w:p w14:paraId="07CF696E" w14:textId="76F0BD94" w:rsidR="001324CF" w:rsidRPr="001324CF" w:rsidRDefault="001324CF" w:rsidP="00CD7021">
      <w:pPr>
        <w:pStyle w:val="Paragraphedeliste"/>
        <w:numPr>
          <w:ilvl w:val="0"/>
          <w:numId w:val="7"/>
        </w:numPr>
        <w:spacing w:after="120" w:line="240" w:lineRule="auto"/>
        <w:jc w:val="both"/>
        <w:rPr>
          <w:rFonts w:ascii="Marianne Light" w:eastAsia="Times New Roman" w:hAnsi="Marianne Light" w:cs="Arial"/>
          <w:sz w:val="18"/>
          <w:szCs w:val="18"/>
        </w:rPr>
      </w:pPr>
      <w:hyperlink r:id="rId16" w:history="1">
        <w:r w:rsidRPr="000D47DA">
          <w:rPr>
            <w:rStyle w:val="Lienhypertexte"/>
            <w:rFonts w:ascii="Marianne Light" w:eastAsia="Times New Roman" w:hAnsi="Marianne Light" w:cs="Arial"/>
            <w:sz w:val="18"/>
            <w:szCs w:val="18"/>
          </w:rPr>
          <w:t>Analyse technico-économique de 38 structures de réemploi-réutilisation</w:t>
        </w:r>
      </w:hyperlink>
    </w:p>
    <w:p w14:paraId="6C7D2AAE" w14:textId="5CA6D893" w:rsidR="001324CF" w:rsidRPr="00CF3B46" w:rsidRDefault="001324CF" w:rsidP="00CD7021">
      <w:pPr>
        <w:pStyle w:val="Paragraphedeliste"/>
        <w:numPr>
          <w:ilvl w:val="0"/>
          <w:numId w:val="7"/>
        </w:numPr>
        <w:spacing w:after="120" w:line="240" w:lineRule="auto"/>
        <w:jc w:val="both"/>
        <w:rPr>
          <w:rStyle w:val="Lienhypertexte"/>
          <w:rFonts w:ascii="Marianne Light" w:eastAsia="Times New Roman" w:hAnsi="Marianne Light" w:cs="Arial"/>
          <w:color w:val="auto"/>
          <w:sz w:val="18"/>
          <w:szCs w:val="18"/>
          <w:u w:val="none"/>
        </w:rPr>
      </w:pPr>
      <w:hyperlink r:id="rId17" w:history="1">
        <w:r w:rsidRPr="001324CF">
          <w:rPr>
            <w:rStyle w:val="Lienhypertexte"/>
            <w:rFonts w:ascii="Marianne Light" w:eastAsia="Times New Roman" w:hAnsi="Marianne Light" w:cs="Arial"/>
            <w:sz w:val="18"/>
            <w:szCs w:val="18"/>
          </w:rPr>
          <w:t>Panorama de la deuxième vie des produits en France. Réemploi et réutilisation</w:t>
        </w:r>
      </w:hyperlink>
    </w:p>
    <w:p w14:paraId="08556B1B" w14:textId="104A1A45" w:rsidR="00CF3B46" w:rsidRPr="001324CF" w:rsidRDefault="00CF3B46" w:rsidP="00CD7021">
      <w:pPr>
        <w:pStyle w:val="Paragraphedeliste"/>
        <w:numPr>
          <w:ilvl w:val="0"/>
          <w:numId w:val="7"/>
        </w:numPr>
        <w:spacing w:after="120" w:line="240" w:lineRule="auto"/>
        <w:jc w:val="both"/>
        <w:rPr>
          <w:rFonts w:ascii="Marianne Light" w:eastAsia="Times New Roman" w:hAnsi="Marianne Light" w:cs="Arial"/>
          <w:sz w:val="18"/>
          <w:szCs w:val="18"/>
        </w:rPr>
      </w:pPr>
      <w:hyperlink r:id="rId18" w:history="1">
        <w:r w:rsidRPr="00CF3B46">
          <w:rPr>
            <w:rStyle w:val="Lienhypertexte"/>
            <w:rFonts w:ascii="Marianne Light" w:eastAsia="Times New Roman" w:hAnsi="Marianne Light" w:cs="Arial"/>
            <w:sz w:val="18"/>
            <w:szCs w:val="18"/>
          </w:rPr>
          <w:t>Panorama de l'offre de réparation en France</w:t>
        </w:r>
      </w:hyperlink>
    </w:p>
    <w:p w14:paraId="3CFC116D" w14:textId="48F067F5" w:rsidR="00FA1329" w:rsidRPr="00663D1B" w:rsidRDefault="005725BD" w:rsidP="00663D1B">
      <w:pPr>
        <w:pStyle w:val="Paragraphedeliste"/>
        <w:numPr>
          <w:ilvl w:val="0"/>
          <w:numId w:val="7"/>
        </w:numPr>
        <w:spacing w:after="120" w:line="240" w:lineRule="auto"/>
        <w:jc w:val="both"/>
        <w:rPr>
          <w:rStyle w:val="Lienhypertexte"/>
          <w:rFonts w:ascii="Marianne Light" w:eastAsia="Times New Roman" w:hAnsi="Marianne Light" w:cs="Arial"/>
          <w:color w:val="auto"/>
          <w:sz w:val="18"/>
          <w:szCs w:val="18"/>
          <w:u w:val="none"/>
        </w:rPr>
      </w:pPr>
      <w:hyperlink r:id="rId19" w:history="1">
        <w:r>
          <w:rPr>
            <w:rStyle w:val="Lienhypertexte"/>
            <w:rFonts w:ascii="Marianne Light" w:eastAsia="Times New Roman" w:hAnsi="Marianne Light" w:cs="Arial"/>
            <w:sz w:val="18"/>
            <w:szCs w:val="18"/>
          </w:rPr>
          <w:t xml:space="preserve">Synthèse thématique de la </w:t>
        </w:r>
        <w:r w:rsidR="001324CF" w:rsidRPr="001324CF">
          <w:rPr>
            <w:rStyle w:val="Lienhypertexte"/>
            <w:rFonts w:ascii="Marianne Light" w:eastAsia="Times New Roman" w:hAnsi="Marianne Light" w:cs="Arial"/>
            <w:sz w:val="18"/>
            <w:szCs w:val="18"/>
          </w:rPr>
          <w:t xml:space="preserve">réparation </w:t>
        </w:r>
        <w:r>
          <w:rPr>
            <w:rStyle w:val="Lienhypertexte"/>
            <w:rFonts w:ascii="Marianne Light" w:eastAsia="Times New Roman" w:hAnsi="Marianne Light" w:cs="Arial"/>
            <w:sz w:val="18"/>
            <w:szCs w:val="18"/>
          </w:rPr>
          <w:t>– Vision collectivités</w:t>
        </w:r>
      </w:hyperlink>
    </w:p>
    <w:p w14:paraId="109A5FF8" w14:textId="3F8B20AE" w:rsidR="005517EC" w:rsidRDefault="009E62E2" w:rsidP="009E62E2">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58242" behindDoc="0" locked="0" layoutInCell="1" allowOverlap="1" wp14:anchorId="74E55D64" wp14:editId="2AAE6140">
                <wp:simplePos x="0" y="0"/>
                <wp:positionH relativeFrom="margin">
                  <wp:align>left</wp:align>
                </wp:positionH>
                <wp:positionV relativeFrom="paragraph">
                  <wp:posOffset>285750</wp:posOffset>
                </wp:positionV>
                <wp:extent cx="5753100" cy="280035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425700"/>
                        </a:xfrm>
                        <a:prstGeom prst="rect">
                          <a:avLst/>
                        </a:prstGeom>
                        <a:solidFill>
                          <a:srgbClr val="FFFFFF"/>
                        </a:solidFill>
                        <a:ln w="9525">
                          <a:solidFill>
                            <a:srgbClr val="000000"/>
                          </a:solidFill>
                          <a:miter lim="800000"/>
                          <a:headEnd/>
                          <a:tailEnd/>
                        </a:ln>
                      </wps:spPr>
                      <wps:txbx>
                        <w:txbxContent>
                          <w:p w14:paraId="4433511F" w14:textId="39DB338E"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En application des articles L. 131-3 à L.131-7 et R.131-1 à R.131-26</w:t>
                            </w:r>
                            <w:r w:rsidR="001D6E5E">
                              <w:rPr>
                                <w:rFonts w:ascii="Marianne Light" w:hAnsi="Marianne Light" w:cs="Arial"/>
                                <w:sz w:val="18"/>
                                <w:szCs w:val="18"/>
                              </w:rPr>
                              <w:t>-4</w:t>
                            </w:r>
                            <w:r w:rsidRPr="009E62E2">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644D5AD3"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dispositions des </w:t>
                            </w:r>
                            <w:r w:rsidR="003C00A4">
                              <w:rPr>
                                <w:rFonts w:ascii="Marianne Light" w:hAnsi="Marianne Light" w:cs="Arial"/>
                                <w:sz w:val="18"/>
                                <w:szCs w:val="18"/>
                              </w:rPr>
                              <w:t>R</w:t>
                            </w:r>
                            <w:r w:rsidRPr="009E62E2">
                              <w:rPr>
                                <w:rFonts w:ascii="Marianne Light" w:hAnsi="Marianne Light" w:cs="Arial"/>
                                <w:sz w:val="18"/>
                                <w:szCs w:val="18"/>
                              </w:rPr>
                              <w:t>ègles générales d’attribution des aides de l’ADEME sont disponibles sur le site internet de l’ADEME à l’adresse suivante :</w:t>
                            </w:r>
                            <w:r w:rsidR="005B2B5A">
                              <w:rPr>
                                <w:rFonts w:ascii="Marianne Light" w:hAnsi="Marianne Light" w:cs="Arial"/>
                                <w:sz w:val="18"/>
                                <w:szCs w:val="18"/>
                              </w:rPr>
                              <w:t xml:space="preserve"> </w:t>
                            </w:r>
                            <w:hyperlink r:id="rId20" w:anchor="ancre4" w:history="1">
                              <w:r w:rsidR="005B2B5A" w:rsidRPr="004E698A">
                                <w:rPr>
                                  <w:rStyle w:val="Lienhypertexte"/>
                                  <w:rFonts w:ascii="Marianne Light" w:hAnsi="Marianne Light" w:cs="Arial"/>
                                  <w:sz w:val="18"/>
                                  <w:szCs w:val="18"/>
                                </w:rPr>
                                <w:t>https://www.ademe.fr/nos-missions/financement/#ancre4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2.5pt;width:453pt;height:220.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tvEgIAACc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">
                <v:textbox>
                  <w:txbxContent>
                    <w:p w14:paraId="4433511F" w14:textId="39DB338E"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En application des articles L. 131-3 à L.131-7 et R.131-1 à R.131-26</w:t>
                      </w:r>
                      <w:r w:rsidR="001D6E5E">
                        <w:rPr>
                          <w:rFonts w:ascii="Marianne Light" w:hAnsi="Marianne Light" w:cs="Arial"/>
                          <w:sz w:val="18"/>
                          <w:szCs w:val="18"/>
                        </w:rPr>
                        <w:t>-4</w:t>
                      </w:r>
                      <w:r w:rsidRPr="009E62E2">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644D5AD3" w:rsidR="00A24D0A" w:rsidRPr="009E62E2" w:rsidRDefault="00A24D0A" w:rsidP="009E62E2">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dispositions des </w:t>
                      </w:r>
                      <w:r w:rsidR="003C00A4">
                        <w:rPr>
                          <w:rFonts w:ascii="Marianne Light" w:hAnsi="Marianne Light" w:cs="Arial"/>
                          <w:sz w:val="18"/>
                          <w:szCs w:val="18"/>
                        </w:rPr>
                        <w:t>R</w:t>
                      </w:r>
                      <w:r w:rsidRPr="009E62E2">
                        <w:rPr>
                          <w:rFonts w:ascii="Marianne Light" w:hAnsi="Marianne Light" w:cs="Arial"/>
                          <w:sz w:val="18"/>
                          <w:szCs w:val="18"/>
                        </w:rPr>
                        <w:t>ègles générales d’attribution des aides de l’ADEME sont disponibles sur le site internet de l’ADEME à l’adresse suivante :</w:t>
                      </w:r>
                      <w:r w:rsidR="005B2B5A">
                        <w:rPr>
                          <w:rFonts w:ascii="Marianne Light" w:hAnsi="Marianne Light" w:cs="Arial"/>
                          <w:sz w:val="18"/>
                          <w:szCs w:val="18"/>
                        </w:rPr>
                        <w:t xml:space="preserve"> </w:t>
                      </w:r>
                      <w:hyperlink r:id="rId21" w:anchor="ancre4" w:history="1">
                        <w:r w:rsidR="005B2B5A" w:rsidRPr="004E698A">
                          <w:rPr>
                            <w:rStyle w:val="Lienhypertexte"/>
                            <w:rFonts w:ascii="Marianne Light" w:hAnsi="Marianne Light" w:cs="Arial"/>
                            <w:sz w:val="18"/>
                            <w:szCs w:val="18"/>
                          </w:rPr>
                          <w:t>https://www.ademe.fr/nos-missions/financement/#ancre4</w:t>
                        </w:r>
                      </w:hyperlink>
                    </w:p>
                  </w:txbxContent>
                </v:textbox>
                <w10:wrap type="square" anchorx="margin"/>
              </v:shape>
            </w:pict>
          </mc:Fallback>
        </mc:AlternateContent>
      </w:r>
    </w:p>
    <w:p w14:paraId="786F9A10" w14:textId="175CB740" w:rsidR="00BC1105" w:rsidRDefault="00BC1105"/>
    <w:sectPr w:rsidR="00BC1105" w:rsidSect="009E62E2">
      <w:footerReference w:type="default" r:id="rId22"/>
      <w:headerReference w:type="first" r:id="rId23"/>
      <w:pgSz w:w="11906" w:h="16838"/>
      <w:pgMar w:top="1418" w:right="1418" w:bottom="1134" w:left="1418"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4D479" w14:textId="77777777" w:rsidR="00D672A7" w:rsidRDefault="00D672A7" w:rsidP="00355E54">
      <w:pPr>
        <w:spacing w:after="0" w:line="240" w:lineRule="auto"/>
      </w:pPr>
      <w:r>
        <w:separator/>
      </w:r>
    </w:p>
  </w:endnote>
  <w:endnote w:type="continuationSeparator" w:id="0">
    <w:p w14:paraId="568D21BD" w14:textId="77777777" w:rsidR="00D672A7" w:rsidRDefault="00D672A7" w:rsidP="00355E54">
      <w:pPr>
        <w:spacing w:after="0" w:line="240" w:lineRule="auto"/>
      </w:pPr>
      <w:r>
        <w:continuationSeparator/>
      </w:r>
    </w:p>
  </w:endnote>
  <w:endnote w:type="continuationNotice" w:id="1">
    <w:p w14:paraId="59A0D27E" w14:textId="77777777" w:rsidR="00D672A7" w:rsidRDefault="00D67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9D75" w14:textId="557C1C5E" w:rsidR="00A24D0A" w:rsidRDefault="00A046B2" w:rsidP="009B6BB9">
    <w:pPr>
      <w:pStyle w:val="Pieddepage"/>
      <w:rPr>
        <w:rFonts w:ascii="Marianne" w:hAnsi="Marianne"/>
        <w:sz w:val="16"/>
        <w:szCs w:val="16"/>
      </w:rPr>
    </w:pPr>
    <w:r w:rsidRPr="00A046B2">
      <w:rPr>
        <w:bCs/>
        <w:i/>
      </w:rPr>
      <w:t xml:space="preserve">Soutien aux études et diagnostics pour le réemploi-réutilisation et la réparation </w:t>
    </w:r>
    <w:r w:rsidR="00853A4A">
      <w:rPr>
        <w:bCs/>
        <w:i/>
      </w:rPr>
      <w:t>H</w:t>
    </w:r>
    <w:r w:rsidRPr="00A046B2">
      <w:rPr>
        <w:bCs/>
        <w:i/>
      </w:rPr>
      <w:t>ors emballages</w:t>
    </w:r>
    <w:r w:rsidR="009B6BB9">
      <w:tab/>
    </w:r>
    <w:r w:rsidR="00A24D0A" w:rsidRPr="0038673F">
      <w:rPr>
        <w:rFonts w:ascii="Marianne Light" w:hAnsi="Marianne Light"/>
        <w:sz w:val="16"/>
        <w:szCs w:val="16"/>
      </w:rPr>
      <w:t xml:space="preserve"> </w:t>
    </w:r>
    <w:r w:rsidR="00A24D0A" w:rsidRPr="0038673F">
      <w:rPr>
        <w:rFonts w:ascii="Marianne" w:hAnsi="Marianne"/>
        <w:sz w:val="16"/>
        <w:szCs w:val="16"/>
      </w:rPr>
      <w:t xml:space="preserve">I </w:t>
    </w:r>
    <w:r w:rsidR="00A24D0A" w:rsidRPr="0038673F">
      <w:rPr>
        <w:rFonts w:ascii="Marianne" w:hAnsi="Marianne"/>
        <w:sz w:val="16"/>
        <w:szCs w:val="16"/>
      </w:rPr>
      <w:fldChar w:fldCharType="begin"/>
    </w:r>
    <w:r w:rsidR="00A24D0A" w:rsidRPr="0038673F">
      <w:rPr>
        <w:rFonts w:ascii="Marianne" w:hAnsi="Marianne"/>
        <w:sz w:val="16"/>
        <w:szCs w:val="16"/>
      </w:rPr>
      <w:instrText>PAGE   \* MERGEFORMAT</w:instrText>
    </w:r>
    <w:r w:rsidR="00A24D0A" w:rsidRPr="0038673F">
      <w:rPr>
        <w:rFonts w:ascii="Marianne" w:hAnsi="Marianne"/>
        <w:sz w:val="16"/>
        <w:szCs w:val="16"/>
      </w:rPr>
      <w:fldChar w:fldCharType="separate"/>
    </w:r>
    <w:r w:rsidR="005725BD">
      <w:rPr>
        <w:rFonts w:ascii="Marianne" w:hAnsi="Marianne"/>
        <w:noProof/>
        <w:sz w:val="16"/>
        <w:szCs w:val="16"/>
      </w:rPr>
      <w:t>2</w:t>
    </w:r>
    <w:r w:rsidR="00A24D0A" w:rsidRPr="0038673F">
      <w:rPr>
        <w:rFonts w:ascii="Marianne" w:hAnsi="Marianne"/>
        <w:sz w:val="16"/>
        <w:szCs w:val="16"/>
      </w:rPr>
      <w:fldChar w:fldCharType="end"/>
    </w:r>
    <w:r w:rsidR="00A24D0A" w:rsidRPr="0038673F">
      <w:rPr>
        <w:rFonts w:ascii="Marianne" w:hAnsi="Marianne"/>
        <w:sz w:val="16"/>
        <w:szCs w:val="16"/>
      </w:rPr>
      <w:t xml:space="preserve"> I</w:t>
    </w:r>
  </w:p>
  <w:p w14:paraId="1C08EC72" w14:textId="2F360E78" w:rsidR="00A24D0A" w:rsidRDefault="00A24D0A" w:rsidP="009E62E2">
    <w:pPr>
      <w:pStyle w:val="Pieddepage"/>
      <w:jc w:val="right"/>
    </w:pPr>
    <w:r w:rsidRPr="0038673F">
      <w:rPr>
        <w:noProof/>
        <w:sz w:val="16"/>
        <w:szCs w:val="16"/>
      </w:rPr>
      <w:drawing>
        <wp:anchor distT="0" distB="0" distL="114300" distR="114300" simplePos="0" relativeHeight="251658242" behindDoc="1" locked="1" layoutInCell="1" allowOverlap="1" wp14:anchorId="4912C074" wp14:editId="6F6E0BDD">
          <wp:simplePos x="0" y="0"/>
          <wp:positionH relativeFrom="page">
            <wp:posOffset>6716395</wp:posOffset>
          </wp:positionH>
          <wp:positionV relativeFrom="page">
            <wp:posOffset>10128250</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DB7F4D">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5DCE6" w14:textId="77777777" w:rsidR="00D672A7" w:rsidRDefault="00D672A7" w:rsidP="00355E54">
      <w:pPr>
        <w:spacing w:after="0" w:line="240" w:lineRule="auto"/>
      </w:pPr>
      <w:r>
        <w:separator/>
      </w:r>
    </w:p>
  </w:footnote>
  <w:footnote w:type="continuationSeparator" w:id="0">
    <w:p w14:paraId="1912938A" w14:textId="77777777" w:rsidR="00D672A7" w:rsidRDefault="00D672A7" w:rsidP="00355E54">
      <w:pPr>
        <w:spacing w:after="0" w:line="240" w:lineRule="auto"/>
      </w:pPr>
      <w:r>
        <w:continuationSeparator/>
      </w:r>
    </w:p>
  </w:footnote>
  <w:footnote w:type="continuationNotice" w:id="1">
    <w:p w14:paraId="7CC425FB" w14:textId="77777777" w:rsidR="00D672A7" w:rsidRDefault="00D672A7">
      <w:pPr>
        <w:spacing w:after="0" w:line="240" w:lineRule="auto"/>
      </w:pPr>
    </w:p>
  </w:footnote>
  <w:footnote w:id="2">
    <w:p w14:paraId="5D49EBFA" w14:textId="693EC4A8" w:rsidR="00FA1329" w:rsidRDefault="00FA1329" w:rsidP="00FA1329">
      <w:pPr>
        <w:pStyle w:val="Notedebasdepage"/>
        <w:tabs>
          <w:tab w:val="left" w:pos="1067"/>
        </w:tabs>
      </w:pPr>
      <w:r>
        <w:rPr>
          <w:rStyle w:val="Appelnotedebasdep"/>
        </w:rPr>
        <w:footnoteRef/>
      </w:r>
      <w:r>
        <w:t xml:space="preserve"> </w:t>
      </w:r>
      <w:hyperlink r:id="rId1" w:history="1">
        <w:r w:rsidR="00AC26F0" w:rsidRPr="00FB39B1">
          <w:rPr>
            <w:rStyle w:val="Lienhypertexte"/>
          </w:rPr>
          <w:t>https://www.legifrance.gouv.fr/jorf/id/JORFTEXT000041553759/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0CAD" w14:textId="60BE9556" w:rsidR="00A24D0A" w:rsidRDefault="00A24D0A">
    <w:pPr>
      <w:pStyle w:val="En-tte"/>
    </w:pPr>
    <w:r w:rsidRPr="00C96E6D">
      <w:rPr>
        <w:noProof/>
      </w:rPr>
      <w:drawing>
        <wp:anchor distT="0" distB="0" distL="114300" distR="114300" simplePos="0" relativeHeight="251658241" behindDoc="1" locked="0" layoutInCell="1" allowOverlap="1" wp14:anchorId="41258489" wp14:editId="2B4D90EA">
          <wp:simplePos x="0" y="0"/>
          <wp:positionH relativeFrom="page">
            <wp:posOffset>-4445</wp:posOffset>
          </wp:positionH>
          <wp:positionV relativeFrom="paragraph">
            <wp:posOffset>-466725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6E6D">
      <w:rPr>
        <w:noProof/>
      </w:rPr>
      <mc:AlternateContent>
        <mc:Choice Requires="wps">
          <w:drawing>
            <wp:anchor distT="0" distB="0" distL="114300" distR="114300" simplePos="0" relativeHeight="251658240" behindDoc="0" locked="0" layoutInCell="1" allowOverlap="1" wp14:anchorId="00DBCF71" wp14:editId="3EA883C8">
              <wp:simplePos x="0" y="0"/>
              <wp:positionH relativeFrom="margin">
                <wp:posOffset>-292735</wp:posOffset>
              </wp:positionH>
              <wp:positionV relativeFrom="paragraph">
                <wp:posOffset>1012825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0956F" id="Rectangle 2" o:spid="_x0000_s1026" style="position:absolute;margin-left:-23.05pt;margin-top:79.75pt;width:549pt;height:6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26A96"/>
    <w:multiLevelType w:val="hybridMultilevel"/>
    <w:tmpl w:val="A40293D6"/>
    <w:lvl w:ilvl="0" w:tplc="819469E0">
      <w:start w:val="1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90296"/>
    <w:multiLevelType w:val="hybridMultilevel"/>
    <w:tmpl w:val="A412E1F4"/>
    <w:lvl w:ilvl="0" w:tplc="126AD802">
      <w:start w:val="1"/>
      <w:numFmt w:val="bullet"/>
      <w:pStyle w:val="Puce3"/>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3B542D"/>
    <w:multiLevelType w:val="hybridMultilevel"/>
    <w:tmpl w:val="21227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8777FF"/>
    <w:multiLevelType w:val="hybridMultilevel"/>
    <w:tmpl w:val="9312A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EE2D26"/>
    <w:multiLevelType w:val="hybridMultilevel"/>
    <w:tmpl w:val="09FA062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430CE8"/>
    <w:multiLevelType w:val="hybridMultilevel"/>
    <w:tmpl w:val="B39AA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D03FBE"/>
    <w:multiLevelType w:val="hybridMultilevel"/>
    <w:tmpl w:val="3C00191E"/>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2" w15:restartNumberingAfterBreak="0">
    <w:nsid w:val="317F10F2"/>
    <w:multiLevelType w:val="hybridMultilevel"/>
    <w:tmpl w:val="CE785C58"/>
    <w:lvl w:ilvl="0" w:tplc="48F8B04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FC5BCD"/>
    <w:multiLevelType w:val="hybridMultilevel"/>
    <w:tmpl w:val="4344DF8A"/>
    <w:lvl w:ilvl="0" w:tplc="819469E0">
      <w:start w:val="1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D27222"/>
    <w:multiLevelType w:val="multilevel"/>
    <w:tmpl w:val="FF505A6C"/>
    <w:lvl w:ilvl="0">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AD4916"/>
    <w:multiLevelType w:val="hybridMultilevel"/>
    <w:tmpl w:val="1DD842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AC0958"/>
    <w:multiLevelType w:val="hybridMultilevel"/>
    <w:tmpl w:val="FDE4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4E281E"/>
    <w:multiLevelType w:val="hybridMultilevel"/>
    <w:tmpl w:val="36943DE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DF6C79"/>
    <w:multiLevelType w:val="hybridMultilevel"/>
    <w:tmpl w:val="E7067E3C"/>
    <w:lvl w:ilvl="0" w:tplc="FFFFFFFF">
      <w:start w:val="1"/>
      <w:numFmt w:val="bullet"/>
      <w:lvlText w:val=""/>
      <w:lvlJc w:val="left"/>
      <w:pPr>
        <w:ind w:left="720" w:hanging="360"/>
      </w:pPr>
      <w:rPr>
        <w:rFonts w:ascii="Symbol" w:hAnsi="Symbol" w:hint="default"/>
      </w:rPr>
    </w:lvl>
    <w:lvl w:ilvl="1" w:tplc="2546551A">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71538944">
    <w:abstractNumId w:val="1"/>
  </w:num>
  <w:num w:numId="2" w16cid:durableId="1898784078">
    <w:abstractNumId w:val="19"/>
  </w:num>
  <w:num w:numId="3" w16cid:durableId="1872768882">
    <w:abstractNumId w:val="2"/>
  </w:num>
  <w:num w:numId="4" w16cid:durableId="1981419176">
    <w:abstractNumId w:val="0"/>
  </w:num>
  <w:num w:numId="5" w16cid:durableId="1294628542">
    <w:abstractNumId w:val="10"/>
  </w:num>
  <w:num w:numId="6" w16cid:durableId="1474983920">
    <w:abstractNumId w:val="6"/>
  </w:num>
  <w:num w:numId="7" w16cid:durableId="360590939">
    <w:abstractNumId w:val="4"/>
  </w:num>
  <w:num w:numId="8" w16cid:durableId="10187311">
    <w:abstractNumId w:val="5"/>
  </w:num>
  <w:num w:numId="9" w16cid:durableId="941914982">
    <w:abstractNumId w:val="14"/>
  </w:num>
  <w:num w:numId="10" w16cid:durableId="106505339">
    <w:abstractNumId w:val="0"/>
  </w:num>
  <w:num w:numId="11" w16cid:durableId="1704136353">
    <w:abstractNumId w:val="7"/>
  </w:num>
  <w:num w:numId="12" w16cid:durableId="560412375">
    <w:abstractNumId w:val="8"/>
  </w:num>
  <w:num w:numId="13" w16cid:durableId="370231163">
    <w:abstractNumId w:val="15"/>
  </w:num>
  <w:num w:numId="14" w16cid:durableId="1730297590">
    <w:abstractNumId w:val="16"/>
  </w:num>
  <w:num w:numId="15" w16cid:durableId="1703358497">
    <w:abstractNumId w:val="11"/>
  </w:num>
  <w:num w:numId="16" w16cid:durableId="593905954">
    <w:abstractNumId w:val="18"/>
  </w:num>
  <w:num w:numId="17" w16cid:durableId="970208786">
    <w:abstractNumId w:val="17"/>
  </w:num>
  <w:num w:numId="18" w16cid:durableId="1233083354">
    <w:abstractNumId w:val="9"/>
  </w:num>
  <w:num w:numId="19" w16cid:durableId="802192182">
    <w:abstractNumId w:val="3"/>
  </w:num>
  <w:num w:numId="20" w16cid:durableId="311178437">
    <w:abstractNumId w:val="13"/>
  </w:num>
  <w:num w:numId="21" w16cid:durableId="65838660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49F6"/>
    <w:rsid w:val="00005558"/>
    <w:rsid w:val="00005C62"/>
    <w:rsid w:val="00006BB1"/>
    <w:rsid w:val="00010311"/>
    <w:rsid w:val="000152A1"/>
    <w:rsid w:val="00032DFE"/>
    <w:rsid w:val="00034AC1"/>
    <w:rsid w:val="00036B16"/>
    <w:rsid w:val="00040197"/>
    <w:rsid w:val="00046509"/>
    <w:rsid w:val="000520E6"/>
    <w:rsid w:val="00052C3C"/>
    <w:rsid w:val="00056959"/>
    <w:rsid w:val="000625AC"/>
    <w:rsid w:val="000802B2"/>
    <w:rsid w:val="00081C7B"/>
    <w:rsid w:val="000833C0"/>
    <w:rsid w:val="000835D2"/>
    <w:rsid w:val="00086C6A"/>
    <w:rsid w:val="0008737A"/>
    <w:rsid w:val="00090B92"/>
    <w:rsid w:val="00092CB9"/>
    <w:rsid w:val="000A7673"/>
    <w:rsid w:val="000B2423"/>
    <w:rsid w:val="000C02DC"/>
    <w:rsid w:val="000C06FB"/>
    <w:rsid w:val="000C0967"/>
    <w:rsid w:val="000C0AEA"/>
    <w:rsid w:val="000C445A"/>
    <w:rsid w:val="000C58C6"/>
    <w:rsid w:val="000D1B2A"/>
    <w:rsid w:val="000D4476"/>
    <w:rsid w:val="000D47DA"/>
    <w:rsid w:val="000D56EC"/>
    <w:rsid w:val="000D69E7"/>
    <w:rsid w:val="000E7CD9"/>
    <w:rsid w:val="000F07C2"/>
    <w:rsid w:val="000F0B12"/>
    <w:rsid w:val="00107CE6"/>
    <w:rsid w:val="00112A8B"/>
    <w:rsid w:val="00113B11"/>
    <w:rsid w:val="00114ABC"/>
    <w:rsid w:val="00114B89"/>
    <w:rsid w:val="00116C13"/>
    <w:rsid w:val="00122677"/>
    <w:rsid w:val="00122E64"/>
    <w:rsid w:val="00126A71"/>
    <w:rsid w:val="001324CF"/>
    <w:rsid w:val="0014082E"/>
    <w:rsid w:val="00154530"/>
    <w:rsid w:val="00160814"/>
    <w:rsid w:val="001663CE"/>
    <w:rsid w:val="00170725"/>
    <w:rsid w:val="0017094C"/>
    <w:rsid w:val="00171C36"/>
    <w:rsid w:val="001751E1"/>
    <w:rsid w:val="001766FC"/>
    <w:rsid w:val="00177C29"/>
    <w:rsid w:val="00180A0A"/>
    <w:rsid w:val="0018498A"/>
    <w:rsid w:val="00197D27"/>
    <w:rsid w:val="001A6D71"/>
    <w:rsid w:val="001A787D"/>
    <w:rsid w:val="001B0B76"/>
    <w:rsid w:val="001B2DCB"/>
    <w:rsid w:val="001B5DAB"/>
    <w:rsid w:val="001C1E87"/>
    <w:rsid w:val="001C6475"/>
    <w:rsid w:val="001C6798"/>
    <w:rsid w:val="001D6E5E"/>
    <w:rsid w:val="001E06F9"/>
    <w:rsid w:val="001E0D55"/>
    <w:rsid w:val="001E600A"/>
    <w:rsid w:val="001E6C3E"/>
    <w:rsid w:val="001F284A"/>
    <w:rsid w:val="001F2D4E"/>
    <w:rsid w:val="002023E0"/>
    <w:rsid w:val="0020325A"/>
    <w:rsid w:val="002054CD"/>
    <w:rsid w:val="00212BC0"/>
    <w:rsid w:val="00221632"/>
    <w:rsid w:val="00242B00"/>
    <w:rsid w:val="00242E8C"/>
    <w:rsid w:val="00244026"/>
    <w:rsid w:val="002468A8"/>
    <w:rsid w:val="0024704B"/>
    <w:rsid w:val="002476B3"/>
    <w:rsid w:val="002505D5"/>
    <w:rsid w:val="00254A06"/>
    <w:rsid w:val="002600E5"/>
    <w:rsid w:val="002669AA"/>
    <w:rsid w:val="00272869"/>
    <w:rsid w:val="00285BBA"/>
    <w:rsid w:val="00286918"/>
    <w:rsid w:val="002901CD"/>
    <w:rsid w:val="002939B5"/>
    <w:rsid w:val="00295AA0"/>
    <w:rsid w:val="002A4B2F"/>
    <w:rsid w:val="002A4E22"/>
    <w:rsid w:val="002B3A7B"/>
    <w:rsid w:val="002B3CA3"/>
    <w:rsid w:val="002B5FBE"/>
    <w:rsid w:val="002C1672"/>
    <w:rsid w:val="002C1988"/>
    <w:rsid w:val="002D1323"/>
    <w:rsid w:val="002D1977"/>
    <w:rsid w:val="002E11FE"/>
    <w:rsid w:val="002E1BE2"/>
    <w:rsid w:val="002E3BCC"/>
    <w:rsid w:val="002F373C"/>
    <w:rsid w:val="00305641"/>
    <w:rsid w:val="0030620E"/>
    <w:rsid w:val="003123CF"/>
    <w:rsid w:val="003123E1"/>
    <w:rsid w:val="003173AF"/>
    <w:rsid w:val="003177AB"/>
    <w:rsid w:val="00317F27"/>
    <w:rsid w:val="0032107A"/>
    <w:rsid w:val="00326AAD"/>
    <w:rsid w:val="0032764F"/>
    <w:rsid w:val="00330245"/>
    <w:rsid w:val="00342001"/>
    <w:rsid w:val="00345889"/>
    <w:rsid w:val="00352FAD"/>
    <w:rsid w:val="00355C60"/>
    <w:rsid w:val="00355E54"/>
    <w:rsid w:val="00363207"/>
    <w:rsid w:val="00365DFB"/>
    <w:rsid w:val="00365FEF"/>
    <w:rsid w:val="0038673F"/>
    <w:rsid w:val="00386AE2"/>
    <w:rsid w:val="0039740F"/>
    <w:rsid w:val="003A560F"/>
    <w:rsid w:val="003A7438"/>
    <w:rsid w:val="003B293A"/>
    <w:rsid w:val="003B3FDF"/>
    <w:rsid w:val="003C0080"/>
    <w:rsid w:val="003C00A4"/>
    <w:rsid w:val="003C4E57"/>
    <w:rsid w:val="003C6973"/>
    <w:rsid w:val="003D32BE"/>
    <w:rsid w:val="003E0DE8"/>
    <w:rsid w:val="003E2F0A"/>
    <w:rsid w:val="003F0314"/>
    <w:rsid w:val="003F69C6"/>
    <w:rsid w:val="003F7068"/>
    <w:rsid w:val="003F7F67"/>
    <w:rsid w:val="00400790"/>
    <w:rsid w:val="00401663"/>
    <w:rsid w:val="00404891"/>
    <w:rsid w:val="004048E0"/>
    <w:rsid w:val="00406FF1"/>
    <w:rsid w:val="00412E3C"/>
    <w:rsid w:val="00415861"/>
    <w:rsid w:val="00422BD7"/>
    <w:rsid w:val="0042633E"/>
    <w:rsid w:val="004270A7"/>
    <w:rsid w:val="0043285C"/>
    <w:rsid w:val="0043312D"/>
    <w:rsid w:val="00434DA2"/>
    <w:rsid w:val="00441C13"/>
    <w:rsid w:val="00442788"/>
    <w:rsid w:val="0044515C"/>
    <w:rsid w:val="00446944"/>
    <w:rsid w:val="00450B3F"/>
    <w:rsid w:val="00453433"/>
    <w:rsid w:val="00456C32"/>
    <w:rsid w:val="0047058A"/>
    <w:rsid w:val="00484A26"/>
    <w:rsid w:val="0048506F"/>
    <w:rsid w:val="00487C78"/>
    <w:rsid w:val="00487FF7"/>
    <w:rsid w:val="00491AD2"/>
    <w:rsid w:val="0049586D"/>
    <w:rsid w:val="004A2BA4"/>
    <w:rsid w:val="004A35C1"/>
    <w:rsid w:val="004B4B07"/>
    <w:rsid w:val="004C7BD2"/>
    <w:rsid w:val="004D012F"/>
    <w:rsid w:val="004D085D"/>
    <w:rsid w:val="004D49E1"/>
    <w:rsid w:val="004D4EFE"/>
    <w:rsid w:val="004D4F4D"/>
    <w:rsid w:val="004D76EB"/>
    <w:rsid w:val="004E1CEB"/>
    <w:rsid w:val="004E5E14"/>
    <w:rsid w:val="004F5115"/>
    <w:rsid w:val="004F5ACA"/>
    <w:rsid w:val="005049B6"/>
    <w:rsid w:val="005054F1"/>
    <w:rsid w:val="00507A39"/>
    <w:rsid w:val="00511BAA"/>
    <w:rsid w:val="00512A93"/>
    <w:rsid w:val="00517BB0"/>
    <w:rsid w:val="005200D7"/>
    <w:rsid w:val="00524C97"/>
    <w:rsid w:val="00533C8C"/>
    <w:rsid w:val="00534B58"/>
    <w:rsid w:val="00536EE8"/>
    <w:rsid w:val="00541204"/>
    <w:rsid w:val="0054158C"/>
    <w:rsid w:val="00546DFB"/>
    <w:rsid w:val="00546EE9"/>
    <w:rsid w:val="00547F2C"/>
    <w:rsid w:val="005517EC"/>
    <w:rsid w:val="00557190"/>
    <w:rsid w:val="00561DC7"/>
    <w:rsid w:val="005668A7"/>
    <w:rsid w:val="005725BD"/>
    <w:rsid w:val="005805BC"/>
    <w:rsid w:val="005806FF"/>
    <w:rsid w:val="00590422"/>
    <w:rsid w:val="00590C69"/>
    <w:rsid w:val="0059305A"/>
    <w:rsid w:val="00593577"/>
    <w:rsid w:val="005A0D8F"/>
    <w:rsid w:val="005A5899"/>
    <w:rsid w:val="005B21EE"/>
    <w:rsid w:val="005B2B5A"/>
    <w:rsid w:val="005B5ED5"/>
    <w:rsid w:val="005C627E"/>
    <w:rsid w:val="005D06B6"/>
    <w:rsid w:val="005D2B0F"/>
    <w:rsid w:val="005D3844"/>
    <w:rsid w:val="005E32C3"/>
    <w:rsid w:val="005E76C4"/>
    <w:rsid w:val="005F3C46"/>
    <w:rsid w:val="006045D8"/>
    <w:rsid w:val="00622D42"/>
    <w:rsid w:val="00624265"/>
    <w:rsid w:val="00633B13"/>
    <w:rsid w:val="00634FAD"/>
    <w:rsid w:val="00635808"/>
    <w:rsid w:val="0063582D"/>
    <w:rsid w:val="006418B9"/>
    <w:rsid w:val="0064407F"/>
    <w:rsid w:val="0064445A"/>
    <w:rsid w:val="00644B00"/>
    <w:rsid w:val="00647056"/>
    <w:rsid w:val="0065013A"/>
    <w:rsid w:val="006505A4"/>
    <w:rsid w:val="00652E67"/>
    <w:rsid w:val="00656733"/>
    <w:rsid w:val="00662AAD"/>
    <w:rsid w:val="00663D1B"/>
    <w:rsid w:val="00665C5C"/>
    <w:rsid w:val="0067012F"/>
    <w:rsid w:val="006718EF"/>
    <w:rsid w:val="00673296"/>
    <w:rsid w:val="0067454D"/>
    <w:rsid w:val="0067689B"/>
    <w:rsid w:val="00676C20"/>
    <w:rsid w:val="00677986"/>
    <w:rsid w:val="0068487F"/>
    <w:rsid w:val="00684B69"/>
    <w:rsid w:val="006947F5"/>
    <w:rsid w:val="00696247"/>
    <w:rsid w:val="0069631D"/>
    <w:rsid w:val="006A4EAF"/>
    <w:rsid w:val="006A645C"/>
    <w:rsid w:val="006B1608"/>
    <w:rsid w:val="006B2064"/>
    <w:rsid w:val="006B6185"/>
    <w:rsid w:val="006B6D79"/>
    <w:rsid w:val="006C3ADC"/>
    <w:rsid w:val="006C3EB1"/>
    <w:rsid w:val="006C63E4"/>
    <w:rsid w:val="006D0E0A"/>
    <w:rsid w:val="006D2CC4"/>
    <w:rsid w:val="006D38C9"/>
    <w:rsid w:val="006D561C"/>
    <w:rsid w:val="006E3666"/>
    <w:rsid w:val="006F4488"/>
    <w:rsid w:val="006F7590"/>
    <w:rsid w:val="00706F30"/>
    <w:rsid w:val="00721EF8"/>
    <w:rsid w:val="00726460"/>
    <w:rsid w:val="007326C8"/>
    <w:rsid w:val="007401FA"/>
    <w:rsid w:val="0074104F"/>
    <w:rsid w:val="00741C08"/>
    <w:rsid w:val="00751EB8"/>
    <w:rsid w:val="007549C0"/>
    <w:rsid w:val="0075565B"/>
    <w:rsid w:val="00756B9A"/>
    <w:rsid w:val="00761AC4"/>
    <w:rsid w:val="007622D0"/>
    <w:rsid w:val="007629D6"/>
    <w:rsid w:val="0076438D"/>
    <w:rsid w:val="00765BE7"/>
    <w:rsid w:val="0076658C"/>
    <w:rsid w:val="0076695B"/>
    <w:rsid w:val="00767184"/>
    <w:rsid w:val="00774985"/>
    <w:rsid w:val="00781352"/>
    <w:rsid w:val="007919B0"/>
    <w:rsid w:val="00792411"/>
    <w:rsid w:val="007B0C5C"/>
    <w:rsid w:val="007B1CDC"/>
    <w:rsid w:val="007B2DE2"/>
    <w:rsid w:val="007B3F98"/>
    <w:rsid w:val="007B52ED"/>
    <w:rsid w:val="007B63AE"/>
    <w:rsid w:val="007C3390"/>
    <w:rsid w:val="007C5721"/>
    <w:rsid w:val="007C5B98"/>
    <w:rsid w:val="007D3267"/>
    <w:rsid w:val="007D3589"/>
    <w:rsid w:val="007E03B5"/>
    <w:rsid w:val="007E200B"/>
    <w:rsid w:val="007E24B6"/>
    <w:rsid w:val="007E68DF"/>
    <w:rsid w:val="007F0130"/>
    <w:rsid w:val="00804865"/>
    <w:rsid w:val="00806931"/>
    <w:rsid w:val="00810E42"/>
    <w:rsid w:val="00817AC8"/>
    <w:rsid w:val="00820488"/>
    <w:rsid w:val="00826D7B"/>
    <w:rsid w:val="00836F9E"/>
    <w:rsid w:val="00844DA5"/>
    <w:rsid w:val="008501A7"/>
    <w:rsid w:val="00853A4A"/>
    <w:rsid w:val="00857E0E"/>
    <w:rsid w:val="008617B6"/>
    <w:rsid w:val="00871F5E"/>
    <w:rsid w:val="00883660"/>
    <w:rsid w:val="00885CEC"/>
    <w:rsid w:val="00891789"/>
    <w:rsid w:val="00892835"/>
    <w:rsid w:val="00894A2B"/>
    <w:rsid w:val="008A383C"/>
    <w:rsid w:val="008B15A0"/>
    <w:rsid w:val="008B2F13"/>
    <w:rsid w:val="008B6136"/>
    <w:rsid w:val="008C1256"/>
    <w:rsid w:val="008C28B1"/>
    <w:rsid w:val="008C2FB9"/>
    <w:rsid w:val="008C363A"/>
    <w:rsid w:val="008C463F"/>
    <w:rsid w:val="008D3182"/>
    <w:rsid w:val="008D5A8A"/>
    <w:rsid w:val="008D66F1"/>
    <w:rsid w:val="008D7A80"/>
    <w:rsid w:val="008E43FC"/>
    <w:rsid w:val="008F3718"/>
    <w:rsid w:val="008F4472"/>
    <w:rsid w:val="009005CE"/>
    <w:rsid w:val="00902614"/>
    <w:rsid w:val="00904251"/>
    <w:rsid w:val="009058F5"/>
    <w:rsid w:val="00912780"/>
    <w:rsid w:val="009129F5"/>
    <w:rsid w:val="00912F6A"/>
    <w:rsid w:val="0091340C"/>
    <w:rsid w:val="00917CCD"/>
    <w:rsid w:val="00922569"/>
    <w:rsid w:val="00923546"/>
    <w:rsid w:val="00926606"/>
    <w:rsid w:val="00930782"/>
    <w:rsid w:val="00932040"/>
    <w:rsid w:val="00935C3E"/>
    <w:rsid w:val="009372B5"/>
    <w:rsid w:val="00941553"/>
    <w:rsid w:val="00941A8E"/>
    <w:rsid w:val="00942A0B"/>
    <w:rsid w:val="00943E87"/>
    <w:rsid w:val="00945768"/>
    <w:rsid w:val="00950205"/>
    <w:rsid w:val="00953BEF"/>
    <w:rsid w:val="00954572"/>
    <w:rsid w:val="00955362"/>
    <w:rsid w:val="00956FC0"/>
    <w:rsid w:val="00960356"/>
    <w:rsid w:val="009725E9"/>
    <w:rsid w:val="009808E4"/>
    <w:rsid w:val="00982BDD"/>
    <w:rsid w:val="009844CA"/>
    <w:rsid w:val="00987545"/>
    <w:rsid w:val="009902DF"/>
    <w:rsid w:val="009A4955"/>
    <w:rsid w:val="009A6700"/>
    <w:rsid w:val="009A72CA"/>
    <w:rsid w:val="009B3BCA"/>
    <w:rsid w:val="009B465B"/>
    <w:rsid w:val="009B6BB9"/>
    <w:rsid w:val="009C0220"/>
    <w:rsid w:val="009C0395"/>
    <w:rsid w:val="009C4B27"/>
    <w:rsid w:val="009C6B7B"/>
    <w:rsid w:val="009D0AC1"/>
    <w:rsid w:val="009D61A5"/>
    <w:rsid w:val="009E3A47"/>
    <w:rsid w:val="009E3DDA"/>
    <w:rsid w:val="009E62E2"/>
    <w:rsid w:val="009E65A9"/>
    <w:rsid w:val="009F061B"/>
    <w:rsid w:val="00A00976"/>
    <w:rsid w:val="00A020E5"/>
    <w:rsid w:val="00A02888"/>
    <w:rsid w:val="00A03817"/>
    <w:rsid w:val="00A046B2"/>
    <w:rsid w:val="00A0665D"/>
    <w:rsid w:val="00A10F38"/>
    <w:rsid w:val="00A17496"/>
    <w:rsid w:val="00A22F56"/>
    <w:rsid w:val="00A24D0A"/>
    <w:rsid w:val="00A24EC9"/>
    <w:rsid w:val="00A3084E"/>
    <w:rsid w:val="00A30C78"/>
    <w:rsid w:val="00A40830"/>
    <w:rsid w:val="00A408F5"/>
    <w:rsid w:val="00A41030"/>
    <w:rsid w:val="00A5081B"/>
    <w:rsid w:val="00A5501B"/>
    <w:rsid w:val="00A57CAB"/>
    <w:rsid w:val="00A62B1E"/>
    <w:rsid w:val="00A715C9"/>
    <w:rsid w:val="00A74071"/>
    <w:rsid w:val="00A768E6"/>
    <w:rsid w:val="00A80AE6"/>
    <w:rsid w:val="00A87C81"/>
    <w:rsid w:val="00A977A8"/>
    <w:rsid w:val="00AA60D1"/>
    <w:rsid w:val="00AA6ACB"/>
    <w:rsid w:val="00AB5C05"/>
    <w:rsid w:val="00AB64C6"/>
    <w:rsid w:val="00AC0FC9"/>
    <w:rsid w:val="00AC26F0"/>
    <w:rsid w:val="00AC6AE8"/>
    <w:rsid w:val="00AD0600"/>
    <w:rsid w:val="00AD0BD1"/>
    <w:rsid w:val="00AD4E73"/>
    <w:rsid w:val="00AD52E6"/>
    <w:rsid w:val="00AD54E9"/>
    <w:rsid w:val="00AE0B37"/>
    <w:rsid w:val="00AE58F8"/>
    <w:rsid w:val="00AF7C2B"/>
    <w:rsid w:val="00B11F63"/>
    <w:rsid w:val="00B24284"/>
    <w:rsid w:val="00B25A04"/>
    <w:rsid w:val="00B278D5"/>
    <w:rsid w:val="00B30F9E"/>
    <w:rsid w:val="00B313C8"/>
    <w:rsid w:val="00B324B5"/>
    <w:rsid w:val="00B34E10"/>
    <w:rsid w:val="00B42691"/>
    <w:rsid w:val="00B47D59"/>
    <w:rsid w:val="00B54852"/>
    <w:rsid w:val="00B61B33"/>
    <w:rsid w:val="00B742C1"/>
    <w:rsid w:val="00B80D57"/>
    <w:rsid w:val="00B86F57"/>
    <w:rsid w:val="00B902A7"/>
    <w:rsid w:val="00B92724"/>
    <w:rsid w:val="00B956F7"/>
    <w:rsid w:val="00B97961"/>
    <w:rsid w:val="00BA1EF4"/>
    <w:rsid w:val="00BA2C0F"/>
    <w:rsid w:val="00BA4496"/>
    <w:rsid w:val="00BA5D36"/>
    <w:rsid w:val="00BB5DB0"/>
    <w:rsid w:val="00BB6504"/>
    <w:rsid w:val="00BB7961"/>
    <w:rsid w:val="00BC1105"/>
    <w:rsid w:val="00BC3305"/>
    <w:rsid w:val="00BC36DB"/>
    <w:rsid w:val="00BD4854"/>
    <w:rsid w:val="00BE14BB"/>
    <w:rsid w:val="00BE573E"/>
    <w:rsid w:val="00BF19E0"/>
    <w:rsid w:val="00BF2ED7"/>
    <w:rsid w:val="00BF5D3E"/>
    <w:rsid w:val="00C0174A"/>
    <w:rsid w:val="00C02AA6"/>
    <w:rsid w:val="00C1097E"/>
    <w:rsid w:val="00C126DF"/>
    <w:rsid w:val="00C158C3"/>
    <w:rsid w:val="00C165D3"/>
    <w:rsid w:val="00C166A2"/>
    <w:rsid w:val="00C16E82"/>
    <w:rsid w:val="00C202B3"/>
    <w:rsid w:val="00C22F9A"/>
    <w:rsid w:val="00C262EA"/>
    <w:rsid w:val="00C31486"/>
    <w:rsid w:val="00C35901"/>
    <w:rsid w:val="00C366DF"/>
    <w:rsid w:val="00C406B5"/>
    <w:rsid w:val="00C52C60"/>
    <w:rsid w:val="00C60CC8"/>
    <w:rsid w:val="00C61161"/>
    <w:rsid w:val="00C658BA"/>
    <w:rsid w:val="00C72925"/>
    <w:rsid w:val="00C77C94"/>
    <w:rsid w:val="00C81BD7"/>
    <w:rsid w:val="00C87F63"/>
    <w:rsid w:val="00C96E6D"/>
    <w:rsid w:val="00C97EDC"/>
    <w:rsid w:val="00CA153B"/>
    <w:rsid w:val="00CA5669"/>
    <w:rsid w:val="00CA5E3B"/>
    <w:rsid w:val="00CB58D0"/>
    <w:rsid w:val="00CC4CF0"/>
    <w:rsid w:val="00CD3C7B"/>
    <w:rsid w:val="00CD4345"/>
    <w:rsid w:val="00CD7021"/>
    <w:rsid w:val="00CE576A"/>
    <w:rsid w:val="00CF3B46"/>
    <w:rsid w:val="00CF3E8B"/>
    <w:rsid w:val="00CF4399"/>
    <w:rsid w:val="00D00FC7"/>
    <w:rsid w:val="00D03BE7"/>
    <w:rsid w:val="00D1291C"/>
    <w:rsid w:val="00D1578C"/>
    <w:rsid w:val="00D15884"/>
    <w:rsid w:val="00D15C0A"/>
    <w:rsid w:val="00D169F6"/>
    <w:rsid w:val="00D16DA6"/>
    <w:rsid w:val="00D17BCB"/>
    <w:rsid w:val="00D26B90"/>
    <w:rsid w:val="00D27A50"/>
    <w:rsid w:val="00D305FA"/>
    <w:rsid w:val="00D338AE"/>
    <w:rsid w:val="00D376F0"/>
    <w:rsid w:val="00D41D19"/>
    <w:rsid w:val="00D430F9"/>
    <w:rsid w:val="00D51BD8"/>
    <w:rsid w:val="00D51C48"/>
    <w:rsid w:val="00D544B1"/>
    <w:rsid w:val="00D65A95"/>
    <w:rsid w:val="00D670AC"/>
    <w:rsid w:val="00D672A7"/>
    <w:rsid w:val="00D7029B"/>
    <w:rsid w:val="00D71EF8"/>
    <w:rsid w:val="00D7233A"/>
    <w:rsid w:val="00D73260"/>
    <w:rsid w:val="00D81588"/>
    <w:rsid w:val="00D86ED2"/>
    <w:rsid w:val="00D901FF"/>
    <w:rsid w:val="00D9061D"/>
    <w:rsid w:val="00D93D4D"/>
    <w:rsid w:val="00DA13CC"/>
    <w:rsid w:val="00DA75C2"/>
    <w:rsid w:val="00DB08E5"/>
    <w:rsid w:val="00DB4FA0"/>
    <w:rsid w:val="00DB7F4D"/>
    <w:rsid w:val="00DE15C8"/>
    <w:rsid w:val="00DE17E2"/>
    <w:rsid w:val="00DE2F3F"/>
    <w:rsid w:val="00DE5F3E"/>
    <w:rsid w:val="00E01E36"/>
    <w:rsid w:val="00E14986"/>
    <w:rsid w:val="00E17C71"/>
    <w:rsid w:val="00E3197A"/>
    <w:rsid w:val="00E34540"/>
    <w:rsid w:val="00E41FDF"/>
    <w:rsid w:val="00E42D40"/>
    <w:rsid w:val="00E44AB2"/>
    <w:rsid w:val="00E45238"/>
    <w:rsid w:val="00E60E04"/>
    <w:rsid w:val="00E61AD2"/>
    <w:rsid w:val="00E630C6"/>
    <w:rsid w:val="00E71137"/>
    <w:rsid w:val="00E73035"/>
    <w:rsid w:val="00E73472"/>
    <w:rsid w:val="00E742B1"/>
    <w:rsid w:val="00E81006"/>
    <w:rsid w:val="00E8449A"/>
    <w:rsid w:val="00E846F4"/>
    <w:rsid w:val="00E9486E"/>
    <w:rsid w:val="00EA26C0"/>
    <w:rsid w:val="00EB1455"/>
    <w:rsid w:val="00EB2303"/>
    <w:rsid w:val="00EB41CD"/>
    <w:rsid w:val="00EC5BDC"/>
    <w:rsid w:val="00EC70E0"/>
    <w:rsid w:val="00EC71CC"/>
    <w:rsid w:val="00ED5ED9"/>
    <w:rsid w:val="00ED608E"/>
    <w:rsid w:val="00ED76C7"/>
    <w:rsid w:val="00EE0975"/>
    <w:rsid w:val="00EF31C3"/>
    <w:rsid w:val="00F0344B"/>
    <w:rsid w:val="00F04C05"/>
    <w:rsid w:val="00F05DDF"/>
    <w:rsid w:val="00F06B01"/>
    <w:rsid w:val="00F06F81"/>
    <w:rsid w:val="00F07183"/>
    <w:rsid w:val="00F1171A"/>
    <w:rsid w:val="00F205BA"/>
    <w:rsid w:val="00F207A9"/>
    <w:rsid w:val="00F2359E"/>
    <w:rsid w:val="00F2752E"/>
    <w:rsid w:val="00F30419"/>
    <w:rsid w:val="00F35C25"/>
    <w:rsid w:val="00F40946"/>
    <w:rsid w:val="00F42FD6"/>
    <w:rsid w:val="00F455AE"/>
    <w:rsid w:val="00F45613"/>
    <w:rsid w:val="00F4598B"/>
    <w:rsid w:val="00F50030"/>
    <w:rsid w:val="00F52C53"/>
    <w:rsid w:val="00F55EA1"/>
    <w:rsid w:val="00F61603"/>
    <w:rsid w:val="00F61F5E"/>
    <w:rsid w:val="00F61FF4"/>
    <w:rsid w:val="00F65B9A"/>
    <w:rsid w:val="00F705E2"/>
    <w:rsid w:val="00F71F87"/>
    <w:rsid w:val="00F7212E"/>
    <w:rsid w:val="00F72AD4"/>
    <w:rsid w:val="00F741F7"/>
    <w:rsid w:val="00F76CAF"/>
    <w:rsid w:val="00F85741"/>
    <w:rsid w:val="00F93091"/>
    <w:rsid w:val="00F9356F"/>
    <w:rsid w:val="00F9360E"/>
    <w:rsid w:val="00F946B6"/>
    <w:rsid w:val="00F95432"/>
    <w:rsid w:val="00F961E6"/>
    <w:rsid w:val="00F962EF"/>
    <w:rsid w:val="00F97E7C"/>
    <w:rsid w:val="00FA1329"/>
    <w:rsid w:val="00FA16CD"/>
    <w:rsid w:val="00FA6350"/>
    <w:rsid w:val="00FB4CD7"/>
    <w:rsid w:val="00FB7347"/>
    <w:rsid w:val="00FC0863"/>
    <w:rsid w:val="00FC088B"/>
    <w:rsid w:val="00FC512E"/>
    <w:rsid w:val="00FD08F8"/>
    <w:rsid w:val="00FD73C0"/>
    <w:rsid w:val="00FE446E"/>
    <w:rsid w:val="00FE44CC"/>
    <w:rsid w:val="00FF0853"/>
    <w:rsid w:val="00FF7A05"/>
    <w:rsid w:val="00FF7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9E62E2"/>
    <w:pPr>
      <w:numPr>
        <w:numId w:val="9"/>
      </w:numPr>
      <w:pBdr>
        <w:bottom w:val="single" w:sz="12" w:space="1" w:color="auto"/>
      </w:pBdr>
      <w:spacing w:before="480" w:after="240" w:line="240" w:lineRule="auto"/>
      <w:outlineLvl w:val="0"/>
    </w:pPr>
    <w:rPr>
      <w:rFonts w:ascii="Marianne" w:hAnsi="Marianne"/>
      <w:b/>
      <w:bCs/>
      <w:sz w:val="32"/>
      <w:szCs w:val="32"/>
    </w:rPr>
  </w:style>
  <w:style w:type="paragraph" w:styleId="Titre2">
    <w:name w:val="heading 2"/>
    <w:basedOn w:val="Paragraphedeliste"/>
    <w:next w:val="Normal"/>
    <w:link w:val="Titre2Car"/>
    <w:uiPriority w:val="9"/>
    <w:unhideWhenUsed/>
    <w:qFormat/>
    <w:rsid w:val="00BC3305"/>
    <w:pPr>
      <w:numPr>
        <w:ilvl w:val="1"/>
        <w:numId w:val="9"/>
      </w:numPr>
      <w:spacing w:before="360" w:after="240" w:line="240" w:lineRule="auto"/>
      <w:outlineLvl w:val="1"/>
    </w:pPr>
    <w:rPr>
      <w:rFonts w:ascii="Marianne Light" w:hAnsi="Marianne Light"/>
      <w:sz w:val="18"/>
      <w:szCs w:val="18"/>
      <w:u w:val="single"/>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E62E2"/>
    <w:rPr>
      <w:rFonts w:ascii="Marianne" w:hAnsi="Marianne"/>
      <w:b/>
      <w:bCs/>
      <w:sz w:val="32"/>
      <w:szCs w:val="32"/>
      <w:lang w:eastAsia="fr-FR"/>
    </w:rPr>
  </w:style>
  <w:style w:type="character" w:customStyle="1" w:styleId="Titre2Car">
    <w:name w:val="Titre 2 Car"/>
    <w:basedOn w:val="Policepardfaut"/>
    <w:link w:val="Titre2"/>
    <w:uiPriority w:val="9"/>
    <w:rsid w:val="00BC3305"/>
    <w:rPr>
      <w:rFonts w:ascii="Marianne Light" w:hAnsi="Marianne Light"/>
      <w:sz w:val="18"/>
      <w:szCs w:val="18"/>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qFormat/>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BC3305"/>
    <w:pPr>
      <w:numPr>
        <w:numId w:val="4"/>
      </w:numPr>
      <w:spacing w:after="120" w:line="240" w:lineRule="auto"/>
    </w:pPr>
    <w:rPr>
      <w:rFonts w:ascii="Marianne Light" w:hAnsi="Marianne Light"/>
      <w:sz w:val="18"/>
      <w:szCs w:val="18"/>
    </w:rPr>
  </w:style>
  <w:style w:type="paragraph" w:customStyle="1" w:styleId="Pucerond">
    <w:name w:val="Puce rond"/>
    <w:basedOn w:val="Paragraphedeliste"/>
    <w:link w:val="PucerondCar"/>
    <w:qFormat/>
    <w:rsid w:val="00BC3305"/>
    <w:pPr>
      <w:numPr>
        <w:ilvl w:val="1"/>
        <w:numId w:val="3"/>
      </w:numPr>
      <w:spacing w:after="120" w:line="240" w:lineRule="auto"/>
      <w:ind w:left="1151" w:hanging="357"/>
    </w:pPr>
    <w:rPr>
      <w:rFonts w:ascii="Marianne Light" w:hAnsi="Marianne Light"/>
      <w:sz w:val="18"/>
      <w:szCs w:val="18"/>
    </w:rPr>
  </w:style>
  <w:style w:type="character" w:customStyle="1" w:styleId="PucenoirCar">
    <w:name w:val="Puce noir Car"/>
    <w:basedOn w:val="ParagraphedelisteCar"/>
    <w:link w:val="Pucenoir"/>
    <w:rsid w:val="00BC3305"/>
    <w:rPr>
      <w:rFonts w:ascii="Marianne Light" w:hAnsi="Marianne Light"/>
      <w:sz w:val="18"/>
      <w:szCs w:val="18"/>
      <w:lang w:eastAsia="fr-FR"/>
    </w:rPr>
  </w:style>
  <w:style w:type="paragraph" w:customStyle="1" w:styleId="TexteCourant">
    <w:name w:val="Texte Courant"/>
    <w:basedOn w:val="Normal"/>
    <w:link w:val="TexteCourantCar"/>
    <w:qFormat/>
    <w:rsid w:val="00BC3305"/>
    <w:pPr>
      <w:spacing w:line="240" w:lineRule="auto"/>
      <w:jc w:val="both"/>
    </w:pPr>
    <w:rPr>
      <w:rFonts w:ascii="Marianne Light" w:hAnsi="Marianne Light" w:cs="Arial"/>
      <w:sz w:val="18"/>
    </w:rPr>
  </w:style>
  <w:style w:type="character" w:customStyle="1" w:styleId="PucerondCar">
    <w:name w:val="Puce rond Car"/>
    <w:basedOn w:val="ParagraphedelisteCar"/>
    <w:link w:val="Pucerond"/>
    <w:rsid w:val="00BC330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BC3305"/>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1324CF"/>
    <w:rPr>
      <w:b/>
      <w:bCs/>
    </w:rPr>
  </w:style>
  <w:style w:type="table" w:styleId="Grilledutableau">
    <w:name w:val="Table Grid"/>
    <w:basedOn w:val="TableauNormal"/>
    <w:uiPriority w:val="39"/>
    <w:rsid w:val="004F5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73472"/>
    <w:rPr>
      <w:color w:val="800080" w:themeColor="followedHyperlink"/>
      <w:u w:val="single"/>
    </w:rPr>
  </w:style>
  <w:style w:type="paragraph" w:customStyle="1" w:styleId="Puce3">
    <w:name w:val="Puce 3"/>
    <w:basedOn w:val="Normal"/>
    <w:link w:val="Puce3Car"/>
    <w:qFormat/>
    <w:rsid w:val="00E73472"/>
    <w:pPr>
      <w:numPr>
        <w:numId w:val="8"/>
      </w:numPr>
      <w:spacing w:line="259" w:lineRule="auto"/>
      <w:jc w:val="both"/>
    </w:pPr>
    <w:rPr>
      <w:rFonts w:ascii="Marianne" w:eastAsiaTheme="minorHAnsi" w:hAnsi="Marianne" w:cstheme="minorBidi"/>
      <w:color w:val="auto"/>
      <w:kern w:val="0"/>
      <w:sz w:val="18"/>
      <w:szCs w:val="22"/>
      <w:lang w:eastAsia="en-US"/>
      <w14:ligatures w14:val="none"/>
      <w14:cntxtAlts w14:val="0"/>
    </w:rPr>
  </w:style>
  <w:style w:type="character" w:customStyle="1" w:styleId="Puce3Car">
    <w:name w:val="Puce 3 Car"/>
    <w:basedOn w:val="Policepardfaut"/>
    <w:link w:val="Puce3"/>
    <w:rsid w:val="00E73472"/>
    <w:rPr>
      <w:rFonts w:ascii="Marianne" w:hAnsi="Marianne"/>
      <w:sz w:val="18"/>
    </w:rPr>
  </w:style>
  <w:style w:type="paragraph" w:customStyle="1" w:styleId="Soustitre">
    <w:name w:val="Sous titre"/>
    <w:basedOn w:val="Titre2"/>
    <w:link w:val="SoustitreCar"/>
    <w:qFormat/>
    <w:rsid w:val="009E62E2"/>
    <w:pPr>
      <w:numPr>
        <w:ilvl w:val="0"/>
        <w:numId w:val="0"/>
      </w:numPr>
      <w:spacing w:after="120"/>
    </w:pPr>
    <w:rPr>
      <w:b/>
      <w:sz w:val="28"/>
      <w:u w:val="none"/>
    </w:rPr>
  </w:style>
  <w:style w:type="character" w:customStyle="1" w:styleId="SoustitreCar">
    <w:name w:val="Sous titre Car"/>
    <w:basedOn w:val="Titre2Car"/>
    <w:link w:val="Soustitre"/>
    <w:rsid w:val="009E62E2"/>
    <w:rPr>
      <w:rFonts w:ascii="Marianne Light" w:hAnsi="Marianne Light"/>
      <w:b/>
      <w:sz w:val="28"/>
      <w:szCs w:val="18"/>
      <w:u w:val="single"/>
      <w:lang w:eastAsia="fr-FR"/>
    </w:rPr>
  </w:style>
  <w:style w:type="character" w:styleId="Mentionnonrsolue">
    <w:name w:val="Unresolved Mention"/>
    <w:basedOn w:val="Policepardfaut"/>
    <w:uiPriority w:val="99"/>
    <w:semiHidden/>
    <w:unhideWhenUsed/>
    <w:rsid w:val="00E61AD2"/>
    <w:rPr>
      <w:color w:val="605E5C"/>
      <w:shd w:val="clear" w:color="auto" w:fill="E1DFDD"/>
    </w:rPr>
  </w:style>
  <w:style w:type="paragraph" w:styleId="Rvision">
    <w:name w:val="Revision"/>
    <w:hidden/>
    <w:uiPriority w:val="99"/>
    <w:semiHidden/>
    <w:rsid w:val="0077498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Textedelespacerserv">
    <w:name w:val="Placeholder Text"/>
    <w:basedOn w:val="Policepardfaut"/>
    <w:uiPriority w:val="99"/>
    <w:semiHidden/>
    <w:rsid w:val="008C2F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8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onomie-circulaire.ademe.fr/reemploi-reutilisation" TargetMode="External"/><Relationship Id="rId18" Type="http://schemas.openxmlformats.org/officeDocument/2006/relationships/hyperlink" Target="https://librairie.ademe.fr/dechets-economie-circulaire/6092-panorama-de-l-offre-de-reparation-en-france.html" TargetMode="External"/><Relationship Id="rId3" Type="http://schemas.openxmlformats.org/officeDocument/2006/relationships/styles" Target="styles.xml"/><Relationship Id="rId21" Type="http://schemas.openxmlformats.org/officeDocument/2006/relationships/hyperlink" Target="https://www.ademe.fr/nos-missions/financement/" TargetMode="External"/><Relationship Id="rId7" Type="http://schemas.openxmlformats.org/officeDocument/2006/relationships/endnotes" Target="endnotes.xml"/><Relationship Id="rId12" Type="http://schemas.openxmlformats.org/officeDocument/2006/relationships/hyperlink" Target="https://www.economie.gouv.fr/cedef/definition-petites-et-moyennes-entreprises" TargetMode="External"/><Relationship Id="rId17" Type="http://schemas.openxmlformats.org/officeDocument/2006/relationships/hyperlink" Target="https://www.ademe.fr/panorama-deuxieme-vie-produits-france-reemploi-reutilisation-actualisation-20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deme.fr/analyse-technico-economique-structures-reemploi-reutilisation-france" TargetMode="External"/><Relationship Id="rId20" Type="http://schemas.openxmlformats.org/officeDocument/2006/relationships/hyperlink" Target="https://www.ademe.fr/nos-missions/financ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edef/definition-petites-et-moyennes-entrepri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pargnonsnosressources.gouv.fr" TargetMode="External"/><Relationship Id="rId23" Type="http://schemas.openxmlformats.org/officeDocument/2006/relationships/header" Target="header1.xml"/><Relationship Id="rId10" Type="http://schemas.openxmlformats.org/officeDocument/2006/relationships/hyperlink" Target="https://eur-lex.europa.eu/legal-content/FR/TXT/?uri=LEGISSUM:n26026" TargetMode="External"/><Relationship Id="rId19" Type="http://schemas.openxmlformats.org/officeDocument/2006/relationships/hyperlink" Target="https://librairie.ademe.fr/dechets-economie-circulaire/5858-reparation-comment-accelerer-le-passage-a-l-actio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ilieres-rep.ademe.fr/observatoire-reemploi-reutilisation/presentatio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id/JORFTEXT000041553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D4BE-5A3D-4811-9077-99A9FBC5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2886</Words>
  <Characters>15875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ADEME</dc:creator>
  <cp:lastModifiedBy>MARQUET Christophe</cp:lastModifiedBy>
  <cp:revision>20</cp:revision>
  <cp:lastPrinted>2021-03-11T08:11:00Z</cp:lastPrinted>
  <dcterms:created xsi:type="dcterms:W3CDTF">2024-10-11T07:45:00Z</dcterms:created>
  <dcterms:modified xsi:type="dcterms:W3CDTF">2024-12-02T17:58:00Z</dcterms:modified>
</cp:coreProperties>
</file>