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10FC11B0" w:rsidR="0010603A" w:rsidRDefault="00A87C96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2BF2AA4C">
                <wp:simplePos x="0" y="0"/>
                <wp:positionH relativeFrom="margin">
                  <wp:posOffset>204165</wp:posOffset>
                </wp:positionH>
                <wp:positionV relativeFrom="paragraph">
                  <wp:posOffset>1184402</wp:posOffset>
                </wp:positionV>
                <wp:extent cx="6156325" cy="1521562"/>
                <wp:effectExtent l="0" t="0" r="0" b="25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521562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134E0D" w:rsidRDefault="00134E0D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7B42763E" w:rsidR="00134E0D" w:rsidRPr="006F4488" w:rsidRDefault="00134E0D" w:rsidP="007A4236">
                            <w:pPr>
                              <w:pStyle w:val="SOUS-TITREPRINCIPAL1repage"/>
                            </w:pPr>
                            <w:r w:rsidRPr="007A4236">
                              <w:t>Mise en œuvre et investissements pour la tarification incitative du service public déchets</w:t>
                            </w:r>
                            <w:r w:rsidR="005542BC">
                              <w:t xml:space="preserve"> ou l’informa</w:t>
                            </w:r>
                            <w:r w:rsidR="00D30384">
                              <w:t>tion individuelle sur l’usage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16.1pt;margin-top:93.25pt;width:484.75pt;height:1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6156325,0;5570602,1521562;0,1521562;0,0" o:connectangles="0,0,0,0,0" textboxrect="0,0,3136900,786765"/>
                <v:textbox>
                  <w:txbxContent>
                    <w:p w14:paraId="6BF64611" w14:textId="2BA394C6" w:rsidR="00134E0D" w:rsidRDefault="00134E0D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7B42763E" w:rsidR="00134E0D" w:rsidRPr="006F4488" w:rsidRDefault="00134E0D" w:rsidP="007A4236">
                      <w:pPr>
                        <w:pStyle w:val="SOUS-TITREPRINCIPAL1repage"/>
                      </w:pPr>
                      <w:r w:rsidRPr="007A4236">
                        <w:t>Mise en œuvre et investissements pour la tarification incitative du service public déchets</w:t>
                      </w:r>
                      <w:r w:rsidR="005542BC">
                        <w:t xml:space="preserve"> ou l’informa</w:t>
                      </w:r>
                      <w:r w:rsidR="00D30384">
                        <w:t>tion individuelle sur l’usage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1A7F6B6E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5610225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F5B579E" w14:textId="3D21A3CA" w:rsidR="00134E0D" w:rsidRDefault="00134E0D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40F64F73" w14:textId="21D6FC28" w:rsidR="0070276E" w:rsidRDefault="00134E0D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78347420" w:history="1">
                                  <w:r w:rsidR="0070276E"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70276E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70276E"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70276E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70276E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70276E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_Toc178347420 \h </w:instrText>
                                  </w:r>
                                  <w:r w:rsidR="0070276E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70276E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70276E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70276E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452B8BB" w14:textId="43A5779A" w:rsidR="0070276E" w:rsidRDefault="0070276E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347421" w:history="1">
                                  <w:r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Synthèse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485C27D" w14:textId="68E1A06C" w:rsidR="0070276E" w:rsidRDefault="0070276E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347422" w:history="1">
                                  <w:r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Contexte détaillé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_Toc178347422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A83061D" w14:textId="54B8CA6D" w:rsidR="0070276E" w:rsidRDefault="0070276E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347423" w:history="1">
                                  <w:r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12A26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Mise en œuvre de la tarification incitative ou de l’information individuelle sur l’usage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F8E2BB3" w14:textId="148691E4" w:rsidR="0070276E" w:rsidRDefault="0070276E">
                                <w:pPr>
                                  <w:pStyle w:val="TM2"/>
                                  <w:tabs>
                                    <w:tab w:val="left" w:pos="96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347424" w:history="1">
                                  <w:r w:rsidRPr="00212A26">
                                    <w:rPr>
                                      <w:rStyle w:val="Lienhypertexte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12A26">
                                    <w:rPr>
                                      <w:rStyle w:val="Lienhypertexte"/>
                                      <w:noProof/>
                                    </w:rPr>
                                    <w:t>Aide aux investissements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C2F4F76" w14:textId="6D78B640" w:rsidR="0070276E" w:rsidRDefault="0070276E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347425" w:history="1">
                                  <w:r w:rsidRPr="00212A26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12A26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E084F1C" w14:textId="2F6E3384" w:rsidR="0070276E" w:rsidRDefault="0070276E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347427" w:history="1">
                                  <w:r w:rsidRPr="00212A26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12A26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FCFDF14" w14:textId="53CE2B1B" w:rsidR="0070276E" w:rsidRDefault="0070276E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78347428" w:history="1">
                                  <w:r w:rsidRPr="00212A26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212A26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_Toc178347428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E3D34BE" w14:textId="67AA31E6" w:rsidR="00134E0D" w:rsidRDefault="00134E0D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34E0D" w:rsidRDefault="00134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0.55pt;margin-top:213.35pt;width:441.7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F5B579E" w14:textId="3D21A3CA" w:rsidR="00134E0D" w:rsidRDefault="00134E0D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40F64F73" w14:textId="21D6FC28" w:rsidR="0070276E" w:rsidRDefault="00134E0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78347420" w:history="1">
                            <w:r w:rsidR="0070276E" w:rsidRPr="00212A2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70276E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70276E" w:rsidRPr="00212A2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70276E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70276E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70276E">
                              <w:rPr>
                                <w:noProof/>
                                <w:webHidden/>
                              </w:rPr>
                              <w:instrText xml:space="preserve"> PAGEREF _Toc178347420 \h </w:instrText>
                            </w:r>
                            <w:r w:rsidR="0070276E">
                              <w:rPr>
                                <w:noProof/>
                                <w:webHidden/>
                              </w:rPr>
                            </w:r>
                            <w:r w:rsidR="0070276E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70276E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70276E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452B8BB" w14:textId="43A5779A" w:rsidR="0070276E" w:rsidRDefault="0070276E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347421" w:history="1">
                            <w:r w:rsidRPr="00212A2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12A2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Synthèse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_Toc178347421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485C27D" w14:textId="68E1A06C" w:rsidR="0070276E" w:rsidRDefault="0070276E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347422" w:history="1">
                            <w:r w:rsidRPr="00212A2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12A2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Contexte détaillé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_Toc178347422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A83061D" w14:textId="54B8CA6D" w:rsidR="0070276E" w:rsidRDefault="0070276E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347423" w:history="1">
                            <w:r w:rsidRPr="00212A26">
                              <w:rPr>
                                <w:rStyle w:val="Lienhypertexte"/>
                                <w:rFonts w:eastAsia="Calibri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12A26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Mise en œuvre de la tarification incitative ou de l’information individuelle sur l’usage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_Toc178347423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F8E2BB3" w14:textId="148691E4" w:rsidR="0070276E" w:rsidRDefault="0070276E">
                          <w:pPr>
                            <w:pStyle w:val="TM2"/>
                            <w:tabs>
                              <w:tab w:val="left" w:pos="96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347424" w:history="1">
                            <w:r w:rsidRPr="00212A26">
                              <w:rPr>
                                <w:rStyle w:val="Lienhypertexte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12A26">
                              <w:rPr>
                                <w:rStyle w:val="Lienhypertexte"/>
                                <w:noProof/>
                              </w:rPr>
                              <w:t>Aide aux investissements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_Toc178347424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C2F4F76" w14:textId="6D78B640" w:rsidR="0070276E" w:rsidRDefault="0070276E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347425" w:history="1">
                            <w:r w:rsidRPr="00212A26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12A26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_Toc178347425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E084F1C" w14:textId="2F6E3384" w:rsidR="0070276E" w:rsidRDefault="0070276E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347427" w:history="1">
                            <w:r w:rsidRPr="00212A26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12A26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FCFDF14" w14:textId="53CE2B1B" w:rsidR="0070276E" w:rsidRDefault="0070276E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78347428" w:history="1">
                            <w:r w:rsidRPr="00212A26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212A26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_Toc178347428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E3D34BE" w14:textId="67AA31E6" w:rsidR="00134E0D" w:rsidRDefault="00134E0D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34E0D" w:rsidRDefault="00134E0D"/>
                  </w:txbxContent>
                </v:textbox>
                <w10:wrap type="square" anchorx="margin"/>
              </v:shape>
            </w:pict>
          </mc:Fallback>
        </mc:AlternateContent>
      </w:r>
      <w:r w:rsidRPr="00A87C96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333194" wp14:editId="47B9B5FA">
                <wp:simplePos x="0" y="0"/>
                <wp:positionH relativeFrom="margin">
                  <wp:posOffset>-297180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29045" id="Rectangle 2" o:spid="_x0000_s1026" style="position:absolute;margin-left:-23.4pt;margin-top:46.7pt;width:549pt;height:676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AHBHXX4gAAAAw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Pr="00A87C96">
        <w:rPr>
          <w:noProof/>
        </w:rPr>
        <w:drawing>
          <wp:anchor distT="0" distB="0" distL="114300" distR="114300" simplePos="0" relativeHeight="251678720" behindDoc="1" locked="0" layoutInCell="1" allowOverlap="1" wp14:anchorId="2668E573" wp14:editId="73916491">
            <wp:simplePos x="0" y="0"/>
            <wp:positionH relativeFrom="page">
              <wp:posOffset>-4445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54">
        <w:br w:type="page"/>
      </w:r>
    </w:p>
    <w:p w14:paraId="7194C7B8" w14:textId="722EA01E" w:rsidR="00081363" w:rsidRPr="00D95037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7366935"/>
      <w:bookmarkStart w:id="11" w:name="_Toc57367092"/>
      <w:bookmarkStart w:id="12" w:name="_Toc178347420"/>
      <w:r w:rsidRPr="00D95037">
        <w:rPr>
          <w:rFonts w:eastAsia="Calibri"/>
        </w:rPr>
        <w:lastRenderedPageBreak/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5B1F704" w14:textId="74D1C03A" w:rsidR="00B15439" w:rsidRDefault="00B15439" w:rsidP="00081363">
      <w:pPr>
        <w:pStyle w:val="Titre2"/>
        <w:rPr>
          <w:rFonts w:eastAsia="Calibri"/>
        </w:rPr>
      </w:pPr>
      <w:bookmarkStart w:id="13" w:name="_Toc57366936"/>
      <w:bookmarkStart w:id="14" w:name="_Toc57367093"/>
      <w:bookmarkStart w:id="15" w:name="_Toc178347421"/>
      <w:r>
        <w:rPr>
          <w:rFonts w:eastAsia="Calibri"/>
        </w:rPr>
        <w:t>Synthèse de l’opération</w:t>
      </w:r>
      <w:bookmarkEnd w:id="13"/>
      <w:bookmarkEnd w:id="14"/>
      <w:bookmarkEnd w:id="15"/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348"/>
      </w:tblGrid>
      <w:tr w:rsidR="00AA15D3" w:rsidRPr="00C162B0" w14:paraId="5302ACF7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14C50EA8" w14:textId="39B5F56D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AIDES SOLLICITEES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37889E7C" w14:textId="726E4035" w:rsidR="00AA15D3" w:rsidRPr="00A87C96" w:rsidRDefault="00AA15D3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Aide </w:t>
            </w:r>
            <w:proofErr w:type="spellStart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</w:t>
            </w:r>
            <w:proofErr w:type="spellEnd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la mise en œuvre </w:t>
            </w:r>
            <w:r w:rsidR="00FD3592">
              <w:rPr>
                <w:rFonts w:ascii="Marianne Light" w:hAnsi="Marianne Light"/>
                <w:smallCaps/>
                <w:sz w:val="18"/>
                <w:szCs w:val="18"/>
              </w:rPr>
              <w:t>tarification incitative</w:t>
            </w:r>
          </w:p>
          <w:p w14:paraId="1E8631E6" w14:textId="6970E020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Aide </w:t>
            </w:r>
            <w:proofErr w:type="spellStart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</w:t>
            </w:r>
            <w:proofErr w:type="spellEnd"/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l’information individuelle </w:t>
            </w:r>
          </w:p>
          <w:p w14:paraId="66CFF54E" w14:textId="75A3149F" w:rsidR="005542BC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sym w:font="Symbol" w:char="F09C"/>
            </w:r>
            <w:r w:rsidR="000A5308" w:rsidRPr="00A87C96">
              <w:rPr>
                <w:rFonts w:ascii="Marianne Light" w:hAnsi="Marianne Light"/>
                <w:smallCaps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mallCaps/>
                <w:sz w:val="18"/>
                <w:szCs w:val="18"/>
              </w:rPr>
              <w:t>Aide aux investissements</w:t>
            </w:r>
          </w:p>
        </w:tc>
      </w:tr>
      <w:tr w:rsidR="00B15439" w:rsidRPr="00C162B0" w14:paraId="6FBFB932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2063964E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Population totale du territoire (population DGF)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2789E26A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15439" w:rsidRPr="00C162B0" w14:paraId="38C9F455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2930B85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Population ciblée par l’opération (population DGF)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4D1BA65C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15439" w:rsidRPr="00C162B0" w14:paraId="3943A6F4" w14:textId="77777777" w:rsidTr="000A5308">
        <w:trPr>
          <w:trHeight w:val="517"/>
        </w:trPr>
        <w:tc>
          <w:tcPr>
            <w:tcW w:w="1991" w:type="pct"/>
            <w:shd w:val="clear" w:color="auto" w:fill="auto"/>
            <w:vAlign w:val="center"/>
          </w:tcPr>
          <w:p w14:paraId="36AF43B6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Typologie d’habitat (SINOE®) 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CC566FE" w14:textId="52523C31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836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 dense</w:t>
            </w:r>
          </w:p>
          <w:p w14:paraId="3C0D2239" w14:textId="007F825E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261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Urbain</w:t>
            </w:r>
          </w:p>
          <w:p w14:paraId="5EE6B999" w14:textId="22849465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78059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Mixte</w:t>
            </w:r>
          </w:p>
          <w:p w14:paraId="546B1B11" w14:textId="72C6DA83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8494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Rural</w:t>
            </w:r>
          </w:p>
          <w:p w14:paraId="2BFA3803" w14:textId="0CADCB1B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8502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Touristique</w:t>
            </w:r>
          </w:p>
        </w:tc>
      </w:tr>
      <w:tr w:rsidR="00B15439" w:rsidRPr="002E51F3" w14:paraId="2FA06DF7" w14:textId="77777777" w:rsidTr="000A5308">
        <w:trPr>
          <w:trHeight w:val="51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CA3" w14:textId="2A183C53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Etude préalable à la mise en place </w:t>
            </w:r>
            <w:r w:rsidR="006C3178">
              <w:rPr>
                <w:rFonts w:ascii="Marianne Light" w:hAnsi="Marianne Light"/>
                <w:sz w:val="18"/>
                <w:szCs w:val="18"/>
              </w:rPr>
              <w:t>de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 la tarification incitative </w:t>
            </w:r>
            <w:r w:rsidR="006C3178">
              <w:rPr>
                <w:rFonts w:ascii="Marianne Light" w:hAnsi="Marianne Light"/>
                <w:sz w:val="18"/>
                <w:szCs w:val="18"/>
              </w:rPr>
              <w:t xml:space="preserve">ou de l’information </w:t>
            </w:r>
            <w:proofErr w:type="spellStart"/>
            <w:r w:rsidR="006C3178">
              <w:rPr>
                <w:rFonts w:ascii="Marianne Light" w:hAnsi="Marianne Light"/>
                <w:sz w:val="18"/>
                <w:szCs w:val="18"/>
              </w:rPr>
              <w:t>indivuelle</w:t>
            </w:r>
            <w:proofErr w:type="spellEnd"/>
            <w:r w:rsidR="006C3178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r w:rsidRPr="00A87C96">
              <w:rPr>
                <w:rFonts w:ascii="Marianne Light" w:hAnsi="Marianne Light"/>
                <w:sz w:val="18"/>
                <w:szCs w:val="18"/>
              </w:rPr>
              <w:t>réalisée</w:t>
            </w:r>
            <w:r w:rsidR="006C3178">
              <w:rPr>
                <w:rFonts w:cs="Calibri"/>
                <w:sz w:val="18"/>
                <w:szCs w:val="18"/>
              </w:rPr>
              <w:t> </w:t>
            </w:r>
            <w:r w:rsidR="006C3178">
              <w:rPr>
                <w:rFonts w:ascii="Marianne Light" w:hAnsi="Marianne Light"/>
                <w:sz w:val="18"/>
                <w:szCs w:val="18"/>
              </w:rPr>
              <w:t>: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ECCB" w14:textId="73EF6649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06794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en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interne</w:t>
            </w:r>
          </w:p>
          <w:p w14:paraId="3E8FD9B9" w14:textId="4BDDEFF4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20183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par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un bureau d’études</w:t>
            </w:r>
          </w:p>
        </w:tc>
      </w:tr>
      <w:tr w:rsidR="00B15439" w:rsidRPr="00C162B0" w14:paraId="78D20AD4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5CFBBDDF" w14:textId="3A04258E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Type d’opération en cas de TI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40AFFD5C" w14:textId="0BBC2EA8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4214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Mise en œuvre initiale d’une TI</w:t>
            </w:r>
          </w:p>
          <w:p w14:paraId="3A979B19" w14:textId="7B65C1CB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3352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Extension TI existante à un nouveau périmètre</w:t>
            </w:r>
          </w:p>
          <w:p w14:paraId="6525DE67" w14:textId="095D3125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6009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Modification TI existante </w:t>
            </w:r>
          </w:p>
        </w:tc>
      </w:tr>
      <w:tr w:rsidR="00B15439" w:rsidRPr="00C162B0" w14:paraId="5DDFD215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2CF6590F" w14:textId="257A78A0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 xml:space="preserve">Mode de </w:t>
            </w: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financement  en</w:t>
            </w:r>
            <w:proofErr w:type="gramEnd"/>
            <w:r w:rsidRPr="00A87C96">
              <w:rPr>
                <w:rFonts w:ascii="Marianne Light" w:hAnsi="Marianne Light"/>
                <w:sz w:val="18"/>
                <w:szCs w:val="18"/>
              </w:rPr>
              <w:t xml:space="preserve"> cas de TI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01C3599D" w14:textId="3043D5B3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1273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REOM incitative</w:t>
            </w:r>
          </w:p>
          <w:p w14:paraId="3E518240" w14:textId="6619A725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303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TEOM incitative</w:t>
            </w:r>
          </w:p>
          <w:p w14:paraId="57FE9D27" w14:textId="65C3AB32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4667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sera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défini après concertation</w:t>
            </w:r>
          </w:p>
        </w:tc>
      </w:tr>
      <w:tr w:rsidR="00B15439" w:rsidRPr="00C162B0" w14:paraId="6531D51B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6E8B659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Modalité(s) de comptage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74C441C4" w14:textId="6CDA0B8B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0073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Volume du bac de l’usager</w:t>
            </w:r>
          </w:p>
          <w:p w14:paraId="281BF12B" w14:textId="31D778CA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2727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Nombre de levées du bac / nombre de dépôts en conteneur</w:t>
            </w:r>
          </w:p>
          <w:p w14:paraId="52FFC6ED" w14:textId="21C47416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7908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Pesée</w:t>
            </w:r>
          </w:p>
          <w:p w14:paraId="397F56CD" w14:textId="611B0064" w:rsidR="00B15439" w:rsidRPr="00A87C96" w:rsidRDefault="007D364E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59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39"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proofErr w:type="gramStart"/>
            <w:r w:rsidR="00B15439" w:rsidRPr="00A87C96">
              <w:rPr>
                <w:rFonts w:ascii="Marianne Light" w:hAnsi="Marianne Light"/>
                <w:sz w:val="18"/>
                <w:szCs w:val="18"/>
              </w:rPr>
              <w:t>autre</w:t>
            </w:r>
            <w:proofErr w:type="gramEnd"/>
            <w:r w:rsidR="00B15439" w:rsidRPr="00A87C96">
              <w:rPr>
                <w:rFonts w:ascii="Marianne Light" w:hAnsi="Marianne Light"/>
                <w:sz w:val="18"/>
                <w:szCs w:val="18"/>
              </w:rPr>
              <w:t>(s) (préciser)</w:t>
            </w:r>
            <w:r w:rsidR="00B15439" w:rsidRPr="00A87C96">
              <w:rPr>
                <w:rFonts w:cs="Calibri"/>
                <w:sz w:val="18"/>
                <w:szCs w:val="18"/>
              </w:rPr>
              <w:t> 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B15439"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="00B15439"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45B449D0" w14:textId="77777777" w:rsidTr="000A5308">
        <w:trPr>
          <w:trHeight w:val="391"/>
        </w:trPr>
        <w:tc>
          <w:tcPr>
            <w:tcW w:w="1991" w:type="pct"/>
            <w:shd w:val="clear" w:color="auto" w:fill="auto"/>
            <w:vAlign w:val="center"/>
          </w:tcPr>
          <w:p w14:paraId="43C95675" w14:textId="5670C6C0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Flux comptabilisé(s) / facturé(s)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1E06A4B1" w14:textId="560F0216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OMR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3702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facturées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5897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FE8DA23" w14:textId="7D4AA7EE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déchèterie</w:t>
            </w:r>
            <w:proofErr w:type="gramEnd"/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e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20600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facturée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75227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30567A1" w14:textId="08F304FD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emballages</w:t>
            </w:r>
            <w:proofErr w:type="gramEnd"/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>: comptabilis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8526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7C96">
              <w:rPr>
                <w:rFonts w:ascii="Marianne Light" w:hAnsi="Marianne Light"/>
                <w:sz w:val="18"/>
                <w:szCs w:val="18"/>
              </w:rPr>
              <w:t xml:space="preserve"> facturés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1460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C9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1654928" w14:textId="768A2328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proofErr w:type="gramStart"/>
            <w:r w:rsidRPr="00A87C96">
              <w:rPr>
                <w:rFonts w:ascii="Marianne Light" w:hAnsi="Marianne Light"/>
                <w:sz w:val="18"/>
                <w:szCs w:val="18"/>
              </w:rPr>
              <w:t>autre</w:t>
            </w:r>
            <w:proofErr w:type="gramEnd"/>
            <w:r w:rsidRPr="00A87C96">
              <w:rPr>
                <w:rFonts w:ascii="Marianne Light" w:hAnsi="Marianne Light"/>
                <w:sz w:val="18"/>
                <w:szCs w:val="18"/>
              </w:rPr>
              <w:t>(s) (préciser)</w:t>
            </w:r>
            <w:r w:rsidRPr="00A87C96">
              <w:rPr>
                <w:rFonts w:cs="Calibri"/>
                <w:sz w:val="18"/>
                <w:szCs w:val="18"/>
              </w:rPr>
              <w:t> </w:t>
            </w:r>
            <w:r w:rsidRPr="00A87C96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Pr="00A87C96">
              <w:rPr>
                <w:rFonts w:ascii="Marianne Light" w:hAnsi="Marianne Light" w:cs="Marianne Light"/>
                <w:sz w:val="18"/>
                <w:szCs w:val="18"/>
              </w:rPr>
              <w:t>……………………………………</w:t>
            </w:r>
            <w:r w:rsidRPr="00A87C96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</w:tr>
      <w:tr w:rsidR="00B15439" w:rsidRPr="00C162B0" w14:paraId="28248189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308098F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A87C96">
              <w:rPr>
                <w:rFonts w:ascii="Marianne Light" w:hAnsi="Marianne Light"/>
                <w:sz w:val="18"/>
                <w:szCs w:val="18"/>
              </w:rPr>
              <w:t>Date de démarrage de l'opération</w:t>
            </w:r>
          </w:p>
        </w:tc>
        <w:tc>
          <w:tcPr>
            <w:tcW w:w="3009" w:type="pct"/>
            <w:shd w:val="clear" w:color="auto" w:fill="auto"/>
            <w:vAlign w:val="center"/>
          </w:tcPr>
          <w:p w14:paraId="50780A00" w14:textId="77777777" w:rsidR="00B15439" w:rsidRPr="00A87C96" w:rsidRDefault="00B15439" w:rsidP="00134E0D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AA15D3" w:rsidRPr="00C162B0" w14:paraId="545E3DAF" w14:textId="77777777" w:rsidTr="000A5308">
        <w:trPr>
          <w:trHeight w:val="340"/>
        </w:trPr>
        <w:tc>
          <w:tcPr>
            <w:tcW w:w="1991" w:type="pct"/>
            <w:shd w:val="clear" w:color="auto" w:fill="auto"/>
            <w:vAlign w:val="center"/>
          </w:tcPr>
          <w:p w14:paraId="3EB44B78" w14:textId="71DE2EAD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</w:p>
        </w:tc>
        <w:tc>
          <w:tcPr>
            <w:tcW w:w="3009" w:type="pct"/>
            <w:shd w:val="clear" w:color="auto" w:fill="auto"/>
            <w:vAlign w:val="center"/>
          </w:tcPr>
          <w:p w14:paraId="25C01123" w14:textId="7ADFE1F1" w:rsidR="00AA15D3" w:rsidRPr="00A87C96" w:rsidRDefault="00AA15D3" w:rsidP="00AA15D3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11CE72A6" w14:textId="3DFFD832" w:rsidR="00B15439" w:rsidRDefault="00B15439" w:rsidP="00081363">
      <w:pPr>
        <w:pStyle w:val="Titre2"/>
        <w:rPr>
          <w:rFonts w:eastAsia="Calibri"/>
        </w:rPr>
      </w:pPr>
      <w:bookmarkStart w:id="16" w:name="_Toc57366937"/>
      <w:bookmarkStart w:id="17" w:name="_Toc57367094"/>
      <w:bookmarkStart w:id="18" w:name="_Toc178347422"/>
      <w:r w:rsidRPr="00B15439">
        <w:rPr>
          <w:rFonts w:eastAsia="Calibri"/>
        </w:rPr>
        <w:t xml:space="preserve">Contexte </w:t>
      </w:r>
      <w:r>
        <w:rPr>
          <w:rFonts w:eastAsia="Calibri"/>
        </w:rPr>
        <w:t>d</w:t>
      </w:r>
      <w:r w:rsidR="00AA15D3">
        <w:rPr>
          <w:rFonts w:eastAsia="Calibri"/>
        </w:rPr>
        <w:t>étaillé d</w:t>
      </w:r>
      <w:r>
        <w:rPr>
          <w:rFonts w:eastAsia="Calibri"/>
        </w:rPr>
        <w:t>e l’opération</w:t>
      </w:r>
      <w:bookmarkEnd w:id="16"/>
      <w:bookmarkEnd w:id="17"/>
      <w:bookmarkEnd w:id="18"/>
    </w:p>
    <w:p w14:paraId="7261C323" w14:textId="4967BEC6" w:rsidR="00B15439" w:rsidRPr="00A87C96" w:rsidRDefault="00B15439" w:rsidP="00363DC5">
      <w:pPr>
        <w:pStyle w:val="soustitrea"/>
        <w:rPr>
          <w:rFonts w:eastAsia="Calibri"/>
        </w:rPr>
      </w:pPr>
      <w:bookmarkStart w:id="19" w:name="_Toc57366938"/>
      <w:bookmarkStart w:id="20" w:name="_Toc57367095"/>
      <w:r w:rsidRPr="00A87C96">
        <w:t>Cadre de l’opération</w:t>
      </w:r>
      <w:bookmarkEnd w:id="19"/>
      <w:bookmarkEnd w:id="20"/>
    </w:p>
    <w:p w14:paraId="1F89C103" w14:textId="663841A9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 xml:space="preserve">Présentation du maître d’Ouvrage et schéma d’organisation des acteurs (identification des rôles et relations des intervenants) – contexte juridique et échéances des différents contrats de collecte </w:t>
      </w:r>
    </w:p>
    <w:p w14:paraId="02BE5F5E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>Précisez les communes ou territoires visés (si syndicat de collecte préciser les périmètres des EPCI à fiscalité propre membres, le cas échéant le(s) régime(s) dérogatoire(s) en vigueur)</w:t>
      </w:r>
    </w:p>
    <w:p w14:paraId="5C5D535E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3541C2A" w14:textId="4B1AF5C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21" w:name="_Toc57366939"/>
      <w:bookmarkStart w:id="22" w:name="_Toc57367096"/>
      <w:r w:rsidRPr="00A87C96">
        <w:rPr>
          <w:rFonts w:ascii="Marianne" w:hAnsi="Marianne"/>
          <w:b/>
          <w:bCs/>
        </w:rPr>
        <w:t>Intégration au territoire, historique de la situation existante</w:t>
      </w:r>
      <w:bookmarkEnd w:id="21"/>
      <w:bookmarkEnd w:id="22"/>
    </w:p>
    <w:p w14:paraId="095107F9" w14:textId="32C9A236" w:rsidR="00B15439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>
        <w:rPr>
          <w:rFonts w:ascii="Marianne Light" w:eastAsia="Calibri" w:hAnsi="Marianne Light"/>
          <w:sz w:val="18"/>
          <w:szCs w:val="18"/>
          <w:lang w:eastAsia="en-US"/>
        </w:rPr>
        <w:t>Indiquer notamment le p</w:t>
      </w:r>
      <w:r w:rsidR="00B15439" w:rsidRPr="000A5308">
        <w:rPr>
          <w:rFonts w:ascii="Marianne Light" w:eastAsia="Calibri" w:hAnsi="Marianne Light"/>
          <w:sz w:val="18"/>
          <w:szCs w:val="18"/>
          <w:lang w:eastAsia="en-US"/>
        </w:rPr>
        <w:t>lan régional de préve</w:t>
      </w:r>
      <w:r>
        <w:rPr>
          <w:rFonts w:ascii="Marianne Light" w:eastAsia="Calibri" w:hAnsi="Marianne Light"/>
          <w:sz w:val="18"/>
          <w:szCs w:val="18"/>
          <w:lang w:eastAsia="en-US"/>
        </w:rPr>
        <w:t>ntion et gestion des déchets</w:t>
      </w:r>
    </w:p>
    <w:p w14:paraId="0442CAFF" w14:textId="77777777" w:rsidR="00F13A54" w:rsidRPr="002D579B" w:rsidRDefault="00F13A54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04AB9142" w14:textId="2D39F779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23" w:name="_Toc57366940"/>
      <w:bookmarkStart w:id="24" w:name="_Toc57367097"/>
      <w:r w:rsidRPr="00A87C96">
        <w:rPr>
          <w:rFonts w:ascii="Marianne" w:hAnsi="Marianne"/>
          <w:b/>
          <w:bCs/>
        </w:rPr>
        <w:t>Description des actions et études de faisabilité réalisées pour le montage du projet</w:t>
      </w:r>
      <w:bookmarkEnd w:id="23"/>
      <w:bookmarkEnd w:id="24"/>
      <w:r w:rsidRPr="00A87C96">
        <w:rPr>
          <w:rFonts w:ascii="Marianne" w:hAnsi="Marianne"/>
          <w:b/>
          <w:bCs/>
        </w:rPr>
        <w:t xml:space="preserve"> </w:t>
      </w:r>
    </w:p>
    <w:p w14:paraId="44F0547D" w14:textId="77777777" w:rsidR="00B15439" w:rsidRPr="002D579B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</w:p>
    <w:p w14:paraId="52E60C23" w14:textId="006EE4BE" w:rsidR="00B15439" w:rsidRPr="00A87C96" w:rsidRDefault="00B15439" w:rsidP="00363DC5">
      <w:pPr>
        <w:pStyle w:val="TexteCourant"/>
        <w:numPr>
          <w:ilvl w:val="0"/>
          <w:numId w:val="32"/>
        </w:numPr>
        <w:ind w:left="723"/>
        <w:rPr>
          <w:rFonts w:ascii="Marianne" w:hAnsi="Marianne"/>
          <w:b/>
          <w:bCs/>
        </w:rPr>
      </w:pPr>
      <w:bookmarkStart w:id="25" w:name="_Toc57366941"/>
      <w:bookmarkStart w:id="26" w:name="_Toc57367098"/>
      <w:r w:rsidRPr="00A87C96">
        <w:rPr>
          <w:rFonts w:ascii="Marianne" w:hAnsi="Marianne"/>
          <w:b/>
          <w:bCs/>
        </w:rPr>
        <w:t>Présentation du territoire et du fonctionnement actuel du service</w:t>
      </w:r>
      <w:bookmarkEnd w:id="25"/>
      <w:bookmarkEnd w:id="26"/>
      <w:r w:rsidRPr="00A87C96">
        <w:rPr>
          <w:rFonts w:ascii="Marianne" w:hAnsi="Marianne"/>
          <w:b/>
          <w:bCs/>
        </w:rPr>
        <w:t xml:space="preserve"> </w:t>
      </w:r>
    </w:p>
    <w:p w14:paraId="01C03D43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Présenter le territoire sur les différents points suivants</w:t>
      </w:r>
    </w:p>
    <w:p w14:paraId="46FAE65E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La production de déchets</w:t>
      </w:r>
    </w:p>
    <w:p w14:paraId="22647261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la production des différents flux de déchets sur le territoire ; les caractéristiques de ces déchets ; les filières de réutilisation, de valorisation et de traitement en fonction des tonnages ; le taux de refus de la collecte sélective ; les quantités de déchets en dépôts sauvages ou équivalents ; la participation au compostage individuel et si possible le tonnage concerné, les autres démarches de prévention…</w:t>
      </w:r>
    </w:p>
    <w:p w14:paraId="0284AFA2" w14:textId="77777777" w:rsidR="00B15439" w:rsidRPr="00A87C96" w:rsidRDefault="00B15439" w:rsidP="00A87C96">
      <w:pPr>
        <w:pStyle w:val="TexteCourant"/>
        <w:rPr>
          <w:rFonts w:eastAsia="Calibri"/>
          <w:u w:val="single"/>
          <w:lang w:eastAsia="en-US"/>
        </w:rPr>
      </w:pPr>
      <w:r w:rsidRPr="00A87C96">
        <w:rPr>
          <w:rFonts w:eastAsia="Calibri"/>
          <w:u w:val="single"/>
          <w:lang w:eastAsia="en-US"/>
        </w:rPr>
        <w:t>Le service proposé</w:t>
      </w:r>
    </w:p>
    <w:p w14:paraId="37529CC3" w14:textId="77777777" w:rsidR="00B15439" w:rsidRPr="000A5308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des récipients utilisés ; des modalités de collecte ; des modalités de transfert et de transport ; de l’activité des déchèteries ; des modalités de recyclage, valorisation, traitement et d’élimination…</w:t>
      </w:r>
    </w:p>
    <w:p w14:paraId="7754C68C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L’organisation de la collectivité</w:t>
      </w:r>
    </w:p>
    <w:p w14:paraId="0A51D44F" w14:textId="77777777" w:rsidR="00B15439" w:rsidRPr="00D361DB" w:rsidRDefault="00B15439" w:rsidP="00A87C96">
      <w:pPr>
        <w:pStyle w:val="TexteCourant"/>
        <w:rPr>
          <w:rFonts w:eastAsia="Calibri"/>
          <w:lang w:eastAsia="en-US"/>
        </w:rPr>
      </w:pPr>
      <w:r w:rsidRPr="000A5308">
        <w:rPr>
          <w:rFonts w:eastAsia="Calibri"/>
          <w:lang w:eastAsia="en-US"/>
        </w:rPr>
        <w:t>Présentation de l’organisation de la collectivité (en régie ou autres) ; des ETP affectés à la gestion du SPGD ; de l’existant en matière de gestion du fichier de redevables…</w:t>
      </w:r>
    </w:p>
    <w:p w14:paraId="2B055488" w14:textId="3F75E667" w:rsidR="00B15439" w:rsidRPr="00A87C96" w:rsidRDefault="00B15439" w:rsidP="00A87C96">
      <w:pPr>
        <w:pStyle w:val="Pucenoir"/>
        <w:spacing w:before="240" w:after="120"/>
        <w:rPr>
          <w:b/>
          <w:bCs/>
          <w:lang w:eastAsia="en-US"/>
        </w:rPr>
      </w:pPr>
      <w:r w:rsidRPr="00A87C96">
        <w:rPr>
          <w:b/>
          <w:bCs/>
          <w:lang w:eastAsia="en-US"/>
        </w:rPr>
        <w:t>Analyse du territoire</w:t>
      </w:r>
    </w:p>
    <w:p w14:paraId="0688AA58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lang w:eastAsia="en-US"/>
        </w:rPr>
        <w:t>Présenter le territoire sur les différents points suivants :</w:t>
      </w:r>
    </w:p>
    <w:p w14:paraId="43FBA9A4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Le type de l’habitat</w:t>
      </w:r>
    </w:p>
    <w:p w14:paraId="28A7D0D8" w14:textId="77777777" w:rsidR="00B15439" w:rsidRPr="00775C25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775C25">
        <w:rPr>
          <w:rFonts w:ascii="Marianne Light" w:eastAsia="Calibri" w:hAnsi="Marianne Light"/>
          <w:sz w:val="18"/>
          <w:szCs w:val="18"/>
          <w:lang w:eastAsia="en-US"/>
        </w:rPr>
        <w:t>Présentation de l’analyse du type d’habitat avec le(s) centre(s) historique(s) dense(s) ; les secteurs en habitat vertical dense ; l’habitat en « petits collectifs » ; les zones pavillonnaires ; l’habitat dispersé en zone rural ; autres types d’habitats impactant sur le service.</w:t>
      </w:r>
    </w:p>
    <w:p w14:paraId="4903C742" w14:textId="77777777" w:rsidR="00B15439" w:rsidRPr="000A5308" w:rsidRDefault="00B15439" w:rsidP="00B15439">
      <w:pPr>
        <w:rPr>
          <w:rFonts w:ascii="Marianne Light" w:eastAsia="Calibri" w:hAnsi="Marianne Light"/>
          <w:sz w:val="18"/>
          <w:szCs w:val="18"/>
          <w:u w:val="single"/>
          <w:lang w:eastAsia="en-US"/>
        </w:rPr>
      </w:pPr>
      <w:r w:rsidRPr="000A5308">
        <w:rPr>
          <w:rFonts w:ascii="Marianne Light" w:eastAsia="Calibri" w:hAnsi="Marianne Light"/>
          <w:sz w:val="18"/>
          <w:szCs w:val="18"/>
          <w:u w:val="single"/>
          <w:lang w:eastAsia="en-US"/>
        </w:rPr>
        <w:t>Les différentes populations d’usagers</w:t>
      </w:r>
    </w:p>
    <w:p w14:paraId="3100122F" w14:textId="1025ED88" w:rsidR="00B15439" w:rsidRDefault="00B15439" w:rsidP="00B15439">
      <w:pPr>
        <w:rPr>
          <w:rFonts w:ascii="Marianne Light" w:eastAsia="Calibri" w:hAnsi="Marianne Light"/>
          <w:sz w:val="18"/>
          <w:szCs w:val="18"/>
          <w:lang w:eastAsia="en-US"/>
        </w:rPr>
      </w:pPr>
      <w:r w:rsidRPr="00A87C96">
        <w:rPr>
          <w:rStyle w:val="TexteCourantCar"/>
          <w:rFonts w:eastAsia="Calibri"/>
        </w:rPr>
        <w:t>Présentation de l’analyse sur les types d’usagers et contributeurs avec les particuliers ; les professionnels producteurs de déchets assimilés aux ordures ménagères (artisans, commerçants, professions libérales …) ; les producteurs de déchets professionnels ; les administrations et équivalents (crèches, cantines …) ; les campings, terrains d’accueil des gens du voyage</w:t>
      </w:r>
      <w:r w:rsidRPr="000A5308">
        <w:rPr>
          <w:rFonts w:ascii="Marianne Light" w:eastAsia="Calibri" w:hAnsi="Marianne Light"/>
          <w:sz w:val="18"/>
          <w:szCs w:val="18"/>
          <w:lang w:eastAsia="en-US"/>
        </w:rPr>
        <w:t xml:space="preserve"> …</w:t>
      </w:r>
    </w:p>
    <w:p w14:paraId="56AE7A4E" w14:textId="6D676EF8" w:rsidR="00B15439" w:rsidRPr="00A87C96" w:rsidRDefault="00B15439" w:rsidP="00A87C96">
      <w:pPr>
        <w:pStyle w:val="Pucenoir"/>
        <w:spacing w:before="240" w:after="120"/>
        <w:rPr>
          <w:b/>
          <w:bCs/>
          <w:lang w:eastAsia="en-US"/>
        </w:rPr>
      </w:pPr>
      <w:r w:rsidRPr="00A87C96">
        <w:rPr>
          <w:b/>
          <w:bCs/>
          <w:lang w:eastAsia="en-US"/>
        </w:rPr>
        <w:t>Analyse financière du service</w:t>
      </w:r>
    </w:p>
    <w:p w14:paraId="12E9EBCB" w14:textId="77777777" w:rsidR="00F13A54" w:rsidRPr="00F13A54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 xml:space="preserve">Présenter les coûts du service sur la base de la matrice des coûts de l’ADEME </w:t>
      </w:r>
    </w:p>
    <w:p w14:paraId="35133266" w14:textId="7917531C" w:rsidR="00B15439" w:rsidRDefault="00F13A54" w:rsidP="00A87C96">
      <w:pPr>
        <w:pStyle w:val="TexteCourant"/>
        <w:rPr>
          <w:rFonts w:eastAsia="Calibri"/>
          <w:lang w:eastAsia="en-US"/>
        </w:rPr>
      </w:pPr>
      <w:r w:rsidRPr="00F13A54">
        <w:rPr>
          <w:rFonts w:eastAsia="Calibri"/>
          <w:lang w:eastAsia="en-US"/>
        </w:rPr>
        <w:t>Présenter le(s) mode(s) de financement actuel(s) (REOM/TEOM/RS, taux de couverture, répartition des contributions entre ménages et professionnels, …)</w:t>
      </w:r>
    </w:p>
    <w:p w14:paraId="73BEDBA5" w14:textId="06E8766B" w:rsidR="00081363" w:rsidRDefault="00D2712F" w:rsidP="00081363">
      <w:pPr>
        <w:pStyle w:val="Titre2"/>
        <w:rPr>
          <w:rFonts w:eastAsia="Calibri"/>
        </w:rPr>
      </w:pPr>
      <w:bookmarkStart w:id="27" w:name="_Toc57366942"/>
      <w:bookmarkStart w:id="28" w:name="_Toc57367099"/>
      <w:bookmarkStart w:id="29" w:name="_Toc178347423"/>
      <w:r>
        <w:rPr>
          <w:rFonts w:eastAsia="Calibri"/>
        </w:rPr>
        <w:t xml:space="preserve">Mise en </w:t>
      </w:r>
      <w:r w:rsidR="00494E38">
        <w:rPr>
          <w:rFonts w:eastAsia="Calibri"/>
        </w:rPr>
        <w:t>œuvre</w:t>
      </w:r>
      <w:bookmarkEnd w:id="27"/>
      <w:bookmarkEnd w:id="28"/>
      <w:r w:rsidR="009F6951">
        <w:rPr>
          <w:rFonts w:eastAsia="Calibri"/>
        </w:rPr>
        <w:t xml:space="preserve"> de la tarification incitative ou de l’information individuelle sur l’usage</w:t>
      </w:r>
      <w:bookmarkEnd w:id="29"/>
    </w:p>
    <w:p w14:paraId="7BAB4D12" w14:textId="79EBC266" w:rsidR="00D2712F" w:rsidRPr="000A5308" w:rsidRDefault="00434D60" w:rsidP="00363DC5">
      <w:pPr>
        <w:pStyle w:val="soustitrea"/>
        <w:numPr>
          <w:ilvl w:val="0"/>
          <w:numId w:val="33"/>
        </w:numPr>
      </w:pPr>
      <w:bookmarkStart w:id="30" w:name="_Toc57366943"/>
      <w:bookmarkStart w:id="31" w:name="_Toc57367100"/>
      <w:r>
        <w:t>Si tarification incitative, s</w:t>
      </w:r>
      <w:r w:rsidR="00D2712F" w:rsidRPr="000A5308">
        <w:t>ur le choix entre RI / TEOMI</w:t>
      </w:r>
      <w:bookmarkEnd w:id="30"/>
      <w:bookmarkEnd w:id="31"/>
      <w:r w:rsidR="00D2712F" w:rsidRPr="000A5308">
        <w:t xml:space="preserve"> </w:t>
      </w:r>
    </w:p>
    <w:p w14:paraId="75B8B148" w14:textId="77777777" w:rsidR="00D2712F" w:rsidRPr="000A5308" w:rsidRDefault="00D2712F" w:rsidP="00A87C96">
      <w:pPr>
        <w:pStyle w:val="TexteCourant"/>
      </w:pPr>
      <w:r w:rsidRPr="000A5308">
        <w:t>Présenter le choix réalisé par la collectivité entre RI et TEOMI (si déjà entériné).</w:t>
      </w:r>
      <w:r w:rsidRPr="000A5308">
        <w:tab/>
      </w:r>
    </w:p>
    <w:p w14:paraId="49762033" w14:textId="5845C8E8" w:rsidR="00D2712F" w:rsidRDefault="00D2712F" w:rsidP="00A87C96">
      <w:pPr>
        <w:pStyle w:val="TexteCourant"/>
      </w:pPr>
      <w:r w:rsidRPr="000A5308">
        <w:t>Si, mode de financement non défini, présenter les modalités de concertation envisagées pour aboutir au choix</w:t>
      </w:r>
    </w:p>
    <w:p w14:paraId="08394274" w14:textId="77777777" w:rsidR="00363DC5" w:rsidRDefault="00363DC5" w:rsidP="00A87C96">
      <w:pPr>
        <w:pStyle w:val="TexteCourant"/>
      </w:pPr>
    </w:p>
    <w:p w14:paraId="53BE26E8" w14:textId="15E70860" w:rsidR="00D2712F" w:rsidRPr="00D2712F" w:rsidRDefault="00D2712F" w:rsidP="00363DC5">
      <w:pPr>
        <w:pStyle w:val="soustitrea"/>
      </w:pPr>
      <w:bookmarkStart w:id="32" w:name="_Toc57366944"/>
      <w:bookmarkStart w:id="33" w:name="_Toc57367101"/>
      <w:r w:rsidRPr="00D2712F">
        <w:t>Sur les aspects techniques</w:t>
      </w:r>
      <w:bookmarkEnd w:id="32"/>
      <w:bookmarkEnd w:id="33"/>
    </w:p>
    <w:p w14:paraId="40E77F14" w14:textId="77777777" w:rsidR="00D2712F" w:rsidRPr="000A5308" w:rsidRDefault="00D2712F" w:rsidP="00A87C96">
      <w:pPr>
        <w:pStyle w:val="TexteCourant"/>
        <w:spacing w:after="0"/>
      </w:pPr>
      <w:r w:rsidRPr="000A5308">
        <w:t>Présenter les points suivants :</w:t>
      </w:r>
    </w:p>
    <w:p w14:paraId="0C02F238" w14:textId="6B6D7D97" w:rsidR="00D2712F" w:rsidRPr="000A5308" w:rsidRDefault="00D2712F" w:rsidP="00A87C96">
      <w:pPr>
        <w:pStyle w:val="Pucenoir"/>
      </w:pPr>
      <w:r w:rsidRPr="000A5308">
        <w:lastRenderedPageBreak/>
        <w:t>Techniques d’identification des usagers (ou contribuables) et de comptage ;</w:t>
      </w:r>
    </w:p>
    <w:p w14:paraId="1011E36B" w14:textId="2E1ED8A1" w:rsidR="009F6951" w:rsidRPr="000A5308" w:rsidRDefault="009F6951" w:rsidP="00A87C96">
      <w:pPr>
        <w:pStyle w:val="Pucenoir"/>
      </w:pPr>
      <w:r w:rsidRPr="000A5308">
        <w:t>Flux qui vont être comptabilisés (ordures ménagères résiduelles, collecte séparée, déchèteries)</w:t>
      </w:r>
      <w:r w:rsidRPr="000A5308">
        <w:rPr>
          <w:rFonts w:ascii="Calibri" w:hAnsi="Calibri" w:cs="Calibri"/>
        </w:rPr>
        <w:t> </w:t>
      </w:r>
      <w:r w:rsidRPr="000A5308">
        <w:t>;</w:t>
      </w:r>
    </w:p>
    <w:p w14:paraId="6812FA8D" w14:textId="1571136D" w:rsidR="00D2712F" w:rsidRPr="000A5308" w:rsidRDefault="00D2712F" w:rsidP="00A87C96">
      <w:pPr>
        <w:pStyle w:val="Pucenoir"/>
      </w:pPr>
      <w:r w:rsidRPr="000A5308">
        <w:t>Flux sur lequel ou lesquels la grille tarifaire va s’appliquer (ordures ménagères résiduelles, collecte séparée, déchèteries) ;</w:t>
      </w:r>
    </w:p>
    <w:p w14:paraId="3B22D382" w14:textId="45307300" w:rsidR="00D2712F" w:rsidRDefault="00D2712F" w:rsidP="00A87C96">
      <w:pPr>
        <w:pStyle w:val="Pucenoir"/>
      </w:pPr>
      <w:r w:rsidRPr="000A5308">
        <w:t>Moyens pour éviter les pratiques inciviques.</w:t>
      </w:r>
      <w:r>
        <w:tab/>
      </w:r>
    </w:p>
    <w:p w14:paraId="5023F108" w14:textId="1779A3AA" w:rsidR="00D2712F" w:rsidRPr="00D2712F" w:rsidRDefault="00D2712F" w:rsidP="00363DC5">
      <w:pPr>
        <w:pStyle w:val="soustitrea"/>
      </w:pPr>
      <w:bookmarkStart w:id="34" w:name="_Toc57366945"/>
      <w:bookmarkStart w:id="35" w:name="_Toc57367102"/>
      <w:r w:rsidRPr="00D2712F">
        <w:t>Sur les aspects économiques</w:t>
      </w:r>
      <w:bookmarkEnd w:id="34"/>
      <w:bookmarkEnd w:id="35"/>
    </w:p>
    <w:p w14:paraId="0DE2AE5B" w14:textId="77777777" w:rsidR="00D2712F" w:rsidRPr="000A5308" w:rsidRDefault="00D2712F" w:rsidP="00A87C96">
      <w:pPr>
        <w:pStyle w:val="Texteexerguesurligngris"/>
        <w:spacing w:after="0"/>
      </w:pPr>
      <w:r w:rsidRPr="000A5308">
        <w:t>Présenter les points suivants :</w:t>
      </w:r>
    </w:p>
    <w:p w14:paraId="4C47827E" w14:textId="646053EA" w:rsidR="00D2712F" w:rsidRPr="000A5308" w:rsidRDefault="00D2712F" w:rsidP="00A87C96">
      <w:pPr>
        <w:pStyle w:val="Pucenoir"/>
      </w:pPr>
      <w:r w:rsidRPr="000A5308">
        <w:t>Dépenses prévisionnelles de mise en œuvre (investissement et fonctionnement)</w:t>
      </w:r>
    </w:p>
    <w:p w14:paraId="6E6606C5" w14:textId="72816045" w:rsidR="00D2712F" w:rsidRPr="000A5308" w:rsidRDefault="00D2712F" w:rsidP="00A87C96">
      <w:pPr>
        <w:pStyle w:val="Pucenoir"/>
      </w:pPr>
      <w:r w:rsidRPr="000A5308">
        <w:t xml:space="preserve">Evolution prospective des coûts du service sur plusieurs années (incluant </w:t>
      </w:r>
      <w:r w:rsidR="009F6951" w:rsidRPr="000A5308">
        <w:t xml:space="preserve">au minimum </w:t>
      </w:r>
      <w:r w:rsidRPr="000A5308">
        <w:t>une année au-delà de la mise en œuvre effective)</w:t>
      </w:r>
    </w:p>
    <w:p w14:paraId="5B1E9C17" w14:textId="744ABFE8" w:rsidR="00D2712F" w:rsidRPr="000A5308" w:rsidRDefault="00434D60" w:rsidP="00A87C96">
      <w:pPr>
        <w:pStyle w:val="Pucenoir"/>
      </w:pPr>
      <w:r>
        <w:t>Si tarification incitative</w:t>
      </w:r>
      <w:r>
        <w:rPr>
          <w:rFonts w:ascii="Calibri" w:hAnsi="Calibri" w:cs="Calibri"/>
        </w:rPr>
        <w:t xml:space="preserve">, </w:t>
      </w:r>
      <w:r w:rsidR="00D2712F" w:rsidRPr="000A5308">
        <w:t xml:space="preserve">1ère ébauche de grille tarifaire </w:t>
      </w:r>
    </w:p>
    <w:p w14:paraId="4057072E" w14:textId="6A332CA2" w:rsidR="00D2712F" w:rsidRDefault="00434D60" w:rsidP="00A87C96">
      <w:pPr>
        <w:pStyle w:val="Pucenoir"/>
      </w:pPr>
      <w:r>
        <w:t>Si tarification incitative</w:t>
      </w:r>
      <w:r>
        <w:rPr>
          <w:rFonts w:ascii="Calibri" w:hAnsi="Calibri" w:cs="Calibri"/>
        </w:rPr>
        <w:t xml:space="preserve">, </w:t>
      </w:r>
      <w:r>
        <w:t>a</w:t>
      </w:r>
      <w:r w:rsidR="00D2712F" w:rsidRPr="000A5308">
        <w:t>nalyse des transferts de charges entre usagers</w:t>
      </w:r>
    </w:p>
    <w:p w14:paraId="5DAB1043" w14:textId="4BA242DF" w:rsidR="00D2712F" w:rsidRPr="00D2712F" w:rsidRDefault="00D2712F" w:rsidP="00363DC5">
      <w:pPr>
        <w:pStyle w:val="soustitrea"/>
      </w:pPr>
      <w:bookmarkStart w:id="36" w:name="_Toc57366946"/>
      <w:bookmarkStart w:id="37" w:name="_Toc57367103"/>
      <w:r w:rsidRPr="00D2712F">
        <w:t>Réorganisation du service</w:t>
      </w:r>
      <w:bookmarkEnd w:id="36"/>
      <w:bookmarkEnd w:id="37"/>
    </w:p>
    <w:p w14:paraId="22194F52" w14:textId="18DEB612" w:rsidR="00D2712F" w:rsidRPr="00A87C96" w:rsidRDefault="00D2712F" w:rsidP="00A87C96">
      <w:pPr>
        <w:pStyle w:val="soustitrei"/>
      </w:pPr>
      <w:bookmarkStart w:id="38" w:name="_Toc57366947"/>
      <w:bookmarkStart w:id="39" w:name="_Toc57367104"/>
      <w:r w:rsidRPr="00A87C96">
        <w:t>Evolution du service</w:t>
      </w:r>
      <w:bookmarkEnd w:id="38"/>
      <w:bookmarkEnd w:id="39"/>
    </w:p>
    <w:p w14:paraId="4004B895" w14:textId="77777777" w:rsidR="00D2712F" w:rsidRDefault="00D2712F" w:rsidP="00D2712F">
      <w:pPr>
        <w:pStyle w:val="Texteexerguesurligngris"/>
      </w:pPr>
      <w:r w:rsidRPr="000A5308">
        <w:t>Présentation des évolutions du service (fréquence de collecte, développement des collectes sélectives, des zones d’apport volontaire, des déchèteries…)</w:t>
      </w:r>
      <w:r>
        <w:t xml:space="preserve"> </w:t>
      </w:r>
    </w:p>
    <w:p w14:paraId="36E91021" w14:textId="77777777" w:rsidR="00D2712F" w:rsidRPr="00D2712F" w:rsidRDefault="00D2712F" w:rsidP="00A87C96">
      <w:pPr>
        <w:pStyle w:val="soustitrei"/>
      </w:pPr>
      <w:bookmarkStart w:id="40" w:name="_Toc57366948"/>
      <w:bookmarkStart w:id="41" w:name="_Toc57367105"/>
      <w:r w:rsidRPr="00D2712F">
        <w:t>Les moyens humains</w:t>
      </w:r>
      <w:bookmarkEnd w:id="40"/>
      <w:bookmarkEnd w:id="41"/>
    </w:p>
    <w:p w14:paraId="6303A5A6" w14:textId="78663951" w:rsidR="00775C25" w:rsidRDefault="00775C25" w:rsidP="00A87C96">
      <w:pPr>
        <w:pStyle w:val="Pucenoir"/>
      </w:pPr>
      <w:r>
        <w:t>Présentation de l’organisation de la gestion quotidienne des données (gestion des comptes des usagers ou contribuables, des réclamations, des transferts de données informatiques, des mises à jour du fichier usagers, organisation de la facturation et du recouvrement) ;</w:t>
      </w:r>
    </w:p>
    <w:p w14:paraId="09B41694" w14:textId="36E8ADAA" w:rsidR="00D2712F" w:rsidRDefault="00775C25" w:rsidP="00A87C96">
      <w:pPr>
        <w:pStyle w:val="Pucenoir"/>
      </w:pPr>
      <w:r>
        <w:t>Détermination des moyens humains nécessaires à la mise en place du projet (collecte, communication, ambassadeurs, facturation et gestion des impayés, gestion des demandes des usagers, contrôle des dépôts sauvages …) et détermination des coûts correspondants.</w:t>
      </w:r>
    </w:p>
    <w:p w14:paraId="5CD2D008" w14:textId="77777777" w:rsidR="00D2712F" w:rsidRPr="00D2712F" w:rsidRDefault="00D2712F" w:rsidP="00A87C96">
      <w:pPr>
        <w:pStyle w:val="soustitrei"/>
      </w:pPr>
      <w:bookmarkStart w:id="42" w:name="_Toc57366949"/>
      <w:bookmarkStart w:id="43" w:name="_Toc57367106"/>
      <w:r w:rsidRPr="00D2712F">
        <w:t>Travaux préparatoires</w:t>
      </w:r>
      <w:bookmarkEnd w:id="42"/>
      <w:bookmarkEnd w:id="43"/>
    </w:p>
    <w:p w14:paraId="50E8765C" w14:textId="1E91695A" w:rsidR="00775C25" w:rsidRDefault="00775C25" w:rsidP="00A87C96">
      <w:pPr>
        <w:pStyle w:val="Pucenoir"/>
      </w:pPr>
      <w:r>
        <w:t xml:space="preserve">Présentation de la démarche pour l’élaboration du fichier avec notamment la dotation en contenants : Quel fichier sera utilisé ? Sur quelle base va-t-il être construit ? </w:t>
      </w:r>
    </w:p>
    <w:p w14:paraId="01119892" w14:textId="0C697C7E" w:rsidR="00775C25" w:rsidRDefault="00775C25" w:rsidP="00A87C96">
      <w:pPr>
        <w:pStyle w:val="Pucenoir"/>
      </w:pPr>
      <w:r>
        <w:t>Dans le cas d’une TEOMI, quels schéma et organisation pour la transmission de données entre les collectivités et le Trésor Public ? Quelle répartition des rôles entre les collectivités et le Trésor Public ? Quelle organisation de gestion pour la facturation ?</w:t>
      </w:r>
    </w:p>
    <w:p w14:paraId="5583BA68" w14:textId="46F81DD9" w:rsidR="00D2712F" w:rsidRDefault="00775C25" w:rsidP="00A87C96">
      <w:pPr>
        <w:pStyle w:val="Pucenoir"/>
      </w:pPr>
      <w:r>
        <w:t>Des tests sont-ils réalisés ? Sous quelles formes ?</w:t>
      </w:r>
    </w:p>
    <w:p w14:paraId="39931B65" w14:textId="6DA01ABC" w:rsidR="00D2712F" w:rsidRPr="00D2712F" w:rsidRDefault="00D2712F" w:rsidP="00363DC5">
      <w:pPr>
        <w:pStyle w:val="soustitrea"/>
      </w:pPr>
      <w:bookmarkStart w:id="44" w:name="_Toc57366950"/>
      <w:bookmarkStart w:id="45" w:name="_Toc57367107"/>
      <w:r w:rsidRPr="00D2712F">
        <w:t>Sur la production de déchets</w:t>
      </w:r>
      <w:bookmarkEnd w:id="44"/>
      <w:bookmarkEnd w:id="45"/>
    </w:p>
    <w:p w14:paraId="5B8ED5F2" w14:textId="77777777" w:rsidR="00D2712F" w:rsidRDefault="00D2712F" w:rsidP="00363DC5">
      <w:pPr>
        <w:pStyle w:val="TexteCourant"/>
      </w:pPr>
      <w:r w:rsidRPr="000A5308">
        <w:t>Proposer une évaluation des transferts de flux de déchets et effet de prévention.</w:t>
      </w:r>
    </w:p>
    <w:p w14:paraId="07E94176" w14:textId="19E5A416" w:rsidR="00D2712F" w:rsidRPr="00D2712F" w:rsidRDefault="00D2712F" w:rsidP="00363DC5">
      <w:pPr>
        <w:pStyle w:val="soustitrea"/>
      </w:pPr>
      <w:bookmarkStart w:id="46" w:name="_Toc57366951"/>
      <w:bookmarkStart w:id="47" w:name="_Toc57367108"/>
      <w:r w:rsidRPr="00D2712F">
        <w:t>Concertation</w:t>
      </w:r>
      <w:bookmarkEnd w:id="46"/>
      <w:bookmarkEnd w:id="47"/>
      <w:r w:rsidRPr="00D2712F">
        <w:t xml:space="preserve"> </w:t>
      </w:r>
    </w:p>
    <w:p w14:paraId="1A810172" w14:textId="77777777" w:rsidR="00D2712F" w:rsidRDefault="00D2712F" w:rsidP="00363DC5">
      <w:pPr>
        <w:pStyle w:val="TexteCourant"/>
      </w:pPr>
      <w:r w:rsidRPr="000A5308">
        <w:t>Présenter les modalités de la concertation envisagée avec les usagers et les relais du territoire (gestionnaires de l’habitat collectif, associations environnementales, …).</w:t>
      </w:r>
    </w:p>
    <w:p w14:paraId="2BFC95E8" w14:textId="71CA7FFD" w:rsidR="00D2712F" w:rsidRPr="00D2712F" w:rsidRDefault="00D2712F" w:rsidP="00363DC5">
      <w:pPr>
        <w:pStyle w:val="soustitrea"/>
      </w:pPr>
      <w:bookmarkStart w:id="48" w:name="_Toc57366952"/>
      <w:bookmarkStart w:id="49" w:name="_Toc57367109"/>
      <w:r w:rsidRPr="00D2712F">
        <w:t>Communication</w:t>
      </w:r>
      <w:bookmarkEnd w:id="48"/>
      <w:bookmarkEnd w:id="49"/>
    </w:p>
    <w:p w14:paraId="140FBE00" w14:textId="33C7E92A" w:rsidR="00D2712F" w:rsidRDefault="00D2712F" w:rsidP="00363DC5">
      <w:pPr>
        <w:pStyle w:val="TexteCourant"/>
      </w:pPr>
      <w:r w:rsidRPr="000A5308">
        <w:t xml:space="preserve">Présenter une trame d’un plan de communication sur la prévention des déchets et sur </w:t>
      </w:r>
      <w:r w:rsidR="00A16748" w:rsidRPr="000A5308">
        <w:t>le projet (</w:t>
      </w:r>
      <w:proofErr w:type="gramStart"/>
      <w:r w:rsidRPr="000A5308">
        <w:t xml:space="preserve">TI </w:t>
      </w:r>
      <w:r w:rsidR="00A16748" w:rsidRPr="000A5308">
        <w:t xml:space="preserve"> ou</w:t>
      </w:r>
      <w:proofErr w:type="gramEnd"/>
      <w:r w:rsidR="00A16748" w:rsidRPr="000A5308">
        <w:t xml:space="preserve"> information individuelle) </w:t>
      </w:r>
      <w:r w:rsidRPr="000A5308">
        <w:t>devra être proposé en différenciant si utile les différentes cibles (élus, particuliers, professionnels …). Le point de départ, le contenu et la périodicité de la communication devront être programmés.</w:t>
      </w:r>
    </w:p>
    <w:p w14:paraId="734C4ADA" w14:textId="48444407" w:rsidR="00D2712F" w:rsidRPr="00D2712F" w:rsidRDefault="00D2712F" w:rsidP="00363DC5">
      <w:pPr>
        <w:pStyle w:val="soustitrea"/>
      </w:pPr>
      <w:bookmarkStart w:id="50" w:name="_Toc57366953"/>
      <w:bookmarkStart w:id="51" w:name="_Toc57367110"/>
      <w:r w:rsidRPr="00D2712F">
        <w:t xml:space="preserve">Actions connexes à </w:t>
      </w:r>
      <w:r w:rsidR="007B2148">
        <w:t>l’opération</w:t>
      </w:r>
      <w:r w:rsidRPr="00D2712F">
        <w:t xml:space="preserve"> sur les déchets</w:t>
      </w:r>
      <w:bookmarkEnd w:id="50"/>
      <w:bookmarkEnd w:id="51"/>
    </w:p>
    <w:p w14:paraId="50E07C2A" w14:textId="5DF15C34" w:rsidR="00D2712F" w:rsidRPr="000A5308" w:rsidRDefault="00D2712F" w:rsidP="00363DC5">
      <w:pPr>
        <w:pStyle w:val="Texteexerguesurligngris"/>
        <w:spacing w:after="0"/>
      </w:pPr>
      <w:r w:rsidRPr="00363DC5">
        <w:rPr>
          <w:rStyle w:val="TexteCourantCar"/>
          <w:rFonts w:eastAsia="Calibri"/>
        </w:rPr>
        <w:t xml:space="preserve">Présenter les différentes actions pouvant être mises en œuvre pour assurer la réussite du </w:t>
      </w:r>
      <w:r w:rsidR="00A16748" w:rsidRPr="00363DC5">
        <w:rPr>
          <w:rStyle w:val="TexteCourantCar"/>
          <w:rFonts w:eastAsia="Calibri"/>
        </w:rPr>
        <w:t>projet (</w:t>
      </w:r>
      <w:r w:rsidRPr="00363DC5">
        <w:rPr>
          <w:rStyle w:val="TexteCourantCar"/>
          <w:rFonts w:eastAsia="Calibri"/>
        </w:rPr>
        <w:t>passage à la TI</w:t>
      </w:r>
      <w:r w:rsidR="00A16748" w:rsidRPr="00363DC5">
        <w:rPr>
          <w:rStyle w:val="TexteCourantCar"/>
          <w:rFonts w:eastAsia="Calibri"/>
        </w:rPr>
        <w:t xml:space="preserve"> ou information individuelle)</w:t>
      </w:r>
      <w:r w:rsidRPr="00363DC5">
        <w:rPr>
          <w:rStyle w:val="TexteCourantCar"/>
          <w:rFonts w:eastAsia="Calibri"/>
        </w:rPr>
        <w:t>. Ces actions portent sur la mise à disposition de solutions alternatives aux usagers du service, pour réduire leurs quantités</w:t>
      </w:r>
      <w:r w:rsidRPr="000A5308">
        <w:t xml:space="preserve"> de déchets ou améliorer la qualité du tri pour une meilleure valorisation. Il s’agira par exemple de :</w:t>
      </w:r>
    </w:p>
    <w:p w14:paraId="4F08318C" w14:textId="64141D2D" w:rsidR="00D2712F" w:rsidRPr="000A5308" w:rsidRDefault="00D2712F" w:rsidP="00363DC5">
      <w:pPr>
        <w:pStyle w:val="Pucenoir"/>
      </w:pPr>
      <w:proofErr w:type="gramStart"/>
      <w:r w:rsidRPr="000A5308">
        <w:lastRenderedPageBreak/>
        <w:t>la</w:t>
      </w:r>
      <w:proofErr w:type="gramEnd"/>
      <w:r w:rsidRPr="000A5308">
        <w:t xml:space="preserve"> promotion des actions de prévention des déchets (stop pub …) ;</w:t>
      </w:r>
    </w:p>
    <w:p w14:paraId="08619CFB" w14:textId="6E684CE5" w:rsidR="00D2712F" w:rsidRPr="000A5308" w:rsidRDefault="00D2712F" w:rsidP="00363DC5">
      <w:pPr>
        <w:pStyle w:val="Pucenoir"/>
      </w:pPr>
      <w:proofErr w:type="gramStart"/>
      <w:r w:rsidRPr="000A5308">
        <w:t>l’optimisation</w:t>
      </w:r>
      <w:proofErr w:type="gramEnd"/>
      <w:r w:rsidRPr="000A5308">
        <w:t xml:space="preserve"> des collectes sélectives ;</w:t>
      </w:r>
    </w:p>
    <w:p w14:paraId="23D009D9" w14:textId="622D31A6" w:rsidR="00D2712F" w:rsidRPr="000A5308" w:rsidRDefault="00D2712F" w:rsidP="00363DC5">
      <w:pPr>
        <w:pStyle w:val="Pucenoir"/>
      </w:pPr>
      <w:proofErr w:type="gramStart"/>
      <w:r w:rsidRPr="000A5308">
        <w:t>l’amélioration</w:t>
      </w:r>
      <w:proofErr w:type="gramEnd"/>
      <w:r w:rsidRPr="000A5308">
        <w:t xml:space="preserve"> de l’accès à des points d’apports volontaires ;</w:t>
      </w:r>
    </w:p>
    <w:p w14:paraId="7F169A4D" w14:textId="147877B1" w:rsidR="00D2712F" w:rsidRPr="000A5308" w:rsidRDefault="00D2712F" w:rsidP="00363DC5">
      <w:pPr>
        <w:pStyle w:val="Pucenoir"/>
      </w:pPr>
      <w:proofErr w:type="gramStart"/>
      <w:r w:rsidRPr="000A5308">
        <w:t>compléter</w:t>
      </w:r>
      <w:proofErr w:type="gramEnd"/>
      <w:r w:rsidRPr="000A5308">
        <w:t xml:space="preserve"> le réseau de déchèteries ou optimiser celles existantes ;</w:t>
      </w:r>
    </w:p>
    <w:p w14:paraId="212A7F53" w14:textId="185070F3" w:rsidR="00D2712F" w:rsidRPr="000A5308" w:rsidRDefault="00D2712F" w:rsidP="00363DC5">
      <w:pPr>
        <w:pStyle w:val="Pucenoir"/>
      </w:pPr>
      <w:proofErr w:type="gramStart"/>
      <w:r w:rsidRPr="000A5308">
        <w:t>réfléchir</w:t>
      </w:r>
      <w:proofErr w:type="gramEnd"/>
      <w:r w:rsidRPr="000A5308">
        <w:t xml:space="preserve"> à la mise en place de recycleries ;</w:t>
      </w:r>
    </w:p>
    <w:p w14:paraId="766356A9" w14:textId="4F63BF94" w:rsidR="00D2712F" w:rsidRPr="000A5308" w:rsidRDefault="00D2712F" w:rsidP="00363DC5">
      <w:pPr>
        <w:pStyle w:val="Pucenoir"/>
      </w:pPr>
      <w:proofErr w:type="gramStart"/>
      <w:r w:rsidRPr="000A5308">
        <w:t>développer</w:t>
      </w:r>
      <w:proofErr w:type="gramEnd"/>
      <w:r w:rsidRPr="000A5308">
        <w:t xml:space="preserve"> le compostage domestique et/ou la collecte séparée des biodéchets ;</w:t>
      </w:r>
    </w:p>
    <w:p w14:paraId="5C00847C" w14:textId="25EABA95" w:rsidR="00D2712F" w:rsidRPr="000A5308" w:rsidRDefault="00D2712F" w:rsidP="00363DC5">
      <w:pPr>
        <w:pStyle w:val="Pucenoir"/>
      </w:pPr>
      <w:proofErr w:type="gramStart"/>
      <w:r w:rsidRPr="000A5308">
        <w:t>réfléchir</w:t>
      </w:r>
      <w:proofErr w:type="gramEnd"/>
      <w:r w:rsidRPr="000A5308">
        <w:t xml:space="preserve"> à la gestion des déchets des professionnels du territoire</w:t>
      </w:r>
    </w:p>
    <w:p w14:paraId="1AE762E3" w14:textId="058D670C" w:rsidR="00D2712F" w:rsidRDefault="00D2712F" w:rsidP="00363DC5">
      <w:pPr>
        <w:pStyle w:val="Pucenoir"/>
      </w:pPr>
      <w:r w:rsidRPr="000A5308">
        <w:t>…</w:t>
      </w:r>
    </w:p>
    <w:p w14:paraId="7FDFC81A" w14:textId="13F32426" w:rsidR="00D2712F" w:rsidRDefault="00D2712F" w:rsidP="00D2712F">
      <w:pPr>
        <w:pStyle w:val="Titre2"/>
      </w:pPr>
      <w:bookmarkStart w:id="52" w:name="_Toc57366954"/>
      <w:bookmarkStart w:id="53" w:name="_Toc57367111"/>
      <w:bookmarkStart w:id="54" w:name="_Toc178347424"/>
      <w:r>
        <w:t>A</w:t>
      </w:r>
      <w:r w:rsidR="00D30433">
        <w:t>ide</w:t>
      </w:r>
      <w:r>
        <w:t xml:space="preserve"> aux </w:t>
      </w:r>
      <w:r w:rsidR="00D30433">
        <w:t>investissements</w:t>
      </w:r>
      <w:bookmarkEnd w:id="52"/>
      <w:bookmarkEnd w:id="53"/>
      <w:bookmarkEnd w:id="54"/>
    </w:p>
    <w:p w14:paraId="470C8209" w14:textId="54615800" w:rsidR="00D2712F" w:rsidRDefault="00D2712F" w:rsidP="00D2712F">
      <w:pPr>
        <w:pStyle w:val="Texteexerguesurligngris"/>
      </w:pPr>
      <w:r w:rsidRPr="000A5308">
        <w:t xml:space="preserve">Présenter le projet de déploiement d’équipements permettant l’individualisation </w:t>
      </w:r>
      <w:r w:rsidR="00A16748" w:rsidRPr="000A5308">
        <w:t xml:space="preserve">du suivi de la production de déchets (en porte à porte, </w:t>
      </w:r>
      <w:r w:rsidRPr="000A5308">
        <w:t>en apport volontaire</w:t>
      </w:r>
      <w:r w:rsidR="00A16748" w:rsidRPr="000A5308">
        <w:t>,</w:t>
      </w:r>
      <w:r w:rsidRPr="000A5308">
        <w:t xml:space="preserve"> en déchèterie</w:t>
      </w:r>
      <w:r w:rsidR="00A16748" w:rsidRPr="000A5308">
        <w:t>, …)</w:t>
      </w:r>
    </w:p>
    <w:p w14:paraId="45E55F06" w14:textId="73123340" w:rsidR="00D2712F" w:rsidRPr="00D2712F" w:rsidRDefault="00D2712F" w:rsidP="00363DC5">
      <w:pPr>
        <w:pStyle w:val="soustitrea"/>
        <w:numPr>
          <w:ilvl w:val="0"/>
          <w:numId w:val="35"/>
        </w:numPr>
      </w:pPr>
      <w:bookmarkStart w:id="55" w:name="_Toc57366955"/>
      <w:bookmarkStart w:id="56" w:name="_Toc57367112"/>
      <w:r w:rsidRPr="00D2712F">
        <w:t>Descriptif du projet</w:t>
      </w:r>
      <w:bookmarkEnd w:id="55"/>
      <w:bookmarkEnd w:id="56"/>
    </w:p>
    <w:p w14:paraId="0B7B3529" w14:textId="22CAE523" w:rsidR="00D2712F" w:rsidRPr="000A5308" w:rsidRDefault="00D2712F" w:rsidP="00363DC5">
      <w:pPr>
        <w:pStyle w:val="Pucenoir"/>
      </w:pPr>
      <w:r w:rsidRPr="000A5308">
        <w:t>Fournir une description globale des modalités de collecte envisagées (le cas échéant illustrer le zonage sur le territoire par une cartographie) ;</w:t>
      </w:r>
    </w:p>
    <w:p w14:paraId="10B3206B" w14:textId="146203C4" w:rsidR="00D2712F" w:rsidRPr="000A5308" w:rsidRDefault="00D2712F" w:rsidP="00363DC5">
      <w:pPr>
        <w:pStyle w:val="Pucenoir"/>
      </w:pPr>
      <w:r w:rsidRPr="000A5308">
        <w:t>Sur les zones concernées par les équipements éligibles, fournir une description des équipements ;</w:t>
      </w:r>
    </w:p>
    <w:p w14:paraId="42EF5707" w14:textId="2AB18A99" w:rsidR="00D2712F" w:rsidRPr="000A5308" w:rsidRDefault="00D2712F" w:rsidP="00363DC5">
      <w:pPr>
        <w:pStyle w:val="Pucenoir"/>
      </w:pPr>
      <w:r w:rsidRPr="000A5308">
        <w:t>Procédés relatifs aux principaux équipements et nom(s) du(des) constructeur(s) si connu(s</w:t>
      </w:r>
      <w:proofErr w:type="gramStart"/>
      <w:r w:rsidRPr="000A5308">
        <w:t>);</w:t>
      </w:r>
      <w:proofErr w:type="gramEnd"/>
    </w:p>
    <w:p w14:paraId="72EA7D2F" w14:textId="5315C092" w:rsidR="00D2712F" w:rsidRPr="000A5308" w:rsidRDefault="00D2712F" w:rsidP="00363DC5">
      <w:pPr>
        <w:pStyle w:val="Pucenoir"/>
      </w:pPr>
      <w:r w:rsidRPr="000A5308">
        <w:t>Principes de fonctionnement ;</w:t>
      </w:r>
    </w:p>
    <w:p w14:paraId="28D16584" w14:textId="5510245A" w:rsidR="00D2712F" w:rsidRDefault="00D2712F" w:rsidP="00363DC5">
      <w:pPr>
        <w:pStyle w:val="Pucenoir"/>
      </w:pPr>
      <w:r w:rsidRPr="000A5308">
        <w:t>Justifier du choix des équipements.</w:t>
      </w:r>
    </w:p>
    <w:p w14:paraId="4CF086E6" w14:textId="35533232" w:rsidR="00D2712F" w:rsidRPr="00D2712F" w:rsidRDefault="00D2712F" w:rsidP="00363DC5">
      <w:pPr>
        <w:pStyle w:val="soustitrea"/>
      </w:pPr>
      <w:bookmarkStart w:id="57" w:name="_Toc57366956"/>
      <w:bookmarkStart w:id="58" w:name="_Toc57367113"/>
      <w:r w:rsidRPr="00D2712F">
        <w:t>Eléments économiques du projet</w:t>
      </w:r>
      <w:bookmarkEnd w:id="57"/>
      <w:bookmarkEnd w:id="58"/>
    </w:p>
    <w:p w14:paraId="427414D3" w14:textId="77777777" w:rsidR="00D2712F" w:rsidRPr="000A5308" w:rsidRDefault="00D2712F" w:rsidP="00363DC5">
      <w:pPr>
        <w:pStyle w:val="Texteexerguesurligngris"/>
        <w:spacing w:after="0"/>
      </w:pPr>
      <w:r w:rsidRPr="000A5308">
        <w:t xml:space="preserve">Présenter : </w:t>
      </w:r>
    </w:p>
    <w:p w14:paraId="7A4FB25F" w14:textId="70C1ACE2" w:rsidR="00D2712F" w:rsidRPr="000A5308" w:rsidRDefault="00D2712F" w:rsidP="00363DC5">
      <w:pPr>
        <w:pStyle w:val="Pucenoir"/>
      </w:pPr>
      <w:r w:rsidRPr="000A5308">
        <w:t>Investissements prévisionnels (différenciés par équipement)</w:t>
      </w:r>
    </w:p>
    <w:p w14:paraId="5E7AF0E7" w14:textId="44312159" w:rsidR="00D2712F" w:rsidRPr="000A5308" w:rsidRDefault="00D2712F" w:rsidP="00363DC5">
      <w:pPr>
        <w:pStyle w:val="Pucenoir"/>
      </w:pPr>
      <w:r w:rsidRPr="000A5308">
        <w:t>Plan de financement (différencié par équipement si nécessaire)</w:t>
      </w:r>
    </w:p>
    <w:p w14:paraId="2597AD17" w14:textId="4450B20C" w:rsidR="002D579B" w:rsidRDefault="00D2712F" w:rsidP="00363DC5">
      <w:pPr>
        <w:pStyle w:val="Pucenoir"/>
      </w:pPr>
      <w:r w:rsidRPr="000A5308">
        <w:t>Faire ressortir le montant de l’aide demandée à l’ADEME.</w:t>
      </w:r>
    </w:p>
    <w:p w14:paraId="50C83336" w14:textId="3F04E151" w:rsidR="00081363" w:rsidRDefault="00081363" w:rsidP="00081363">
      <w:pPr>
        <w:pStyle w:val="Titre1"/>
        <w:numPr>
          <w:ilvl w:val="0"/>
          <w:numId w:val="2"/>
        </w:numPr>
      </w:pPr>
      <w:bookmarkStart w:id="59" w:name="_Toc51062369"/>
      <w:bookmarkStart w:id="60" w:name="_Toc51064064"/>
      <w:bookmarkStart w:id="61" w:name="_Toc51064311"/>
      <w:bookmarkStart w:id="62" w:name="_Toc51064423"/>
      <w:bookmarkStart w:id="63" w:name="_Toc51064715"/>
      <w:bookmarkStart w:id="64" w:name="_Toc51228303"/>
      <w:bookmarkStart w:id="65" w:name="_Toc51228335"/>
      <w:bookmarkStart w:id="66" w:name="_Toc51228464"/>
      <w:bookmarkStart w:id="67" w:name="_Toc51228543"/>
      <w:bookmarkStart w:id="68" w:name="_Toc57366957"/>
      <w:bookmarkStart w:id="69" w:name="_Toc57367114"/>
      <w:bookmarkStart w:id="70" w:name="_Toc178347425"/>
      <w:r w:rsidRPr="00D95037">
        <w:t>Suivi et planning du projet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B617E61" w14:textId="603038BA" w:rsidR="00081363" w:rsidRPr="000A5308" w:rsidRDefault="00081363" w:rsidP="00F62D40">
      <w:pPr>
        <w:pStyle w:val="Texteexerguesurligngris"/>
      </w:pPr>
      <w:r w:rsidRPr="000A5308">
        <w:t xml:space="preserve">Insérer un </w:t>
      </w:r>
      <w:r w:rsidR="00094C8A" w:rsidRPr="000A5308">
        <w:t>planning prévisionnel</w:t>
      </w:r>
      <w:r w:rsidRPr="000A5308">
        <w:t xml:space="preserve"> </w:t>
      </w:r>
      <w:r w:rsidR="00094C8A" w:rsidRPr="000A5308">
        <w:t xml:space="preserve">du projet, en intégrant les </w:t>
      </w:r>
      <w:r w:rsidR="00920400" w:rsidRPr="000A5308">
        <w:t>différentes étapes</w:t>
      </w:r>
    </w:p>
    <w:p w14:paraId="19B559DC" w14:textId="01CB75EC" w:rsidR="00A766D8" w:rsidRPr="000A5308" w:rsidRDefault="00A766D8" w:rsidP="00094C8A">
      <w:pPr>
        <w:spacing w:after="0" w:line="240" w:lineRule="auto"/>
        <w:ind w:left="360"/>
        <w:jc w:val="both"/>
        <w:rPr>
          <w:rFonts w:ascii="Marianne Light" w:hAnsi="Marianne Light" w:cs="Arial"/>
          <w:color w:val="auto"/>
          <w:kern w:val="0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5"/>
      </w:tblGrid>
      <w:tr w:rsidR="00920400" w:rsidRPr="000A5308" w14:paraId="3199CF2F" w14:textId="77777777" w:rsidTr="00134E0D">
        <w:trPr>
          <w:trHeight w:val="510"/>
        </w:trPr>
        <w:tc>
          <w:tcPr>
            <w:tcW w:w="2088" w:type="dxa"/>
            <w:shd w:val="clear" w:color="auto" w:fill="E6E6E6"/>
            <w:vAlign w:val="center"/>
          </w:tcPr>
          <w:p w14:paraId="2E467B37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71" w:name="_Toc531078171"/>
            <w:bookmarkStart w:id="72" w:name="_Toc53107918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Echéances</w:t>
            </w:r>
            <w:bookmarkEnd w:id="71"/>
            <w:bookmarkEnd w:id="72"/>
          </w:p>
        </w:tc>
        <w:tc>
          <w:tcPr>
            <w:tcW w:w="7124" w:type="dxa"/>
            <w:shd w:val="clear" w:color="auto" w:fill="E6E6E6"/>
            <w:vAlign w:val="center"/>
          </w:tcPr>
          <w:p w14:paraId="60F1A6D3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bookmarkStart w:id="73" w:name="_Toc531078172"/>
            <w:bookmarkStart w:id="74" w:name="_Toc531079189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Etapes</w:t>
            </w:r>
            <w:bookmarkEnd w:id="73"/>
            <w:bookmarkEnd w:id="74"/>
          </w:p>
        </w:tc>
      </w:tr>
      <w:tr w:rsidR="00920400" w:rsidRPr="000A5308" w14:paraId="71AEE3A7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4AE127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5" w:name="_Toc531078173"/>
            <w:bookmarkStart w:id="76" w:name="_Toc53107919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5"/>
            <w:bookmarkEnd w:id="7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506671F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7" w:name="_Toc531078174"/>
            <w:bookmarkStart w:id="78" w:name="_Toc531079191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7"/>
            <w:bookmarkEnd w:id="7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45472CAC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D60843D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79" w:name="_Toc531078175"/>
            <w:bookmarkStart w:id="80" w:name="_Toc53107919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79"/>
            <w:bookmarkEnd w:id="8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ABDFAB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1" w:name="_Toc531078176"/>
            <w:bookmarkStart w:id="82" w:name="_Toc531079193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1"/>
            <w:bookmarkEnd w:id="82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62A6778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56898A31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3" w:name="_Toc531078177"/>
            <w:bookmarkStart w:id="84" w:name="_Toc53107919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3"/>
            <w:bookmarkEnd w:id="84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75874D1E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5" w:name="_Toc531078178"/>
            <w:bookmarkStart w:id="86" w:name="_Toc531079195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5"/>
            <w:bookmarkEnd w:id="8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0A5308" w14:paraId="5A93CC60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2743503B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7" w:name="_Toc531078179"/>
            <w:bookmarkStart w:id="88" w:name="_Toc531079196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7"/>
            <w:bookmarkEnd w:id="8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5C699C08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89" w:name="_Toc531078180"/>
            <w:bookmarkStart w:id="90" w:name="_Toc531079197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89"/>
            <w:bookmarkEnd w:id="90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</w:tr>
      <w:tr w:rsidR="00920400" w:rsidRPr="00920400" w14:paraId="1CEC2488" w14:textId="77777777" w:rsidTr="00134E0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7314672C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bookmarkStart w:id="91" w:name="_Toc531079198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instrText xml:space="preserve"> FORMTEXT </w:instrTex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separate"/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t> </w:t>
            </w:r>
            <w:bookmarkEnd w:id="91"/>
            <w:r w:rsidRPr="000A5308"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  <w:fldChar w:fldCharType="end"/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228392EF" w14:textId="77777777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bookmarkStart w:id="92" w:name="_Toc531078182"/>
            <w:bookmarkStart w:id="93" w:name="_Toc531079199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Mise en œuvre effective de la TI (facturation réelle RI ou avis imposition de taxe foncière avec part variable </w:t>
            </w:r>
            <w:proofErr w:type="spellStart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TEOMi</w:t>
            </w:r>
            <w:proofErr w:type="spellEnd"/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  <w:bookmarkEnd w:id="92"/>
            <w:bookmarkEnd w:id="93"/>
          </w:p>
          <w:p w14:paraId="70C6FD31" w14:textId="259F1E70" w:rsidR="00920400" w:rsidRPr="000A5308" w:rsidRDefault="00920400" w:rsidP="00920400">
            <w:pPr>
              <w:spacing w:after="0" w:line="240" w:lineRule="auto"/>
              <w:ind w:left="360"/>
              <w:jc w:val="both"/>
              <w:rPr>
                <w:rFonts w:ascii="Marianne Light" w:hAnsi="Marianne Light" w:cs="Arial"/>
                <w:color w:val="auto"/>
                <w:kern w:val="0"/>
                <w14:ligatures w14:val="none"/>
                <w14:cntxtAlts w14:val="0"/>
              </w:rPr>
            </w:pPr>
            <w:r w:rsidRPr="000A530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Ou mise en œuvre effective de l’information individuelle sur l’usage</w:t>
            </w:r>
          </w:p>
        </w:tc>
      </w:tr>
    </w:tbl>
    <w:p w14:paraId="75779D99" w14:textId="079C4EB5" w:rsidR="00920400" w:rsidRPr="00EA4C10" w:rsidRDefault="00920400" w:rsidP="00094C8A">
      <w:pPr>
        <w:spacing w:after="0" w:line="240" w:lineRule="auto"/>
        <w:ind w:left="360"/>
        <w:jc w:val="both"/>
        <w:rPr>
          <w:rFonts w:ascii="Arial" w:hAnsi="Arial" w:cs="Arial"/>
          <w:color w:val="auto"/>
          <w:kern w:val="0"/>
          <w:highlight w:val="yellow"/>
          <w14:ligatures w14:val="none"/>
          <w14:cntxtAlts w14:val="0"/>
        </w:rPr>
      </w:pPr>
    </w:p>
    <w:p w14:paraId="78BC9CFE" w14:textId="4168525A" w:rsidR="00AE0AE9" w:rsidRPr="00F80848" w:rsidRDefault="00AE0AE9" w:rsidP="00920400">
      <w:pPr>
        <w:pStyle w:val="Titre1"/>
        <w:numPr>
          <w:ilvl w:val="0"/>
          <w:numId w:val="2"/>
        </w:numPr>
      </w:pPr>
      <w:bookmarkStart w:id="94" w:name="_Toc178347426"/>
      <w:bookmarkStart w:id="95" w:name="_Toc51178595"/>
      <w:bookmarkStart w:id="96" w:name="_Toc57366958"/>
      <w:bookmarkStart w:id="97" w:name="_Toc57367115"/>
      <w:bookmarkStart w:id="98" w:name="_Toc178347427"/>
      <w:bookmarkStart w:id="99" w:name="_Toc51064424"/>
      <w:bookmarkEnd w:id="94"/>
      <w:r w:rsidRPr="00F80848">
        <w:t>Engagements spécifiques</w:t>
      </w:r>
      <w:bookmarkEnd w:id="95"/>
      <w:bookmarkEnd w:id="96"/>
      <w:bookmarkEnd w:id="97"/>
      <w:bookmarkEnd w:id="98"/>
    </w:p>
    <w:p w14:paraId="00206824" w14:textId="24BBA9C8" w:rsidR="00AE0AE9" w:rsidRPr="00920400" w:rsidRDefault="00F25439" w:rsidP="00363DC5">
      <w:pPr>
        <w:pStyle w:val="TexteCourant"/>
      </w:pPr>
      <w:r w:rsidRPr="00F80848">
        <w:rPr>
          <w:rFonts w:eastAsia="Calibri"/>
          <w:color w:val="auto"/>
        </w:rPr>
        <w:t>L</w:t>
      </w:r>
      <w:r w:rsidR="00AE0AE9" w:rsidRPr="00F80848">
        <w:rPr>
          <w:rFonts w:eastAsia="Calibri"/>
          <w:color w:val="auto"/>
        </w:rPr>
        <w:t>e</w:t>
      </w:r>
      <w:r w:rsidR="00AE0AE9" w:rsidRPr="00F80848">
        <w:rPr>
          <w:rFonts w:eastAsia="Calibri"/>
        </w:rPr>
        <w:t xml:space="preserve"> bénéficiaire s’engage à </w:t>
      </w:r>
      <w:r w:rsidR="00B278FA" w:rsidRPr="007D364E">
        <w:rPr>
          <w:rFonts w:eastAsia="Calibri"/>
        </w:rPr>
        <w:t>soumettre</w:t>
      </w:r>
      <w:r w:rsidR="00AE0AE9" w:rsidRPr="00F80848">
        <w:rPr>
          <w:rFonts w:eastAsia="Calibri"/>
        </w:rPr>
        <w:t xml:space="preserve"> une fiche action-résultat </w:t>
      </w:r>
      <w:r w:rsidR="00B278FA" w:rsidRPr="007D364E">
        <w:rPr>
          <w:rFonts w:eastAsia="Calibri"/>
        </w:rPr>
        <w:t>«</w:t>
      </w:r>
      <w:r w:rsidR="00B278FA" w:rsidRPr="007D364E">
        <w:rPr>
          <w:rFonts w:ascii="Calibri" w:eastAsia="Calibri" w:hAnsi="Calibri" w:cs="Calibri"/>
        </w:rPr>
        <w:t> </w:t>
      </w:r>
      <w:r w:rsidR="00B278FA" w:rsidRPr="007D364E">
        <w:rPr>
          <w:rFonts w:eastAsia="Calibri"/>
        </w:rPr>
        <w:t>ils l’ont fait</w:t>
      </w:r>
      <w:r w:rsidR="00B278FA" w:rsidRPr="007D364E">
        <w:rPr>
          <w:rFonts w:ascii="Calibri" w:eastAsia="Calibri" w:hAnsi="Calibri" w:cs="Calibri"/>
        </w:rPr>
        <w:t> </w:t>
      </w:r>
      <w:r w:rsidR="00B278FA" w:rsidRPr="007D364E">
        <w:rPr>
          <w:rFonts w:eastAsia="Calibri" w:cs="Marianne Light"/>
        </w:rPr>
        <w:t>»</w:t>
      </w:r>
      <w:r w:rsidR="00AE0AE9" w:rsidRPr="00F80848">
        <w:rPr>
          <w:rFonts w:eastAsia="Calibri"/>
        </w:rPr>
        <w:t>. Cette fiche pourra être publiée sur le site</w:t>
      </w:r>
      <w:r w:rsidR="00EB1F3C" w:rsidRPr="007D364E">
        <w:rPr>
          <w:rFonts w:eastAsia="Calibri"/>
        </w:rPr>
        <w:t xml:space="preserve"> </w:t>
      </w:r>
      <w:hyperlink r:id="rId9" w:history="1">
        <w:r w:rsidR="00F80848" w:rsidRPr="00F80848">
          <w:rPr>
            <w:rStyle w:val="Lienhypertexte"/>
            <w:rFonts w:eastAsia="Calibri"/>
          </w:rPr>
          <w:t>https://librairie.ademe.fr/</w:t>
        </w:r>
      </w:hyperlink>
      <w:r w:rsidR="00F80848" w:rsidRPr="00F80848">
        <w:rPr>
          <w:rFonts w:eastAsia="Calibri"/>
        </w:rPr>
        <w:t xml:space="preserve"> </w:t>
      </w:r>
      <w:r w:rsidR="00AE0AE9" w:rsidRPr="00F80848">
        <w:rPr>
          <w:rFonts w:eastAsia="Calibri"/>
        </w:rPr>
        <w:t>après une validation par la Direction Régionale de l'ADEME concernée.</w:t>
      </w:r>
    </w:p>
    <w:p w14:paraId="3DDD8080" w14:textId="7B89C5E5" w:rsidR="00AE0AE9" w:rsidRPr="00920400" w:rsidRDefault="00AE0AE9" w:rsidP="00363DC5">
      <w:pPr>
        <w:pStyle w:val="TexteCourant"/>
        <w:rPr>
          <w:rFonts w:eastAsia="Calibri"/>
        </w:rPr>
      </w:pPr>
      <w:r w:rsidRPr="00920400">
        <w:rPr>
          <w:rFonts w:eastAsia="Calibri"/>
        </w:rPr>
        <w:lastRenderedPageBreak/>
        <w:t>Le bénéficiaire s’engage à répondre aux enquêtes de l’ADEME, de la Région et de</w:t>
      </w:r>
      <w:r w:rsidR="005C42DD" w:rsidRPr="00920400">
        <w:rPr>
          <w:rFonts w:eastAsia="Calibri"/>
        </w:rPr>
        <w:t>s observatoires régionaux (déchets, ressources, économie circulaire …</w:t>
      </w:r>
      <w:r w:rsidRPr="00920400">
        <w:rPr>
          <w:rFonts w:eastAsia="Calibri"/>
        </w:rPr>
        <w:t>).</w:t>
      </w:r>
    </w:p>
    <w:p w14:paraId="5383EA30" w14:textId="77777777" w:rsidR="00AE0AE9" w:rsidRPr="00AE0AE9" w:rsidRDefault="00AE0AE9" w:rsidP="00920400">
      <w:pPr>
        <w:pStyle w:val="Titre1"/>
        <w:numPr>
          <w:ilvl w:val="0"/>
          <w:numId w:val="2"/>
        </w:numPr>
      </w:pPr>
      <w:bookmarkStart w:id="100" w:name="_Toc51178596"/>
      <w:bookmarkStart w:id="101" w:name="_Toc57366959"/>
      <w:bookmarkStart w:id="102" w:name="_Toc57367116"/>
      <w:bookmarkStart w:id="103" w:name="_Toc178347428"/>
      <w:r w:rsidRPr="00AE0AE9">
        <w:t>Rapports / documents à fournir lors de l’exécution du contrat de financement</w:t>
      </w:r>
      <w:bookmarkEnd w:id="100"/>
      <w:bookmarkEnd w:id="101"/>
      <w:bookmarkEnd w:id="102"/>
      <w:bookmarkEnd w:id="103"/>
      <w:r w:rsidRPr="00AE0AE9">
        <w:t xml:space="preserve"> </w:t>
      </w:r>
    </w:p>
    <w:p w14:paraId="1DD05302" w14:textId="365C41BC" w:rsidR="005C42DD" w:rsidRPr="00363DC5" w:rsidRDefault="0011054C" w:rsidP="00363DC5">
      <w:pPr>
        <w:pStyle w:val="Pucenoir"/>
      </w:pPr>
      <w:r w:rsidRPr="00363DC5">
        <w:t>Selon les indications du contrat, vous devrez nous transmettre un ou plusieurs des rapports ci-dessous.</w:t>
      </w:r>
    </w:p>
    <w:p w14:paraId="61E6EC49" w14:textId="77777777" w:rsidR="00920400" w:rsidRPr="00C730E9" w:rsidRDefault="00920400" w:rsidP="00363DC5">
      <w:pPr>
        <w:pStyle w:val="TexteCourant"/>
      </w:pPr>
      <w:r w:rsidRPr="00C730E9">
        <w:t xml:space="preserve">Le bénéficiaire remettra à l’ADEME les documents suivants : </w:t>
      </w:r>
    </w:p>
    <w:p w14:paraId="6E17719C" w14:textId="77777777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ou plusieurs rapports d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avancement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 xml:space="preserve">ration le cas 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chéant.</w:t>
      </w:r>
    </w:p>
    <w:p w14:paraId="3E894D05" w14:textId="39F72948" w:rsidR="00920400" w:rsidRPr="00C730E9" w:rsidRDefault="00920400" w:rsidP="009204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C730E9">
        <w:rPr>
          <w:rFonts w:ascii="Courier New" w:hAnsi="Courier New" w:cs="Courier New"/>
          <w:sz w:val="18"/>
          <w:szCs w:val="18"/>
        </w:rPr>
        <w:t>□</w:t>
      </w:r>
      <w:r w:rsidRPr="00C730E9">
        <w:rPr>
          <w:rFonts w:ascii="Marianne Light" w:hAnsi="Marianne Light" w:cs="Arial"/>
          <w:sz w:val="18"/>
          <w:szCs w:val="18"/>
        </w:rPr>
        <w:t xml:space="preserve"> un rapport final d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finitif de l</w:t>
      </w:r>
      <w:r w:rsidRPr="00C730E9">
        <w:rPr>
          <w:rFonts w:ascii="Marianne Light" w:hAnsi="Marianne Light" w:cs="Marianne Light"/>
          <w:sz w:val="18"/>
          <w:szCs w:val="18"/>
        </w:rPr>
        <w:t>’</w:t>
      </w:r>
      <w:r w:rsidRPr="00C730E9">
        <w:rPr>
          <w:rFonts w:ascii="Marianne Light" w:hAnsi="Marianne Light" w:cs="Arial"/>
          <w:sz w:val="18"/>
          <w:szCs w:val="18"/>
        </w:rPr>
        <w:t>op</w:t>
      </w:r>
      <w:r w:rsidRPr="00C730E9">
        <w:rPr>
          <w:rFonts w:ascii="Marianne Light" w:hAnsi="Marianne Light" w:cs="Marianne Light"/>
          <w:sz w:val="18"/>
          <w:szCs w:val="18"/>
        </w:rPr>
        <w:t>é</w:t>
      </w:r>
      <w:r w:rsidRPr="00C730E9">
        <w:rPr>
          <w:rFonts w:ascii="Marianne Light" w:hAnsi="Marianne Light" w:cs="Arial"/>
          <w:sz w:val="18"/>
          <w:szCs w:val="18"/>
        </w:rPr>
        <w:t>ration</w:t>
      </w:r>
      <w:r w:rsidR="009576EB">
        <w:rPr>
          <w:rFonts w:cs="Calibri"/>
          <w:sz w:val="18"/>
          <w:szCs w:val="18"/>
        </w:rPr>
        <w:t> </w:t>
      </w:r>
      <w:r w:rsidR="009576EB">
        <w:rPr>
          <w:rFonts w:ascii="Marianne Light" w:hAnsi="Marianne Light" w:cs="Arial"/>
          <w:sz w:val="18"/>
          <w:szCs w:val="18"/>
        </w:rPr>
        <w:t>:</w:t>
      </w:r>
    </w:p>
    <w:p w14:paraId="345C9F05" w14:textId="5CC2D31A" w:rsidR="00920400" w:rsidRPr="009576EB" w:rsidRDefault="00920400" w:rsidP="00363DC5">
      <w:pPr>
        <w:pStyle w:val="Pucenoir"/>
      </w:pPr>
      <w:proofErr w:type="gramStart"/>
      <w:r w:rsidRPr="009576EB">
        <w:t>pour</w:t>
      </w:r>
      <w:proofErr w:type="gramEnd"/>
      <w:r w:rsidRPr="009576EB">
        <w:t xml:space="preserve"> l’aide forfaitaire à la mise en œuvre</w:t>
      </w:r>
      <w:r w:rsidR="009576EB">
        <w:t xml:space="preserve"> de la tarification incitative</w:t>
      </w:r>
      <w:r w:rsidRPr="009576EB">
        <w:t xml:space="preserve"> :</w:t>
      </w:r>
      <w:r w:rsidRPr="009576EB">
        <w:rPr>
          <w:b/>
        </w:rPr>
        <w:t xml:space="preserve"> </w:t>
      </w:r>
      <w:r w:rsidRPr="009576EB">
        <w:t>le « Rapport de présentation de l’atteinte des objectifs de mise en œuvre de la TI » rempli de façon exhaustive (trame du rapport fourni</w:t>
      </w:r>
      <w:r w:rsidR="005B6CBD">
        <w:t>e</w:t>
      </w:r>
      <w:r w:rsidRPr="009576EB">
        <w:t xml:space="preserve"> par l’ADEME) et qui comprendra les éléments suivants :</w:t>
      </w:r>
    </w:p>
    <w:p w14:paraId="604D535D" w14:textId="2FB0EA5B" w:rsidR="00920400" w:rsidRPr="009576EB" w:rsidRDefault="009576EB" w:rsidP="00363DC5">
      <w:pPr>
        <w:pStyle w:val="Pucerond"/>
      </w:pPr>
      <w:proofErr w:type="gramStart"/>
      <w:r w:rsidRPr="009576EB">
        <w:rPr>
          <w:rFonts w:cs="Courier New"/>
        </w:rPr>
        <w:t>l</w:t>
      </w:r>
      <w:r w:rsidR="00920400" w:rsidRPr="009576EB">
        <w:t>es</w:t>
      </w:r>
      <w:proofErr w:type="gramEnd"/>
      <w:r w:rsidR="00920400" w:rsidRPr="009576EB">
        <w:t xml:space="preserve"> documents attestant de la réalisation d’une concertation amont. Elle présentera les éléments relatifs à cette concertation : calendrier, modalités (réunions restreintes, consultation </w:t>
      </w:r>
      <w:proofErr w:type="gramStart"/>
      <w:r w:rsidR="00920400" w:rsidRPr="009576EB">
        <w:t>publique,…</w:t>
      </w:r>
      <w:proofErr w:type="gramEnd"/>
      <w:r w:rsidR="00920400" w:rsidRPr="009576EB">
        <w:t>), qualité des personnes associées, ressources utilisées pour cette concertation.</w:t>
      </w:r>
    </w:p>
    <w:p w14:paraId="1183FABE" w14:textId="1D6AC02F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documents attestant de la r</w:t>
      </w:r>
      <w:r w:rsidRPr="009576EB">
        <w:rPr>
          <w:rFonts w:cs="Marianne Light"/>
        </w:rPr>
        <w:t>é</w:t>
      </w:r>
      <w:r w:rsidRPr="009576EB">
        <w:t>alisation d</w:t>
      </w:r>
      <w:r w:rsidRPr="009576EB">
        <w:rPr>
          <w:rFonts w:cs="Marianne Light"/>
        </w:rPr>
        <w:t>’</w:t>
      </w:r>
      <w:r w:rsidRPr="009576EB">
        <w:t>un fichier</w:t>
      </w:r>
      <w:r w:rsidRPr="0070276E">
        <w:t xml:space="preserve">, en respectant la loi du 6 janvier 1978 relative </w:t>
      </w:r>
      <w:r w:rsidRPr="0070276E">
        <w:rPr>
          <w:rFonts w:cs="Marianne Light"/>
        </w:rPr>
        <w:t>à</w:t>
      </w:r>
      <w:r w:rsidRPr="0070276E">
        <w:t xml:space="preserve"> l</w:t>
      </w:r>
      <w:r w:rsidRPr="0070276E">
        <w:rPr>
          <w:rFonts w:cs="Marianne Light"/>
        </w:rPr>
        <w:t>’</w:t>
      </w:r>
      <w:r w:rsidRPr="0070276E">
        <w:t>informatique, aux fichiers et aux libert</w:t>
      </w:r>
      <w:r w:rsidRPr="0070276E">
        <w:rPr>
          <w:rFonts w:cs="Marianne Light"/>
        </w:rPr>
        <w:t>é</w:t>
      </w:r>
      <w:r w:rsidRPr="0070276E">
        <w:t>s et ses obligations relatives au respect des donn</w:t>
      </w:r>
      <w:r w:rsidRPr="0070276E">
        <w:rPr>
          <w:rFonts w:cs="Marianne Light"/>
        </w:rPr>
        <w:t>é</w:t>
      </w:r>
      <w:r w:rsidRPr="0070276E">
        <w:t xml:space="preserve">es personnelles. </w:t>
      </w:r>
      <w:r w:rsidR="009576EB" w:rsidRPr="0070276E">
        <w:t>Ils pr</w:t>
      </w:r>
      <w:r w:rsidR="009576EB" w:rsidRPr="0070276E">
        <w:rPr>
          <w:rFonts w:cs="Marianne Light"/>
        </w:rPr>
        <w:t>é</w:t>
      </w:r>
      <w:r w:rsidR="009576EB" w:rsidRPr="0070276E">
        <w:t xml:space="preserve">senteront </w:t>
      </w:r>
      <w:r w:rsidRPr="0070276E">
        <w:t>les</w:t>
      </w:r>
      <w:r w:rsidRPr="009576EB">
        <w:t xml:space="preserve"> informations constitutives du fichier mis en place.</w:t>
      </w:r>
    </w:p>
    <w:p w14:paraId="0F370A57" w14:textId="37D57335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</w:t>
      </w:r>
      <w:r w:rsidRPr="009576EB">
        <w:rPr>
          <w:rFonts w:cs="Marianne Light"/>
        </w:rPr>
        <w:t>é</w:t>
      </w:r>
      <w:r w:rsidRPr="009576EB">
        <w:t>l</w:t>
      </w:r>
      <w:r w:rsidRPr="009576EB">
        <w:rPr>
          <w:rFonts w:cs="Marianne Light"/>
        </w:rPr>
        <w:t>é</w:t>
      </w:r>
      <w:r w:rsidRPr="009576EB">
        <w:t xml:space="preserve">ments de communications relatifs </w:t>
      </w:r>
      <w:r w:rsidRPr="009576EB">
        <w:rPr>
          <w:rFonts w:cs="Marianne Light"/>
        </w:rPr>
        <w:t>à</w:t>
      </w:r>
      <w:r w:rsidRPr="009576EB">
        <w:t xml:space="preserve"> la TI, le calendrier du plan de communication, les supports cr</w:t>
      </w:r>
      <w:r w:rsidRPr="009576EB">
        <w:rPr>
          <w:rFonts w:cs="Marianne Light"/>
        </w:rPr>
        <w:t>éé</w:t>
      </w:r>
      <w:r w:rsidRPr="009576EB">
        <w:t>s et diffus</w:t>
      </w:r>
      <w:r w:rsidRPr="009576EB">
        <w:rPr>
          <w:rFonts w:cs="Marianne Light"/>
        </w:rPr>
        <w:t>é</w:t>
      </w:r>
      <w:r w:rsidRPr="009576EB">
        <w:t>s, les ressources utilis</w:t>
      </w:r>
      <w:r w:rsidRPr="009576EB">
        <w:rPr>
          <w:rFonts w:cs="Marianne Light"/>
        </w:rPr>
        <w:t>é</w:t>
      </w:r>
      <w:r w:rsidRPr="009576EB">
        <w:t>es pour cette communication.</w:t>
      </w:r>
    </w:p>
    <w:p w14:paraId="4D9471BD" w14:textId="55ED8EF5" w:rsidR="00920400" w:rsidRPr="009576EB" w:rsidRDefault="00920400" w:rsidP="00363DC5">
      <w:pPr>
        <w:pStyle w:val="Pucerond"/>
      </w:pPr>
      <w:proofErr w:type="gramStart"/>
      <w:r w:rsidRPr="009576EB">
        <w:t>les</w:t>
      </w:r>
      <w:proofErr w:type="gramEnd"/>
      <w:r w:rsidRPr="009576EB">
        <w:t xml:space="preserve"> évolutions de l’organisation de la collectivité pour la gestion du service et des données. La collectivité présentera les pièces justifiant la réorganisation effective (attestation d’embauche, etc.). La collectivité présentera à l’ADEME également dans un rapport les évolutions du service public d’élimination des déchets consécutives à la mise en œuvre de la TI (réorganisation des collectes, etc.).</w:t>
      </w:r>
    </w:p>
    <w:p w14:paraId="52DC3A19" w14:textId="4CA6495A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les</w:t>
      </w:r>
      <w:proofErr w:type="gramEnd"/>
      <w:r w:rsidRPr="009576EB">
        <w:rPr>
          <w:rFonts w:cs="Arial"/>
        </w:rPr>
        <w:t xml:space="preserve"> documents attestant la mise </w:t>
      </w:r>
      <w:r w:rsidRPr="009576EB">
        <w:rPr>
          <w:rFonts w:cs="Marianne Light"/>
        </w:rPr>
        <w:t>à</w:t>
      </w:r>
      <w:r w:rsidRPr="009576EB">
        <w:rPr>
          <w:rFonts w:cs="Arial"/>
        </w:rPr>
        <w:t xml:space="preserve"> disposition des outils d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identification et de la quantification de la production de déchets (mise en place des bacs, des puces, distribution des sacs, etc.).</w:t>
      </w:r>
    </w:p>
    <w:p w14:paraId="65ADB423" w14:textId="0EDB23BC" w:rsidR="00920400" w:rsidRPr="009576EB" w:rsidRDefault="009576EB" w:rsidP="00363DC5">
      <w:pPr>
        <w:pStyle w:val="Pucerond"/>
        <w:rPr>
          <w:rFonts w:cs="Arial"/>
        </w:rPr>
      </w:pPr>
      <w:r>
        <w:rPr>
          <w:rFonts w:cs="Arial"/>
        </w:rPr>
        <w:t xml:space="preserve">La </w:t>
      </w:r>
      <w:r w:rsidR="00920400" w:rsidRPr="009576EB">
        <w:rPr>
          <w:rFonts w:cs="Arial"/>
        </w:rPr>
        <w:t>pr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senta</w:t>
      </w:r>
      <w:r>
        <w:rPr>
          <w:rFonts w:cs="Arial"/>
        </w:rPr>
        <w:t>tion</w:t>
      </w:r>
      <w:r w:rsidR="00920400" w:rsidRPr="009576EB">
        <w:rPr>
          <w:rFonts w:cs="Arial"/>
        </w:rPr>
        <w:t xml:space="preserve"> </w:t>
      </w:r>
      <w:r>
        <w:rPr>
          <w:rFonts w:cs="Arial"/>
        </w:rPr>
        <w:t>d</w:t>
      </w:r>
      <w:r w:rsidR="00920400" w:rsidRPr="009576EB">
        <w:rPr>
          <w:rFonts w:cs="Arial"/>
        </w:rPr>
        <w:t>es diff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rents indicateurs qui permettront le suivi de l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>op</w:t>
      </w:r>
      <w:r w:rsidR="00920400" w:rsidRPr="009576EB">
        <w:rPr>
          <w:rFonts w:cs="Marianne Light"/>
        </w:rPr>
        <w:t>é</w:t>
      </w:r>
      <w:r w:rsidR="00920400" w:rsidRPr="009576EB">
        <w:rPr>
          <w:rFonts w:cs="Arial"/>
        </w:rPr>
        <w:t>ration d</w:t>
      </w:r>
      <w:r w:rsidR="00920400" w:rsidRPr="009576EB">
        <w:rPr>
          <w:rFonts w:cs="Marianne Light"/>
        </w:rPr>
        <w:t>’</w:t>
      </w:r>
      <w:r w:rsidR="00920400" w:rsidRPr="009576EB">
        <w:rPr>
          <w:rFonts w:cs="Arial"/>
        </w:rPr>
        <w:t xml:space="preserve">un point de vue qualitatif et quantitatif, </w:t>
      </w:r>
      <w:r w:rsidR="00920400" w:rsidRPr="009576EB">
        <w:rPr>
          <w:rFonts w:cs="Marianne Light"/>
        </w:rPr>
        <w:t>à</w:t>
      </w:r>
      <w:r w:rsidR="00920400" w:rsidRPr="009576EB">
        <w:rPr>
          <w:rFonts w:cs="Arial"/>
        </w:rPr>
        <w:t xml:space="preserve"> la fois pendant et après le soutien de l’ADEME, mais également lors de la réalisation d’une facturation à blanc le cas échéant.</w:t>
      </w:r>
    </w:p>
    <w:p w14:paraId="53E48180" w14:textId="273C3715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Matrice des co</w:t>
      </w:r>
      <w:r w:rsidRPr="009576EB">
        <w:rPr>
          <w:rFonts w:cs="Marianne Light"/>
        </w:rPr>
        <w:t>û</w:t>
      </w:r>
      <w:r w:rsidRPr="009576EB">
        <w:rPr>
          <w:rFonts w:cs="Arial"/>
        </w:rPr>
        <w:t>ts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ADEME remplie au terme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ann</w:t>
      </w:r>
      <w:r w:rsidRPr="009576EB">
        <w:rPr>
          <w:rFonts w:cs="Marianne Light"/>
        </w:rPr>
        <w:t>é</w:t>
      </w:r>
      <w:r w:rsidRPr="009576EB">
        <w:rPr>
          <w:rFonts w:cs="Arial"/>
        </w:rPr>
        <w:t>e pr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</w:t>
      </w:r>
      <w:r w:rsidRPr="009576EB">
        <w:rPr>
          <w:rFonts w:cs="Marianne Light"/>
        </w:rPr>
        <w:t>é</w:t>
      </w:r>
      <w:r w:rsidRPr="009576EB">
        <w:rPr>
          <w:rFonts w:cs="Arial"/>
        </w:rPr>
        <w:t>dant le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but de la mise en </w:t>
      </w:r>
      <w:r w:rsidRPr="009576EB">
        <w:rPr>
          <w:rFonts w:cs="Marianne Light"/>
        </w:rPr>
        <w:t>œ</w:t>
      </w:r>
      <w:r w:rsidRPr="009576EB">
        <w:rPr>
          <w:rFonts w:cs="Arial"/>
        </w:rPr>
        <w:t>uvre de l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op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ration (avant communication et </w:t>
      </w:r>
      <w:r w:rsidRPr="009576EB">
        <w:rPr>
          <w:rFonts w:cs="Marianne Light"/>
        </w:rPr>
        <w:t>é</w:t>
      </w:r>
      <w:r w:rsidRPr="009576EB">
        <w:rPr>
          <w:rFonts w:cs="Arial"/>
        </w:rPr>
        <w:t>quipements spécifiques) ;</w:t>
      </w:r>
    </w:p>
    <w:p w14:paraId="0048DCBA" w14:textId="226AD5E6" w:rsidR="00920400" w:rsidRPr="003F2A78" w:rsidRDefault="00920400" w:rsidP="00363DC5">
      <w:pPr>
        <w:pStyle w:val="Pucerond"/>
        <w:rPr>
          <w:rFonts w:cs="Arial"/>
        </w:rPr>
      </w:pPr>
      <w:proofErr w:type="gramStart"/>
      <w:r w:rsidRPr="003F2A78">
        <w:rPr>
          <w:rFonts w:cs="Arial"/>
        </w:rPr>
        <w:t>la</w:t>
      </w:r>
      <w:proofErr w:type="gramEnd"/>
      <w:r w:rsidRPr="003F2A78">
        <w:rPr>
          <w:rFonts w:cs="Arial"/>
        </w:rPr>
        <w:t xml:space="preserve"> Matrice des co</w:t>
      </w:r>
      <w:r w:rsidRPr="003F2A78">
        <w:rPr>
          <w:rFonts w:cs="Marianne Light"/>
        </w:rPr>
        <w:t>û</w:t>
      </w:r>
      <w:r w:rsidRPr="003F2A78">
        <w:rPr>
          <w:rFonts w:cs="Arial"/>
        </w:rPr>
        <w:t>ts remplie et valid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sur la derni</w:t>
      </w:r>
      <w:r w:rsidRPr="003F2A78">
        <w:rPr>
          <w:rFonts w:cs="Marianne Light"/>
        </w:rPr>
        <w:t>è</w:t>
      </w:r>
      <w:r w:rsidRPr="003F2A78">
        <w:rPr>
          <w:rFonts w:cs="Arial"/>
        </w:rPr>
        <w:t>re ann</w:t>
      </w:r>
      <w:r w:rsidRPr="003F2A78">
        <w:rPr>
          <w:rFonts w:cs="Marianne Light"/>
        </w:rPr>
        <w:t>é</w:t>
      </w:r>
      <w:r w:rsidRPr="003F2A78">
        <w:rPr>
          <w:rFonts w:cs="Arial"/>
        </w:rPr>
        <w:t>e de validit</w:t>
      </w:r>
      <w:r w:rsidRPr="003F2A78">
        <w:rPr>
          <w:rFonts w:cs="Marianne Light"/>
        </w:rPr>
        <w:t>é</w:t>
      </w:r>
      <w:r w:rsidRPr="003F2A78">
        <w:rPr>
          <w:rFonts w:cs="Arial"/>
        </w:rPr>
        <w:t xml:space="preserve"> du contrat,</w:t>
      </w:r>
    </w:p>
    <w:p w14:paraId="25A947C2" w14:textId="5BE48DC7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les</w:t>
      </w:r>
      <w:proofErr w:type="gramEnd"/>
      <w:r w:rsidRPr="009576EB">
        <w:rPr>
          <w:rFonts w:cs="Arial"/>
        </w:rPr>
        <w:t xml:space="preserve"> documents attestant de la r</w:t>
      </w:r>
      <w:r w:rsidRPr="009576EB">
        <w:rPr>
          <w:rFonts w:cs="Marianne Light"/>
        </w:rPr>
        <w:t>é</w:t>
      </w:r>
      <w:r w:rsidRPr="009576EB">
        <w:rPr>
          <w:rFonts w:cs="Arial"/>
        </w:rPr>
        <w:t>alisation d</w:t>
      </w:r>
      <w:r w:rsidRPr="009576EB">
        <w:rPr>
          <w:rFonts w:cs="Marianne Light"/>
        </w:rPr>
        <w:t>’</w:t>
      </w:r>
      <w:r w:rsidRPr="009576EB">
        <w:rPr>
          <w:rFonts w:cs="Arial"/>
        </w:rPr>
        <w:t>une facturation à blanc sur son territoire, facturation qui permettra une adaptation de la grille tarifaire en fonction des comportements des usagers du service.</w:t>
      </w:r>
    </w:p>
    <w:p w14:paraId="6A32B55A" w14:textId="397A0FE9" w:rsidR="00920400" w:rsidRPr="009576EB" w:rsidRDefault="00920400" w:rsidP="00363DC5">
      <w:pPr>
        <w:pStyle w:val="Pucerond"/>
        <w:rPr>
          <w:rFonts w:cs="Arial"/>
        </w:rPr>
      </w:pPr>
      <w:proofErr w:type="gramStart"/>
      <w:r w:rsidRPr="009576EB">
        <w:rPr>
          <w:rFonts w:cs="Arial"/>
        </w:rPr>
        <w:t>la</w:t>
      </w:r>
      <w:proofErr w:type="gramEnd"/>
      <w:r w:rsidRPr="009576EB">
        <w:rPr>
          <w:rFonts w:cs="Arial"/>
        </w:rPr>
        <w:t xml:space="preserve"> (les)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cision(s) des instances d</w:t>
      </w:r>
      <w:r w:rsidRPr="009576EB">
        <w:rPr>
          <w:rFonts w:cs="Marianne Light"/>
        </w:rPr>
        <w:t>é</w:t>
      </w:r>
      <w:r w:rsidRPr="009576EB">
        <w:rPr>
          <w:rFonts w:cs="Arial"/>
        </w:rPr>
        <w:t>lib</w:t>
      </w:r>
      <w:r w:rsidRPr="009576EB">
        <w:rPr>
          <w:rFonts w:cs="Marianne Light"/>
        </w:rPr>
        <w:t>é</w:t>
      </w:r>
      <w:r w:rsidRPr="009576EB">
        <w:rPr>
          <w:rFonts w:cs="Arial"/>
        </w:rPr>
        <w:t xml:space="preserve">rantes attestant de la mise en place effective de la TI. </w:t>
      </w:r>
    </w:p>
    <w:p w14:paraId="3664297B" w14:textId="77777777" w:rsidR="00920400" w:rsidRPr="00C730E9" w:rsidRDefault="00920400" w:rsidP="00363DC5">
      <w:pPr>
        <w:pStyle w:val="TexteCourant"/>
        <w:spacing w:after="60"/>
        <w:ind w:left="1417"/>
      </w:pPr>
      <w:r w:rsidRPr="00C730E9">
        <w:t>En redevance, cette décision instaure la TI pour l’exercice comptable suivant en présentant la grille tarifaire qui sera appliquée.</w:t>
      </w:r>
    </w:p>
    <w:p w14:paraId="3B982582" w14:textId="77777777" w:rsidR="00920400" w:rsidRPr="00C730E9" w:rsidRDefault="00920400" w:rsidP="00363DC5">
      <w:pPr>
        <w:pStyle w:val="TexteCourant"/>
        <w:ind w:left="1417"/>
      </w:pPr>
      <w:r w:rsidRPr="00C730E9">
        <w:t>En taxe, cette décision instaure la TI pour l’exercice comptable courant en présentant la grille tarifaire appliquée aux consommations de l’exercice précédent.</w:t>
      </w:r>
    </w:p>
    <w:p w14:paraId="35B049CD" w14:textId="270231E7" w:rsidR="009576EB" w:rsidRPr="003D27D1" w:rsidRDefault="00363DC5" w:rsidP="00363DC5">
      <w:pPr>
        <w:pStyle w:val="Pucenoir"/>
      </w:pPr>
      <w:r>
        <w:t>P</w:t>
      </w:r>
      <w:r w:rsidR="009576EB" w:rsidRPr="003D27D1">
        <w:t>our l’aide forfaitaire à la mise en œuvre d’une information individuelle sur l’usage :</w:t>
      </w:r>
      <w:r w:rsidR="009576EB" w:rsidRPr="003D27D1">
        <w:rPr>
          <w:b/>
        </w:rPr>
        <w:t xml:space="preserve"> </w:t>
      </w:r>
      <w:r w:rsidR="009576EB" w:rsidRPr="003D27D1">
        <w:t>un rapport comprenant les éléments suivants :</w:t>
      </w:r>
    </w:p>
    <w:p w14:paraId="470C05A1" w14:textId="2EA89B58" w:rsidR="009576EB" w:rsidRPr="003F2A78" w:rsidRDefault="005C4608" w:rsidP="00363DC5">
      <w:pPr>
        <w:pStyle w:val="Pucerond"/>
      </w:pPr>
      <w:r w:rsidRPr="003F2A78">
        <w:rPr>
          <w:rFonts w:cs="Courier New"/>
        </w:rPr>
        <w:t>Si prévue</w:t>
      </w:r>
      <w:r w:rsidR="009576EB" w:rsidRPr="003F2A78">
        <w:rPr>
          <w:rFonts w:cs="Courier New"/>
        </w:rPr>
        <w:t>, l</w:t>
      </w:r>
      <w:r w:rsidR="009576EB" w:rsidRPr="003F2A78">
        <w:t xml:space="preserve">es documents attestant de la réalisation d’une concertation amont. Elle présentera les éléments relatifs à cette concertation : calendrier, modalités (réunions </w:t>
      </w:r>
      <w:r w:rsidR="009576EB" w:rsidRPr="003F2A78">
        <w:lastRenderedPageBreak/>
        <w:t xml:space="preserve">restreintes, consultation </w:t>
      </w:r>
      <w:proofErr w:type="gramStart"/>
      <w:r w:rsidR="009576EB" w:rsidRPr="003F2A78">
        <w:t>publique,…</w:t>
      </w:r>
      <w:proofErr w:type="gramEnd"/>
      <w:r w:rsidR="009576EB" w:rsidRPr="003F2A78">
        <w:t>), qualité des personnes associées, ressources utilisées pour cette concertation.</w:t>
      </w:r>
    </w:p>
    <w:p w14:paraId="3340C842" w14:textId="15CC4A7D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documents attestant de la r</w:t>
      </w:r>
      <w:r w:rsidRPr="003F2A78">
        <w:rPr>
          <w:rFonts w:cs="Marianne Light"/>
        </w:rPr>
        <w:t>é</w:t>
      </w:r>
      <w:r w:rsidRPr="003F2A78">
        <w:t>alisation d</w:t>
      </w:r>
      <w:r w:rsidRPr="003F2A78">
        <w:rPr>
          <w:rFonts w:cs="Marianne Light"/>
        </w:rPr>
        <w:t>’</w:t>
      </w:r>
      <w:r w:rsidRPr="003F2A78">
        <w:t>un fichier</w:t>
      </w:r>
      <w:r w:rsidRPr="0070276E">
        <w:t xml:space="preserve">, en respectant la loi du 6 janvier 1978 relative </w:t>
      </w:r>
      <w:r w:rsidRPr="0070276E">
        <w:rPr>
          <w:rFonts w:cs="Marianne Light"/>
        </w:rPr>
        <w:t>à</w:t>
      </w:r>
      <w:r w:rsidRPr="0070276E">
        <w:t xml:space="preserve"> l</w:t>
      </w:r>
      <w:r w:rsidRPr="0070276E">
        <w:rPr>
          <w:rFonts w:cs="Marianne Light"/>
        </w:rPr>
        <w:t>’</w:t>
      </w:r>
      <w:r w:rsidRPr="0070276E">
        <w:t>informatique, aux fichiers et aux libert</w:t>
      </w:r>
      <w:r w:rsidRPr="0070276E">
        <w:rPr>
          <w:rFonts w:cs="Marianne Light"/>
        </w:rPr>
        <w:t>é</w:t>
      </w:r>
      <w:r w:rsidRPr="0070276E">
        <w:t>s et ses obligations relatives au respect des donn</w:t>
      </w:r>
      <w:r w:rsidRPr="0070276E">
        <w:rPr>
          <w:rFonts w:cs="Marianne Light"/>
        </w:rPr>
        <w:t>é</w:t>
      </w:r>
      <w:r w:rsidRPr="0070276E">
        <w:t>es personnelles. Ils pr</w:t>
      </w:r>
      <w:r w:rsidRPr="0070276E">
        <w:rPr>
          <w:rFonts w:cs="Marianne Light"/>
        </w:rPr>
        <w:t>é</w:t>
      </w:r>
      <w:r w:rsidRPr="0070276E">
        <w:t>senteront</w:t>
      </w:r>
      <w:r w:rsidRPr="003F2A78">
        <w:t xml:space="preserve"> les informations constitutives du fichier mis en place.</w:t>
      </w:r>
    </w:p>
    <w:p w14:paraId="574F4C7D" w14:textId="4F5A646C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</w:t>
      </w:r>
      <w:r w:rsidRPr="003F2A78">
        <w:rPr>
          <w:rFonts w:cs="Marianne Light"/>
        </w:rPr>
        <w:t>é</w:t>
      </w:r>
      <w:r w:rsidRPr="003F2A78">
        <w:t>l</w:t>
      </w:r>
      <w:r w:rsidRPr="003F2A78">
        <w:rPr>
          <w:rFonts w:cs="Marianne Light"/>
        </w:rPr>
        <w:t>é</w:t>
      </w:r>
      <w:r w:rsidRPr="003F2A78">
        <w:t xml:space="preserve">ments de communications relatifs </w:t>
      </w:r>
      <w:r w:rsidRPr="003F2A78">
        <w:rPr>
          <w:rFonts w:cs="Marianne Light"/>
        </w:rPr>
        <w:t>à</w:t>
      </w:r>
      <w:r w:rsidRPr="003F2A78">
        <w:t xml:space="preserve"> la mise en place de l’information individuelle, le calendrier du plan de communication, les supports cr</w:t>
      </w:r>
      <w:r w:rsidRPr="003F2A78">
        <w:rPr>
          <w:rFonts w:cs="Marianne Light"/>
        </w:rPr>
        <w:t>éé</w:t>
      </w:r>
      <w:r w:rsidRPr="003F2A78">
        <w:t>s et diffus</w:t>
      </w:r>
      <w:r w:rsidRPr="003F2A78">
        <w:rPr>
          <w:rFonts w:cs="Marianne Light"/>
        </w:rPr>
        <w:t>é</w:t>
      </w:r>
      <w:r w:rsidRPr="003F2A78">
        <w:t>s, les ressources utilis</w:t>
      </w:r>
      <w:r w:rsidRPr="003F2A78">
        <w:rPr>
          <w:rFonts w:cs="Marianne Light"/>
        </w:rPr>
        <w:t>é</w:t>
      </w:r>
      <w:r w:rsidRPr="003F2A78">
        <w:t>es pour cette communication.</w:t>
      </w:r>
    </w:p>
    <w:p w14:paraId="18364050" w14:textId="3AB9DE8D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évolutions de l’organisation de la collectivité pour la gestion du service et des données. La collectivité présentera les pièces justifiant la réorganisation effective (attestation d’embauche, etc.). La collectivité présentera à l’ADEME également dans un rapport les évolutions du service public d’élimination des déchets consécutives à la mise en œuvre de l’information individuelle (réorganisation des collectes, etc.).</w:t>
      </w:r>
    </w:p>
    <w:p w14:paraId="744DFBED" w14:textId="77777777" w:rsidR="009576EB" w:rsidRPr="003F2A78" w:rsidRDefault="009576EB" w:rsidP="00363DC5">
      <w:pPr>
        <w:pStyle w:val="Pucerond"/>
      </w:pPr>
      <w:proofErr w:type="gramStart"/>
      <w:r w:rsidRPr="003F2A78">
        <w:t>les</w:t>
      </w:r>
      <w:proofErr w:type="gramEnd"/>
      <w:r w:rsidRPr="003F2A78">
        <w:t xml:space="preserve"> documents attestant la mise </w:t>
      </w:r>
      <w:r w:rsidRPr="003F2A78">
        <w:rPr>
          <w:rFonts w:cs="Marianne Light"/>
        </w:rPr>
        <w:t>à</w:t>
      </w:r>
      <w:r w:rsidRPr="003F2A78">
        <w:t xml:space="preserve"> disposition des outils d</w:t>
      </w:r>
      <w:r w:rsidRPr="003F2A78">
        <w:rPr>
          <w:rFonts w:cs="Marianne Light"/>
        </w:rPr>
        <w:t>’</w:t>
      </w:r>
      <w:r w:rsidRPr="003F2A78">
        <w:t>identification et de la quantification de la production de déchets (mise en place des bacs, des puces, distribution des sacs, etc.).</w:t>
      </w:r>
    </w:p>
    <w:p w14:paraId="6EC69C25" w14:textId="77777777" w:rsidR="009576EB" w:rsidRPr="003F2A78" w:rsidRDefault="009576EB" w:rsidP="00363DC5">
      <w:pPr>
        <w:pStyle w:val="Pucerond"/>
      </w:pPr>
      <w:r w:rsidRPr="003F2A78">
        <w:t>La pr</w:t>
      </w:r>
      <w:r w:rsidRPr="003F2A78">
        <w:rPr>
          <w:rFonts w:cs="Marianne Light"/>
        </w:rPr>
        <w:t>é</w:t>
      </w:r>
      <w:r w:rsidRPr="003F2A78">
        <w:t>sentation des diff</w:t>
      </w:r>
      <w:r w:rsidRPr="003F2A78">
        <w:rPr>
          <w:rFonts w:cs="Marianne Light"/>
        </w:rPr>
        <w:t>é</w:t>
      </w:r>
      <w:r w:rsidRPr="003F2A78">
        <w:t>rents indicateurs qui permettront le suivi de l</w:t>
      </w:r>
      <w:r w:rsidRPr="003F2A78">
        <w:rPr>
          <w:rFonts w:cs="Marianne Light"/>
        </w:rPr>
        <w:t>’</w:t>
      </w:r>
      <w:r w:rsidRPr="003F2A78">
        <w:t>op</w:t>
      </w:r>
      <w:r w:rsidRPr="003F2A78">
        <w:rPr>
          <w:rFonts w:cs="Marianne Light"/>
        </w:rPr>
        <w:t>é</w:t>
      </w:r>
      <w:r w:rsidRPr="003F2A78">
        <w:t>ration d</w:t>
      </w:r>
      <w:r w:rsidRPr="003F2A78">
        <w:rPr>
          <w:rFonts w:cs="Marianne Light"/>
        </w:rPr>
        <w:t>’</w:t>
      </w:r>
      <w:r w:rsidRPr="003F2A78">
        <w:t xml:space="preserve">un point de vue qualitatif et quantitatif, </w:t>
      </w:r>
      <w:r w:rsidRPr="003F2A78">
        <w:rPr>
          <w:rFonts w:cs="Marianne Light"/>
        </w:rPr>
        <w:t>à</w:t>
      </w:r>
      <w:r w:rsidRPr="003F2A78">
        <w:t xml:space="preserve"> la fois pendant et après le soutien de l’ADEME, mais également lors de la réalisation d’une facturation à blanc le cas échéant.</w:t>
      </w:r>
    </w:p>
    <w:p w14:paraId="54612AC1" w14:textId="77777777" w:rsidR="009576EB" w:rsidRPr="003F2A78" w:rsidRDefault="009576EB" w:rsidP="00363DC5">
      <w:pPr>
        <w:pStyle w:val="Pucerond"/>
      </w:pPr>
      <w:proofErr w:type="gramStart"/>
      <w:r w:rsidRPr="003F2A78">
        <w:t>la</w:t>
      </w:r>
      <w:proofErr w:type="gramEnd"/>
      <w:r w:rsidRPr="003F2A78">
        <w:t xml:space="preserve"> Matrice des co</w:t>
      </w:r>
      <w:r w:rsidRPr="003F2A78">
        <w:rPr>
          <w:rFonts w:cs="Marianne Light"/>
        </w:rPr>
        <w:t>û</w:t>
      </w:r>
      <w:r w:rsidRPr="003F2A78">
        <w:t>ts de l</w:t>
      </w:r>
      <w:r w:rsidRPr="003F2A78">
        <w:rPr>
          <w:rFonts w:cs="Marianne Light"/>
        </w:rPr>
        <w:t>’</w:t>
      </w:r>
      <w:r w:rsidRPr="003F2A78">
        <w:t>ADEME remplie au terme de l</w:t>
      </w:r>
      <w:r w:rsidRPr="003F2A78">
        <w:rPr>
          <w:rFonts w:cs="Marianne Light"/>
        </w:rPr>
        <w:t>’</w:t>
      </w:r>
      <w:r w:rsidRPr="003F2A78">
        <w:t>ann</w:t>
      </w:r>
      <w:r w:rsidRPr="003F2A78">
        <w:rPr>
          <w:rFonts w:cs="Marianne Light"/>
        </w:rPr>
        <w:t>é</w:t>
      </w:r>
      <w:r w:rsidRPr="003F2A78">
        <w:t>e pr</w:t>
      </w:r>
      <w:r w:rsidRPr="003F2A78">
        <w:rPr>
          <w:rFonts w:cs="Marianne Light"/>
        </w:rPr>
        <w:t>é</w:t>
      </w:r>
      <w:r w:rsidRPr="003F2A78">
        <w:t>c</w:t>
      </w:r>
      <w:r w:rsidRPr="003F2A78">
        <w:rPr>
          <w:rFonts w:cs="Marianne Light"/>
        </w:rPr>
        <w:t>é</w:t>
      </w:r>
      <w:r w:rsidRPr="003F2A78">
        <w:t>dant le d</w:t>
      </w:r>
      <w:r w:rsidRPr="003F2A78">
        <w:rPr>
          <w:rFonts w:cs="Marianne Light"/>
        </w:rPr>
        <w:t>é</w:t>
      </w:r>
      <w:r w:rsidRPr="003F2A78">
        <w:t xml:space="preserve">but de la mise en </w:t>
      </w:r>
      <w:r w:rsidRPr="003F2A78">
        <w:rPr>
          <w:rFonts w:cs="Marianne Light"/>
        </w:rPr>
        <w:t>œ</w:t>
      </w:r>
      <w:r w:rsidRPr="003F2A78">
        <w:t>uvre de l</w:t>
      </w:r>
      <w:r w:rsidRPr="003F2A78">
        <w:rPr>
          <w:rFonts w:cs="Marianne Light"/>
        </w:rPr>
        <w:t>’</w:t>
      </w:r>
      <w:r w:rsidRPr="003F2A78">
        <w:t>op</w:t>
      </w:r>
      <w:r w:rsidRPr="003F2A78">
        <w:rPr>
          <w:rFonts w:cs="Marianne Light"/>
        </w:rPr>
        <w:t>é</w:t>
      </w:r>
      <w:r w:rsidRPr="003F2A78">
        <w:t xml:space="preserve">ration (avant communication et </w:t>
      </w:r>
      <w:r w:rsidRPr="003F2A78">
        <w:rPr>
          <w:rFonts w:cs="Marianne Light"/>
        </w:rPr>
        <w:t>é</w:t>
      </w:r>
      <w:r w:rsidRPr="003F2A78">
        <w:t>quipements spécifiques) ;</w:t>
      </w:r>
    </w:p>
    <w:p w14:paraId="020CC91B" w14:textId="5D526E9D" w:rsidR="009576EB" w:rsidRPr="003F2A78" w:rsidRDefault="009576EB" w:rsidP="00363DC5">
      <w:pPr>
        <w:pStyle w:val="Pucerond"/>
      </w:pPr>
      <w:proofErr w:type="gramStart"/>
      <w:r w:rsidRPr="003F2A78">
        <w:t>la</w:t>
      </w:r>
      <w:proofErr w:type="gramEnd"/>
      <w:r w:rsidRPr="003F2A78">
        <w:t xml:space="preserve"> Matrice des co</w:t>
      </w:r>
      <w:r w:rsidRPr="003F2A78">
        <w:rPr>
          <w:rFonts w:cs="Marianne Light"/>
        </w:rPr>
        <w:t>û</w:t>
      </w:r>
      <w:r w:rsidRPr="003F2A78">
        <w:t>ts remplie et valid</w:t>
      </w:r>
      <w:r w:rsidRPr="003F2A78">
        <w:rPr>
          <w:rFonts w:cs="Marianne Light"/>
        </w:rPr>
        <w:t>é</w:t>
      </w:r>
      <w:r w:rsidRPr="003F2A78">
        <w:t>e sur la derni</w:t>
      </w:r>
      <w:r w:rsidRPr="003F2A78">
        <w:rPr>
          <w:rFonts w:cs="Marianne Light"/>
        </w:rPr>
        <w:t>è</w:t>
      </w:r>
      <w:r w:rsidRPr="003F2A78">
        <w:t>re ann</w:t>
      </w:r>
      <w:r w:rsidRPr="003F2A78">
        <w:rPr>
          <w:rFonts w:cs="Marianne Light"/>
        </w:rPr>
        <w:t>é</w:t>
      </w:r>
      <w:r w:rsidRPr="003F2A78">
        <w:t>e de validit</w:t>
      </w:r>
      <w:r w:rsidRPr="003F2A78">
        <w:rPr>
          <w:rFonts w:cs="Marianne Light"/>
        </w:rPr>
        <w:t>é</w:t>
      </w:r>
      <w:r w:rsidRPr="003F2A78">
        <w:t xml:space="preserve"> du contrat</w:t>
      </w:r>
      <w:r w:rsidR="005C4608" w:rsidRPr="003F2A78">
        <w:rPr>
          <w:rFonts w:ascii="Calibri" w:hAnsi="Calibri" w:cs="Calibri"/>
        </w:rPr>
        <w:t> </w:t>
      </w:r>
      <w:r w:rsidR="005C4608" w:rsidRPr="003F2A78">
        <w:t>;</w:t>
      </w:r>
    </w:p>
    <w:p w14:paraId="150CCDDA" w14:textId="77777777" w:rsidR="003D27D1" w:rsidRPr="003F2A78" w:rsidRDefault="005C4608" w:rsidP="00363DC5">
      <w:pPr>
        <w:pStyle w:val="Pucerond"/>
      </w:pPr>
      <w:proofErr w:type="gramStart"/>
      <w:r w:rsidRPr="003F2A78">
        <w:t>si</w:t>
      </w:r>
      <w:proofErr w:type="gramEnd"/>
      <w:r w:rsidRPr="003F2A78">
        <w:t xml:space="preserve"> prévue, </w:t>
      </w:r>
      <w:r w:rsidR="009576EB" w:rsidRPr="003F2A78">
        <w:t>les documents attestant de la r</w:t>
      </w:r>
      <w:r w:rsidR="009576EB" w:rsidRPr="003F2A78">
        <w:rPr>
          <w:rFonts w:cs="Marianne Light"/>
        </w:rPr>
        <w:t>é</w:t>
      </w:r>
      <w:r w:rsidR="009576EB" w:rsidRPr="003F2A78">
        <w:t>alisation d</w:t>
      </w:r>
      <w:r w:rsidR="009576EB" w:rsidRPr="003F2A78">
        <w:rPr>
          <w:rFonts w:cs="Marianne Light"/>
        </w:rPr>
        <w:t>’</w:t>
      </w:r>
      <w:r w:rsidR="009576EB" w:rsidRPr="003F2A78">
        <w:t>une facturation à blanc sur son territoire,</w:t>
      </w:r>
    </w:p>
    <w:p w14:paraId="0854E991" w14:textId="7C0A5CDF" w:rsidR="003D27D1" w:rsidRPr="003F2A78" w:rsidRDefault="003F2A78" w:rsidP="00363DC5">
      <w:pPr>
        <w:pStyle w:val="Pucerond"/>
      </w:pPr>
      <w:r w:rsidRPr="003F2A78">
        <w:t xml:space="preserve">Une </w:t>
      </w:r>
      <w:r w:rsidR="003D27D1" w:rsidRPr="003F2A78">
        <w:t xml:space="preserve">analyse des résultats observés, avant (un état zéro devra nécessairement être réalisé) et après chaque envoi, minimum 2 fois par an, de l’information individualisée (comparant le cas échéant, la population concernée par l’opération et celle ne l’étant pas) </w:t>
      </w:r>
    </w:p>
    <w:p w14:paraId="7777F6C8" w14:textId="7D930979" w:rsidR="00920400" w:rsidRPr="00C730E9" w:rsidRDefault="00C730E9" w:rsidP="00363DC5">
      <w:pPr>
        <w:pStyle w:val="Pucenoir"/>
      </w:pPr>
      <w:proofErr w:type="gramStart"/>
      <w:r w:rsidRPr="00C730E9">
        <w:rPr>
          <w:rFonts w:cs="Courier New"/>
          <w:b/>
        </w:rPr>
        <w:t>p</w:t>
      </w:r>
      <w:r w:rsidR="00920400" w:rsidRPr="00C730E9">
        <w:rPr>
          <w:b/>
        </w:rPr>
        <w:t>our</w:t>
      </w:r>
      <w:proofErr w:type="gramEnd"/>
      <w:r w:rsidR="00920400" w:rsidRPr="00C730E9">
        <w:rPr>
          <w:b/>
        </w:rPr>
        <w:t xml:space="preserve"> l</w:t>
      </w:r>
      <w:r w:rsidR="00920400" w:rsidRPr="00C730E9">
        <w:rPr>
          <w:rFonts w:cs="Marianne Light"/>
          <w:b/>
        </w:rPr>
        <w:t>’</w:t>
      </w:r>
      <w:r w:rsidR="00920400" w:rsidRPr="00C730E9">
        <w:rPr>
          <w:b/>
        </w:rPr>
        <w:t>aide aux investissement :</w:t>
      </w:r>
      <w:r w:rsidR="00920400" w:rsidRPr="00C730E9">
        <w:t xml:space="preserve"> un rapport, qui ne se substitue pas </w:t>
      </w:r>
      <w:r w:rsidR="00920400" w:rsidRPr="00C730E9">
        <w:rPr>
          <w:rFonts w:cs="Marianne Light"/>
        </w:rPr>
        <w:t>à</w:t>
      </w:r>
      <w:r w:rsidR="00920400" w:rsidRPr="00C730E9">
        <w:t xml:space="preserve"> l'</w:t>
      </w:r>
      <w:r w:rsidR="00920400" w:rsidRPr="00C730E9">
        <w:rPr>
          <w:rFonts w:cs="Marianne Light"/>
        </w:rPr>
        <w:t>é</w:t>
      </w:r>
      <w:r w:rsidR="00920400" w:rsidRPr="00C730E9">
        <w:t>tat r</w:t>
      </w:r>
      <w:r w:rsidR="00920400" w:rsidRPr="00C730E9">
        <w:rPr>
          <w:rFonts w:cs="Marianne Light"/>
        </w:rPr>
        <w:t>é</w:t>
      </w:r>
      <w:r w:rsidR="00920400" w:rsidRPr="00C730E9">
        <w:t>capitulatif des d</w:t>
      </w:r>
      <w:r w:rsidR="00920400" w:rsidRPr="00C730E9">
        <w:rPr>
          <w:rFonts w:cs="Marianne Light"/>
        </w:rPr>
        <w:t>é</w:t>
      </w:r>
      <w:r w:rsidR="00920400" w:rsidRPr="00C730E9">
        <w:t>penses, devant comprendre :</w:t>
      </w:r>
    </w:p>
    <w:p w14:paraId="50434985" w14:textId="3C5D80F4" w:rsidR="00920400" w:rsidRPr="009576EB" w:rsidRDefault="00920400" w:rsidP="00363DC5">
      <w:pPr>
        <w:pStyle w:val="Pucerond"/>
      </w:pPr>
      <w:proofErr w:type="gramStart"/>
      <w:r w:rsidRPr="009576EB">
        <w:t>un</w:t>
      </w:r>
      <w:proofErr w:type="gramEnd"/>
      <w:r w:rsidRPr="009576EB">
        <w:t xml:space="preserve"> descriptif sur le d</w:t>
      </w:r>
      <w:r w:rsidRPr="009576EB">
        <w:rPr>
          <w:rFonts w:cs="Marianne Light"/>
        </w:rPr>
        <w:t>é</w:t>
      </w:r>
      <w:r w:rsidRPr="009576EB">
        <w:t xml:space="preserve">roulement des travaux : nom des fournisseurs, planning de mise en </w:t>
      </w:r>
      <w:r w:rsidRPr="009576EB">
        <w:rPr>
          <w:rFonts w:cs="Marianne Light"/>
        </w:rPr>
        <w:t>œ</w:t>
      </w:r>
      <w:r w:rsidRPr="009576EB">
        <w:t>uvre, difficultés rencontrées, photos… ainsi que tout élément complémentaire que le bénéficiaire juge intéressant à fournir à l’ADEME.</w:t>
      </w:r>
    </w:p>
    <w:p w14:paraId="40685EB0" w14:textId="1C5A44DC" w:rsidR="00920400" w:rsidRPr="009576EB" w:rsidRDefault="00920400" w:rsidP="00363DC5">
      <w:pPr>
        <w:pStyle w:val="Pucerond"/>
      </w:pPr>
      <w:proofErr w:type="gramStart"/>
      <w:r w:rsidRPr="009576EB">
        <w:t>le</w:t>
      </w:r>
      <w:proofErr w:type="gramEnd"/>
      <w:r w:rsidRPr="009576EB">
        <w:t xml:space="preserve"> plan de financement d</w:t>
      </w:r>
      <w:r w:rsidRPr="009576EB">
        <w:rPr>
          <w:rFonts w:cs="Marianne Light"/>
        </w:rPr>
        <w:t>é</w:t>
      </w:r>
      <w:r w:rsidRPr="009576EB">
        <w:t>finitif des investissements.</w:t>
      </w:r>
    </w:p>
    <w:p w14:paraId="786F9A10" w14:textId="7C1FDDC9" w:rsidR="00BC1105" w:rsidRDefault="009576EB" w:rsidP="00363DC5">
      <w:pPr>
        <w:pStyle w:val="Pucenoir"/>
      </w:pPr>
      <w:r w:rsidRPr="00F13A54">
        <w:rPr>
          <w:rFonts w:cs="Courier New"/>
        </w:rPr>
        <w:t>Dans tous les cas,</w:t>
      </w:r>
      <w:r w:rsidRPr="00F13A54">
        <w:rPr>
          <w:rFonts w:ascii="Courier New" w:hAnsi="Courier New" w:cs="Courier New"/>
        </w:rPr>
        <w:t xml:space="preserve"> </w:t>
      </w:r>
      <w:r w:rsidRPr="00F13A54">
        <w:rPr>
          <w:rFonts w:cs="Courier New"/>
        </w:rPr>
        <w:t>l</w:t>
      </w:r>
      <w:r w:rsidR="00920400" w:rsidRPr="00F13A54">
        <w:t>es supports de communication comprenant le logo ADEME validés par l’ADEME régionale</w:t>
      </w:r>
      <w:bookmarkEnd w:id="99"/>
    </w:p>
    <w:sectPr w:rsidR="00BC1105" w:rsidSect="00A87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B072" w14:textId="77777777" w:rsidR="00DD4A85" w:rsidRDefault="00DD4A85" w:rsidP="00355E54">
      <w:pPr>
        <w:spacing w:after="0" w:line="240" w:lineRule="auto"/>
      </w:pPr>
      <w:r>
        <w:separator/>
      </w:r>
    </w:p>
  </w:endnote>
  <w:endnote w:type="continuationSeparator" w:id="0">
    <w:p w14:paraId="3AAE63CE" w14:textId="77777777" w:rsidR="00DD4A85" w:rsidRDefault="00DD4A85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7257" w14:textId="77777777" w:rsidR="007B0818" w:rsidRDefault="007B08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5612" w14:textId="56D2B8D4" w:rsidR="00363DC5" w:rsidRDefault="00363DC5" w:rsidP="00363DC5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Mise en œuvre et investissements pour la tarification incitative du service public déchets</w:t>
    </w:r>
    <w:r w:rsidR="007B0818">
      <w:rPr>
        <w:rFonts w:ascii="Marianne Light" w:hAnsi="Marianne Light"/>
        <w:sz w:val="16"/>
        <w:szCs w:val="16"/>
      </w:rPr>
      <w:t xml:space="preserve"> ou l’information individuelle sur l’usage</w:t>
    </w:r>
    <w:r w:rsidRPr="0038673F">
      <w:rPr>
        <w:rFonts w:ascii="Marianne Light" w:hAnsi="Marianne Light"/>
        <w:sz w:val="16"/>
        <w:szCs w:val="16"/>
      </w:rPr>
      <w:t xml:space="preserve">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EA4C10">
      <w:rPr>
        <w:rFonts w:ascii="Marianne" w:hAnsi="Marianne"/>
        <w:noProof/>
        <w:sz w:val="16"/>
        <w:szCs w:val="16"/>
      </w:rPr>
      <w:t>2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3E9E52E9" w14:textId="0B126D79" w:rsidR="00F13A54" w:rsidRPr="00363DC5" w:rsidRDefault="00363DC5" w:rsidP="00363DC5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0AB2ACD" wp14:editId="7195F8B9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0539" w14:textId="77777777" w:rsidR="007B0818" w:rsidRDefault="007B08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2C7C" w14:textId="77777777" w:rsidR="00DD4A85" w:rsidRDefault="00DD4A85" w:rsidP="00355E54">
      <w:pPr>
        <w:spacing w:after="0" w:line="240" w:lineRule="auto"/>
      </w:pPr>
      <w:r>
        <w:separator/>
      </w:r>
    </w:p>
  </w:footnote>
  <w:footnote w:type="continuationSeparator" w:id="0">
    <w:p w14:paraId="6429FCDD" w14:textId="77777777" w:rsidR="00DD4A85" w:rsidRDefault="00DD4A85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0DEC" w14:textId="77777777" w:rsidR="007B0818" w:rsidRDefault="007B08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ED23" w14:textId="77777777" w:rsidR="007B0818" w:rsidRDefault="007B08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7EC8" w14:textId="77777777" w:rsidR="007B0818" w:rsidRDefault="007B08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78B"/>
    <w:multiLevelType w:val="hybridMultilevel"/>
    <w:tmpl w:val="0422ED6C"/>
    <w:lvl w:ilvl="0" w:tplc="79FC1AB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984AB5A8"/>
    <w:lvl w:ilvl="0" w:tplc="91E8EFB0">
      <w:start w:val="1"/>
      <w:numFmt w:val="decimal"/>
      <w:pStyle w:val="Titre2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D8B"/>
    <w:multiLevelType w:val="hybridMultilevel"/>
    <w:tmpl w:val="5686D754"/>
    <w:lvl w:ilvl="0" w:tplc="521ED052">
      <w:start w:val="1"/>
      <w:numFmt w:val="lowerLetter"/>
      <w:pStyle w:val="soustitrea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0FD0"/>
    <w:multiLevelType w:val="hybridMultilevel"/>
    <w:tmpl w:val="ED80F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154EF"/>
    <w:multiLevelType w:val="hybridMultilevel"/>
    <w:tmpl w:val="360A95E0"/>
    <w:lvl w:ilvl="0" w:tplc="1EF28084">
      <w:start w:val="1"/>
      <w:numFmt w:val="lowerRoman"/>
      <w:pStyle w:val="soustitrei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187F"/>
    <w:multiLevelType w:val="hybridMultilevel"/>
    <w:tmpl w:val="E6D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1467975">
    <w:abstractNumId w:val="7"/>
  </w:num>
  <w:num w:numId="2" w16cid:durableId="465321178">
    <w:abstractNumId w:val="6"/>
  </w:num>
  <w:num w:numId="3" w16cid:durableId="1783307359">
    <w:abstractNumId w:val="14"/>
  </w:num>
  <w:num w:numId="4" w16cid:durableId="63257107">
    <w:abstractNumId w:val="1"/>
  </w:num>
  <w:num w:numId="5" w16cid:durableId="296229592">
    <w:abstractNumId w:val="4"/>
  </w:num>
  <w:num w:numId="6" w16cid:durableId="2022388535">
    <w:abstractNumId w:val="0"/>
  </w:num>
  <w:num w:numId="7" w16cid:durableId="28723580">
    <w:abstractNumId w:val="2"/>
  </w:num>
  <w:num w:numId="8" w16cid:durableId="1554271813">
    <w:abstractNumId w:val="12"/>
  </w:num>
  <w:num w:numId="9" w16cid:durableId="1269311467">
    <w:abstractNumId w:val="6"/>
  </w:num>
  <w:num w:numId="10" w16cid:durableId="133912988">
    <w:abstractNumId w:val="11"/>
  </w:num>
  <w:num w:numId="11" w16cid:durableId="371612552">
    <w:abstractNumId w:val="8"/>
  </w:num>
  <w:num w:numId="12" w16cid:durableId="2056075543">
    <w:abstractNumId w:val="4"/>
  </w:num>
  <w:num w:numId="13" w16cid:durableId="1570995837">
    <w:abstractNumId w:val="4"/>
  </w:num>
  <w:num w:numId="14" w16cid:durableId="190461642">
    <w:abstractNumId w:val="4"/>
  </w:num>
  <w:num w:numId="15" w16cid:durableId="2101829600">
    <w:abstractNumId w:val="4"/>
  </w:num>
  <w:num w:numId="16" w16cid:durableId="851265384">
    <w:abstractNumId w:val="4"/>
  </w:num>
  <w:num w:numId="17" w16cid:durableId="1638218429">
    <w:abstractNumId w:val="4"/>
  </w:num>
  <w:num w:numId="18" w16cid:durableId="679698453">
    <w:abstractNumId w:val="4"/>
  </w:num>
  <w:num w:numId="19" w16cid:durableId="1966764752">
    <w:abstractNumId w:val="4"/>
  </w:num>
  <w:num w:numId="20" w16cid:durableId="651760641">
    <w:abstractNumId w:val="4"/>
  </w:num>
  <w:num w:numId="21" w16cid:durableId="1205293407">
    <w:abstractNumId w:val="4"/>
  </w:num>
  <w:num w:numId="22" w16cid:durableId="412897155">
    <w:abstractNumId w:val="4"/>
  </w:num>
  <w:num w:numId="23" w16cid:durableId="1396708309">
    <w:abstractNumId w:val="4"/>
  </w:num>
  <w:num w:numId="24" w16cid:durableId="1486972492">
    <w:abstractNumId w:val="9"/>
  </w:num>
  <w:num w:numId="25" w16cid:durableId="1355494392">
    <w:abstractNumId w:val="4"/>
  </w:num>
  <w:num w:numId="26" w16cid:durableId="1922835675">
    <w:abstractNumId w:val="4"/>
  </w:num>
  <w:num w:numId="27" w16cid:durableId="903640514">
    <w:abstractNumId w:val="4"/>
  </w:num>
  <w:num w:numId="28" w16cid:durableId="431977210">
    <w:abstractNumId w:val="4"/>
  </w:num>
  <w:num w:numId="29" w16cid:durableId="721633416">
    <w:abstractNumId w:val="4"/>
  </w:num>
  <w:num w:numId="30" w16cid:durableId="1973051862">
    <w:abstractNumId w:val="13"/>
  </w:num>
  <w:num w:numId="31" w16cid:durableId="81803617">
    <w:abstractNumId w:val="3"/>
  </w:num>
  <w:num w:numId="32" w16cid:durableId="1689140639">
    <w:abstractNumId w:val="5"/>
  </w:num>
  <w:num w:numId="33" w16cid:durableId="1056079793">
    <w:abstractNumId w:val="5"/>
    <w:lvlOverride w:ilvl="0">
      <w:startOverride w:val="1"/>
    </w:lvlOverride>
  </w:num>
  <w:num w:numId="34" w16cid:durableId="1935626314">
    <w:abstractNumId w:val="10"/>
  </w:num>
  <w:num w:numId="35" w16cid:durableId="10482573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30ECC"/>
    <w:rsid w:val="00081363"/>
    <w:rsid w:val="00090B92"/>
    <w:rsid w:val="00094C4C"/>
    <w:rsid w:val="00094C8A"/>
    <w:rsid w:val="000A5308"/>
    <w:rsid w:val="000B02BC"/>
    <w:rsid w:val="000B0B32"/>
    <w:rsid w:val="000B42CC"/>
    <w:rsid w:val="001039AD"/>
    <w:rsid w:val="0010603A"/>
    <w:rsid w:val="0010725C"/>
    <w:rsid w:val="0011054C"/>
    <w:rsid w:val="00134E0D"/>
    <w:rsid w:val="0014082E"/>
    <w:rsid w:val="00146E51"/>
    <w:rsid w:val="00163883"/>
    <w:rsid w:val="002839B5"/>
    <w:rsid w:val="002901CD"/>
    <w:rsid w:val="00295AA0"/>
    <w:rsid w:val="002D579B"/>
    <w:rsid w:val="002E1BE2"/>
    <w:rsid w:val="0032107A"/>
    <w:rsid w:val="00341292"/>
    <w:rsid w:val="00345EA4"/>
    <w:rsid w:val="00355C60"/>
    <w:rsid w:val="00355E54"/>
    <w:rsid w:val="0036103F"/>
    <w:rsid w:val="00363DC5"/>
    <w:rsid w:val="003C1B8C"/>
    <w:rsid w:val="003D27D1"/>
    <w:rsid w:val="003F2A78"/>
    <w:rsid w:val="003F6B3C"/>
    <w:rsid w:val="00406FF1"/>
    <w:rsid w:val="00424DAD"/>
    <w:rsid w:val="00432D2A"/>
    <w:rsid w:val="0043312D"/>
    <w:rsid w:val="00434D60"/>
    <w:rsid w:val="00462028"/>
    <w:rsid w:val="00494E38"/>
    <w:rsid w:val="004C2A7B"/>
    <w:rsid w:val="004E5E14"/>
    <w:rsid w:val="00502D87"/>
    <w:rsid w:val="00515926"/>
    <w:rsid w:val="00533138"/>
    <w:rsid w:val="00546FE5"/>
    <w:rsid w:val="005517EC"/>
    <w:rsid w:val="005542BC"/>
    <w:rsid w:val="00586ED7"/>
    <w:rsid w:val="005A5899"/>
    <w:rsid w:val="005B6CBD"/>
    <w:rsid w:val="005C42DD"/>
    <w:rsid w:val="005C4608"/>
    <w:rsid w:val="005E356D"/>
    <w:rsid w:val="0061461B"/>
    <w:rsid w:val="00656733"/>
    <w:rsid w:val="0069631D"/>
    <w:rsid w:val="006A645C"/>
    <w:rsid w:val="006C3178"/>
    <w:rsid w:val="006D5F93"/>
    <w:rsid w:val="006F7590"/>
    <w:rsid w:val="007001E8"/>
    <w:rsid w:val="0070276E"/>
    <w:rsid w:val="00713570"/>
    <w:rsid w:val="00735187"/>
    <w:rsid w:val="007545CF"/>
    <w:rsid w:val="0076438D"/>
    <w:rsid w:val="00767184"/>
    <w:rsid w:val="00775C25"/>
    <w:rsid w:val="007A4236"/>
    <w:rsid w:val="007A5F24"/>
    <w:rsid w:val="007B0818"/>
    <w:rsid w:val="007B0C5C"/>
    <w:rsid w:val="007B2148"/>
    <w:rsid w:val="007B63AE"/>
    <w:rsid w:val="007C145A"/>
    <w:rsid w:val="007D364E"/>
    <w:rsid w:val="00841BBD"/>
    <w:rsid w:val="008617B6"/>
    <w:rsid w:val="008754D7"/>
    <w:rsid w:val="008A383C"/>
    <w:rsid w:val="009175E6"/>
    <w:rsid w:val="00920400"/>
    <w:rsid w:val="00941A8E"/>
    <w:rsid w:val="009576EB"/>
    <w:rsid w:val="009C4B27"/>
    <w:rsid w:val="009D61A5"/>
    <w:rsid w:val="009F6951"/>
    <w:rsid w:val="00A02C3E"/>
    <w:rsid w:val="00A16748"/>
    <w:rsid w:val="00A179A3"/>
    <w:rsid w:val="00A3084E"/>
    <w:rsid w:val="00A426E3"/>
    <w:rsid w:val="00A64020"/>
    <w:rsid w:val="00A715A5"/>
    <w:rsid w:val="00A766D8"/>
    <w:rsid w:val="00A87C96"/>
    <w:rsid w:val="00A95195"/>
    <w:rsid w:val="00AA15D3"/>
    <w:rsid w:val="00AA5F56"/>
    <w:rsid w:val="00AB2CFC"/>
    <w:rsid w:val="00AB4C8F"/>
    <w:rsid w:val="00AE0AE9"/>
    <w:rsid w:val="00B15439"/>
    <w:rsid w:val="00B242D6"/>
    <w:rsid w:val="00B278FA"/>
    <w:rsid w:val="00B42691"/>
    <w:rsid w:val="00B54852"/>
    <w:rsid w:val="00B84CE4"/>
    <w:rsid w:val="00BA1EF4"/>
    <w:rsid w:val="00BC1105"/>
    <w:rsid w:val="00BE00A4"/>
    <w:rsid w:val="00BF0989"/>
    <w:rsid w:val="00C02AA6"/>
    <w:rsid w:val="00C1097E"/>
    <w:rsid w:val="00C35901"/>
    <w:rsid w:val="00C730E9"/>
    <w:rsid w:val="00CA1362"/>
    <w:rsid w:val="00D169F6"/>
    <w:rsid w:val="00D2712F"/>
    <w:rsid w:val="00D27A50"/>
    <w:rsid w:val="00D30384"/>
    <w:rsid w:val="00D30433"/>
    <w:rsid w:val="00D361DB"/>
    <w:rsid w:val="00D46FBE"/>
    <w:rsid w:val="00D57DCB"/>
    <w:rsid w:val="00DC2769"/>
    <w:rsid w:val="00DD4A85"/>
    <w:rsid w:val="00E05AE0"/>
    <w:rsid w:val="00E12765"/>
    <w:rsid w:val="00E3197A"/>
    <w:rsid w:val="00E92247"/>
    <w:rsid w:val="00EA4C10"/>
    <w:rsid w:val="00EB1F3C"/>
    <w:rsid w:val="00ED2A1B"/>
    <w:rsid w:val="00F13A54"/>
    <w:rsid w:val="00F25439"/>
    <w:rsid w:val="00F61F5E"/>
    <w:rsid w:val="00F62D40"/>
    <w:rsid w:val="00F74978"/>
    <w:rsid w:val="00F80848"/>
    <w:rsid w:val="00F85741"/>
    <w:rsid w:val="00FA79BA"/>
    <w:rsid w:val="00FD3592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87C96"/>
    <w:pPr>
      <w:keepNext/>
      <w:keepLines/>
      <w:pBdr>
        <w:bottom w:val="single" w:sz="8" w:space="1" w:color="auto"/>
      </w:pBdr>
      <w:spacing w:before="360" w:after="24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87C96"/>
    <w:pPr>
      <w:keepNext/>
      <w:keepLines/>
      <w:numPr>
        <w:numId w:val="5"/>
      </w:numPr>
      <w:spacing w:before="240" w:line="259" w:lineRule="auto"/>
      <w:ind w:left="681" w:hanging="454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A87C96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7C96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soustitrea">
    <w:name w:val="sous titre a)"/>
    <w:basedOn w:val="TexteCourant"/>
    <w:link w:val="soustitreaCar"/>
    <w:autoRedefine/>
    <w:qFormat/>
    <w:rsid w:val="00363DC5"/>
    <w:pPr>
      <w:numPr>
        <w:numId w:val="32"/>
      </w:numPr>
      <w:suppressAutoHyphens/>
      <w:spacing w:before="240" w:line="286" w:lineRule="auto"/>
      <w:ind w:left="757"/>
    </w:pPr>
    <w:rPr>
      <w:rFonts w:ascii="Marianne" w:hAnsi="Marianne"/>
      <w:b/>
      <w:bCs/>
    </w:rPr>
  </w:style>
  <w:style w:type="paragraph" w:customStyle="1" w:styleId="soustitrei">
    <w:name w:val="sous titre i."/>
    <w:basedOn w:val="TexteCourant"/>
    <w:link w:val="soustitreiCar"/>
    <w:qFormat/>
    <w:rsid w:val="00A87C96"/>
    <w:pPr>
      <w:numPr>
        <w:numId w:val="34"/>
      </w:numPr>
      <w:spacing w:before="240" w:line="286" w:lineRule="auto"/>
      <w:ind w:left="1491" w:hanging="357"/>
    </w:pPr>
    <w:rPr>
      <w:b/>
      <w:bCs/>
      <w:u w:val="single"/>
    </w:rPr>
  </w:style>
  <w:style w:type="character" w:customStyle="1" w:styleId="soustitreaCar">
    <w:name w:val="sous titre a) Car"/>
    <w:basedOn w:val="TexteCourantCar"/>
    <w:link w:val="soustitrea"/>
    <w:rsid w:val="00363DC5"/>
    <w:rPr>
      <w:rFonts w:ascii="Marianne" w:eastAsia="Times New Roman" w:hAnsi="Marianne" w:cs="Arial"/>
      <w:b/>
      <w:bCs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soustitreiCar">
    <w:name w:val="sous titre i. Car"/>
    <w:basedOn w:val="TexteCourantCar"/>
    <w:link w:val="soustitrei"/>
    <w:rsid w:val="00A87C96"/>
    <w:rPr>
      <w:rFonts w:ascii="Marianne Light" w:eastAsia="Times New Roman" w:hAnsi="Marianne Light" w:cs="Arial"/>
      <w:b/>
      <w:bCs/>
      <w:color w:val="000000"/>
      <w:kern w:val="28"/>
      <w:sz w:val="18"/>
      <w:szCs w:val="20"/>
      <w:u w:val="single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3F6B3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entionnonrsolue">
    <w:name w:val="Unresolved Mention"/>
    <w:basedOn w:val="Policepardfaut"/>
    <w:uiPriority w:val="99"/>
    <w:semiHidden/>
    <w:unhideWhenUsed/>
    <w:rsid w:val="00F8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rairie.ademe.f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5C48-9579-42A8-94D2-092C041F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2423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GENTRIC Alexandra</cp:lastModifiedBy>
  <cp:revision>3</cp:revision>
  <dcterms:created xsi:type="dcterms:W3CDTF">2024-12-03T13:16:00Z</dcterms:created>
  <dcterms:modified xsi:type="dcterms:W3CDTF">2024-12-03T13:17:00Z</dcterms:modified>
</cp:coreProperties>
</file>