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F5278" w:rsidRDefault="00EF5278">
      <w:pPr>
        <w:widowControl w:val="0"/>
        <w:pBdr>
          <w:top w:val="nil"/>
          <w:left w:val="nil"/>
          <w:bottom w:val="nil"/>
          <w:right w:val="nil"/>
          <w:between w:val="nil"/>
        </w:pBdr>
        <w:spacing w:line="276" w:lineRule="auto"/>
        <w:jc w:val="left"/>
      </w:pPr>
    </w:p>
    <w:p w14:paraId="00000002" w14:textId="77777777" w:rsidR="00EF5278" w:rsidRDefault="00EF5278"/>
    <w:p w14:paraId="00000003" w14:textId="77777777" w:rsidR="00EF5278" w:rsidRDefault="00EF5278"/>
    <w:p w14:paraId="00000004" w14:textId="77777777" w:rsidR="00EF5278" w:rsidRDefault="00EF5278"/>
    <w:p w14:paraId="00000005" w14:textId="77777777" w:rsidR="00EF5278" w:rsidRDefault="00CC0084">
      <w:pPr>
        <w:jc w:val="center"/>
        <w:rPr>
          <w:b/>
          <w:color w:val="002060"/>
          <w:sz w:val="52"/>
          <w:szCs w:val="52"/>
        </w:rPr>
      </w:pPr>
      <w:r>
        <w:rPr>
          <w:b/>
          <w:color w:val="002060"/>
          <w:sz w:val="52"/>
          <w:szCs w:val="52"/>
        </w:rPr>
        <w:t>APPEL À PROJETS</w:t>
      </w:r>
    </w:p>
    <w:p w14:paraId="00000006" w14:textId="77777777" w:rsidR="00EF5278" w:rsidRDefault="00EF5278">
      <w:pPr>
        <w:jc w:val="center"/>
        <w:rPr>
          <w:b/>
          <w:color w:val="002060"/>
          <w:sz w:val="22"/>
          <w:szCs w:val="22"/>
        </w:rPr>
      </w:pPr>
    </w:p>
    <w:p w14:paraId="00000007" w14:textId="77777777" w:rsidR="00EF5278" w:rsidRDefault="00CC0084">
      <w:pPr>
        <w:jc w:val="center"/>
        <w:rPr>
          <w:b/>
          <w:color w:val="002060"/>
          <w:sz w:val="40"/>
          <w:szCs w:val="40"/>
        </w:rPr>
      </w:pPr>
      <w:r>
        <w:rPr>
          <w:color w:val="002060"/>
          <w:sz w:val="52"/>
          <w:szCs w:val="52"/>
        </w:rPr>
        <w:t>« </w:t>
      </w:r>
      <w:r>
        <w:rPr>
          <w:b/>
          <w:color w:val="002060"/>
          <w:sz w:val="40"/>
          <w:szCs w:val="40"/>
        </w:rPr>
        <w:t>D</w:t>
      </w:r>
      <w:r>
        <w:rPr>
          <w:b/>
          <w:i/>
          <w:color w:val="002060"/>
          <w:sz w:val="40"/>
          <w:szCs w:val="40"/>
        </w:rPr>
        <w:t xml:space="preserve">éconditionnement / Hygiénisation des biodéchets </w:t>
      </w:r>
      <w:r>
        <w:rPr>
          <w:color w:val="002060"/>
          <w:sz w:val="52"/>
          <w:szCs w:val="52"/>
        </w:rPr>
        <w:t>»</w:t>
      </w:r>
    </w:p>
    <w:p w14:paraId="00000008" w14:textId="77777777" w:rsidR="00EF5278" w:rsidRDefault="00EF5278">
      <w:pPr>
        <w:jc w:val="center"/>
        <w:rPr>
          <w:sz w:val="32"/>
          <w:szCs w:val="32"/>
        </w:rPr>
      </w:pPr>
    </w:p>
    <w:p w14:paraId="00000009" w14:textId="77777777" w:rsidR="00EF5278" w:rsidRDefault="00CC0084">
      <w:pPr>
        <w:jc w:val="center"/>
        <w:rPr>
          <w:b/>
          <w:sz w:val="24"/>
          <w:szCs w:val="24"/>
        </w:rPr>
      </w:pPr>
      <w:r>
        <w:rPr>
          <w:noProof/>
        </w:rPr>
        <mc:AlternateContent>
          <mc:Choice Requires="wps">
            <w:drawing>
              <wp:anchor distT="0" distB="0" distL="114300" distR="114300" simplePos="0" relativeHeight="251658240" behindDoc="0" locked="0" layoutInCell="1" hidden="0" allowOverlap="1" wp14:anchorId="786C3030" wp14:editId="69819C9F">
                <wp:simplePos x="0" y="0"/>
                <wp:positionH relativeFrom="column">
                  <wp:posOffset>1206500</wp:posOffset>
                </wp:positionH>
                <wp:positionV relativeFrom="paragraph">
                  <wp:posOffset>0</wp:posOffset>
                </wp:positionV>
                <wp:extent cx="3465351" cy="496414"/>
                <wp:effectExtent l="0" t="0" r="0" b="0"/>
                <wp:wrapNone/>
                <wp:docPr id="15" name="Rectangle 15"/>
                <wp:cNvGraphicFramePr/>
                <a:graphic xmlns:a="http://schemas.openxmlformats.org/drawingml/2006/main">
                  <a:graphicData uri="http://schemas.microsoft.com/office/word/2010/wordprocessingShape">
                    <wps:wsp>
                      <wps:cNvSpPr/>
                      <wps:spPr>
                        <a:xfrm>
                          <a:off x="3618087" y="3536556"/>
                          <a:ext cx="3455826" cy="486889"/>
                        </a:xfrm>
                        <a:prstGeom prst="rect">
                          <a:avLst/>
                        </a:prstGeom>
                        <a:noFill/>
                        <a:ln>
                          <a:noFill/>
                        </a:ln>
                      </wps:spPr>
                      <wps:txbx>
                        <w:txbxContent>
                          <w:p w14:paraId="13DE05E8" w14:textId="77777777" w:rsidR="00EF5278" w:rsidRDefault="00CC0084">
                            <w:pPr>
                              <w:jc w:val="center"/>
                              <w:textDirection w:val="btLr"/>
                            </w:pPr>
                            <w:r>
                              <w:rPr>
                                <w:b/>
                                <w:color w:val="000000"/>
                                <w:sz w:val="48"/>
                              </w:rPr>
                              <w:t>Règlement</w:t>
                            </w:r>
                          </w:p>
                        </w:txbxContent>
                      </wps:txbx>
                      <wps:bodyPr spcFirstLastPara="1" wrap="square" lIns="91425" tIns="45700" rIns="91425" bIns="45700" anchor="ctr" anchorCtr="0">
                        <a:noAutofit/>
                      </wps:bodyPr>
                    </wps:wsp>
                  </a:graphicData>
                </a:graphic>
              </wp:anchor>
            </w:drawing>
          </mc:Choice>
          <mc:Fallback>
            <w:pict>
              <v:rect w14:anchorId="786C3030" id="Rectangle 15" o:spid="_x0000_s1026" style="position:absolute;left:0;text-align:left;margin-left:95pt;margin-top:0;width:272.85pt;height:3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" filled="f" stroked="f">
                <v:textbox inset="2.53958mm,1.2694mm,2.53958mm,1.2694mm">
                  <w:txbxContent>
                    <w:p w14:paraId="13DE05E8" w14:textId="77777777" w:rsidR="00EF5278" w:rsidRDefault="00CC0084">
                      <w:pPr>
                        <w:jc w:val="center"/>
                        <w:textDirection w:val="btLr"/>
                      </w:pPr>
                      <w:r>
                        <w:rPr>
                          <w:b/>
                          <w:color w:val="000000"/>
                          <w:sz w:val="48"/>
                        </w:rPr>
                        <w:t>Règlement</w:t>
                      </w:r>
                    </w:p>
                  </w:txbxContent>
                </v:textbox>
              </v:rect>
            </w:pict>
          </mc:Fallback>
        </mc:AlternateContent>
      </w:r>
    </w:p>
    <w:p w14:paraId="0000000A" w14:textId="77777777" w:rsidR="00EF5278" w:rsidRDefault="00EF5278">
      <w:pPr>
        <w:jc w:val="center"/>
        <w:rPr>
          <w:b/>
          <w:sz w:val="24"/>
          <w:szCs w:val="24"/>
        </w:rPr>
      </w:pPr>
    </w:p>
    <w:p w14:paraId="0000000B" w14:textId="77777777" w:rsidR="00EF5278" w:rsidRDefault="00CC0084">
      <w:pPr>
        <w:tabs>
          <w:tab w:val="left" w:pos="8071"/>
        </w:tabs>
        <w:rPr>
          <w:b/>
          <w:color w:val="FFFFFF"/>
          <w:sz w:val="48"/>
          <w:szCs w:val="48"/>
        </w:rPr>
      </w:pPr>
      <w:r>
        <w:rPr>
          <w:b/>
          <w:color w:val="FFFFFF"/>
          <w:sz w:val="48"/>
          <w:szCs w:val="48"/>
        </w:rPr>
        <w:tab/>
      </w:r>
    </w:p>
    <w:p w14:paraId="0000000C" w14:textId="77777777" w:rsidR="00EF5278" w:rsidRDefault="00EF5278">
      <w:pPr>
        <w:rPr>
          <w:color w:val="FFFFFF"/>
        </w:rPr>
      </w:pPr>
    </w:p>
    <w:p w14:paraId="0000000D" w14:textId="77777777" w:rsidR="00EF5278" w:rsidRDefault="00EF5278">
      <w:pPr>
        <w:pBdr>
          <w:top w:val="single" w:sz="4" w:space="1" w:color="000000"/>
          <w:left w:val="single" w:sz="4" w:space="4" w:color="000000"/>
          <w:bottom w:val="single" w:sz="4" w:space="1" w:color="000000"/>
          <w:right w:val="single" w:sz="4" w:space="4" w:color="000000"/>
        </w:pBdr>
        <w:spacing w:after="120"/>
        <w:jc w:val="center"/>
      </w:pPr>
    </w:p>
    <w:p w14:paraId="0000000E" w14:textId="65AA4C13" w:rsidR="00EF5278" w:rsidRDefault="00CC0084">
      <w:pPr>
        <w:pBdr>
          <w:top w:val="single" w:sz="4" w:space="1" w:color="000000"/>
          <w:left w:val="single" w:sz="4" w:space="4" w:color="000000"/>
          <w:bottom w:val="single" w:sz="4" w:space="1" w:color="000000"/>
          <w:right w:val="single" w:sz="4" w:space="4" w:color="000000"/>
        </w:pBdr>
        <w:spacing w:after="120"/>
        <w:jc w:val="center"/>
      </w:pPr>
      <w:r>
        <w:rPr>
          <w:b/>
          <w:u w:val="single"/>
        </w:rPr>
        <w:t>POUR L’EDITION 202</w:t>
      </w:r>
      <w:r w:rsidR="0096501F">
        <w:rPr>
          <w:b/>
          <w:u w:val="single"/>
        </w:rPr>
        <w:t>4</w:t>
      </w:r>
      <w:r>
        <w:rPr>
          <w:b/>
          <w:u w:val="single"/>
        </w:rPr>
        <w:t xml:space="preserve"> DE CET APPEL A PROJET</w:t>
      </w:r>
      <w:r w:rsidR="001153E9">
        <w:rPr>
          <w:b/>
          <w:u w:val="single"/>
        </w:rPr>
        <w:t>S</w:t>
      </w:r>
      <w:r w:rsidR="0096501F">
        <w:rPr>
          <w:b/>
          <w:u w:val="single"/>
        </w:rPr>
        <w:t xml:space="preserve"> (AAP)</w:t>
      </w:r>
      <w:r>
        <w:t xml:space="preserve">, </w:t>
      </w:r>
    </w:p>
    <w:p w14:paraId="0000000F" w14:textId="77777777" w:rsidR="00EF5278" w:rsidRDefault="00CC0084">
      <w:pPr>
        <w:pBdr>
          <w:top w:val="single" w:sz="4" w:space="1" w:color="000000"/>
          <w:left w:val="single" w:sz="4" w:space="4" w:color="000000"/>
          <w:bottom w:val="single" w:sz="4" w:space="1" w:color="000000"/>
          <w:right w:val="single" w:sz="4" w:space="4" w:color="000000"/>
        </w:pBdr>
        <w:spacing w:after="120"/>
        <w:jc w:val="center"/>
      </w:pPr>
      <w:r>
        <w:t xml:space="preserve">LE DOSSIER DE CANDIDATURE JOINT A CE REGLEMENT </w:t>
      </w:r>
    </w:p>
    <w:p w14:paraId="10992C5D" w14:textId="77777777" w:rsidR="001816C9" w:rsidRDefault="00CC0084">
      <w:pPr>
        <w:pBdr>
          <w:top w:val="single" w:sz="4" w:space="1" w:color="000000"/>
          <w:left w:val="single" w:sz="4" w:space="4" w:color="000000"/>
          <w:bottom w:val="single" w:sz="4" w:space="1" w:color="000000"/>
          <w:right w:val="single" w:sz="4" w:space="4" w:color="000000"/>
        </w:pBdr>
        <w:spacing w:after="120"/>
        <w:jc w:val="center"/>
      </w:pPr>
      <w:r>
        <w:t xml:space="preserve">EST A TRANSMETTRE </w:t>
      </w:r>
      <w:r w:rsidR="0096501F" w:rsidRPr="0096501F">
        <w:rPr>
          <w:b/>
          <w:bCs/>
        </w:rPr>
        <w:t>DES L’OUVERTURE DE CET AAP</w:t>
      </w:r>
      <w:r>
        <w:t xml:space="preserve"> </w:t>
      </w:r>
    </w:p>
    <w:p w14:paraId="00000011" w14:textId="5A45588B" w:rsidR="00EF5278" w:rsidRPr="001816C9" w:rsidRDefault="0096501F" w:rsidP="001816C9">
      <w:pPr>
        <w:pBdr>
          <w:top w:val="single" w:sz="4" w:space="1" w:color="000000"/>
          <w:left w:val="single" w:sz="4" w:space="4" w:color="000000"/>
          <w:bottom w:val="single" w:sz="4" w:space="1" w:color="000000"/>
          <w:right w:val="single" w:sz="4" w:space="4" w:color="000000"/>
        </w:pBdr>
        <w:spacing w:after="120"/>
        <w:jc w:val="center"/>
      </w:pPr>
      <w:r>
        <w:t>ET JUSQU’AU</w:t>
      </w:r>
      <w:r w:rsidR="001816C9">
        <w:t xml:space="preserve"> </w:t>
      </w:r>
      <w:r>
        <w:rPr>
          <w:b/>
          <w:color w:val="000000" w:themeColor="text1"/>
        </w:rPr>
        <w:t>MARDI 31</w:t>
      </w:r>
      <w:r w:rsidR="001B3516" w:rsidRPr="00DA1900">
        <w:rPr>
          <w:b/>
          <w:color w:val="000000" w:themeColor="text1"/>
        </w:rPr>
        <w:t xml:space="preserve"> </w:t>
      </w:r>
      <w:r>
        <w:rPr>
          <w:b/>
          <w:color w:val="000000" w:themeColor="text1"/>
        </w:rPr>
        <w:t xml:space="preserve">DECEMBRE </w:t>
      </w:r>
      <w:r w:rsidR="001B3516" w:rsidRPr="00DA1900">
        <w:rPr>
          <w:b/>
          <w:color w:val="000000" w:themeColor="text1"/>
        </w:rPr>
        <w:t>202</w:t>
      </w:r>
      <w:r>
        <w:rPr>
          <w:b/>
          <w:color w:val="000000" w:themeColor="text1"/>
        </w:rPr>
        <w:t>4</w:t>
      </w:r>
      <w:r w:rsidR="001B3516" w:rsidRPr="00DA1900">
        <w:rPr>
          <w:b/>
          <w:color w:val="000000" w:themeColor="text1"/>
        </w:rPr>
        <w:t xml:space="preserve"> à </w:t>
      </w:r>
      <w:r>
        <w:rPr>
          <w:b/>
          <w:color w:val="000000" w:themeColor="text1"/>
        </w:rPr>
        <w:t>23h59</w:t>
      </w:r>
    </w:p>
    <w:p w14:paraId="00000012" w14:textId="77777777" w:rsidR="00EF5278" w:rsidRPr="00DA1900" w:rsidRDefault="00EF5278">
      <w:pPr>
        <w:pBdr>
          <w:top w:val="single" w:sz="4" w:space="1" w:color="000000"/>
          <w:left w:val="single" w:sz="4" w:space="4" w:color="000000"/>
          <w:bottom w:val="single" w:sz="4" w:space="1" w:color="000000"/>
          <w:right w:val="single" w:sz="4" w:space="4" w:color="000000"/>
        </w:pBdr>
        <w:spacing w:after="120"/>
        <w:jc w:val="center"/>
        <w:rPr>
          <w:b/>
        </w:rPr>
      </w:pPr>
    </w:p>
    <w:p w14:paraId="00000013" w14:textId="77777777" w:rsidR="00EF5278" w:rsidRDefault="00EF5278">
      <w:pPr>
        <w:pBdr>
          <w:top w:val="single" w:sz="4" w:space="1" w:color="000000"/>
          <w:left w:val="single" w:sz="4" w:space="4" w:color="000000"/>
          <w:bottom w:val="single" w:sz="4" w:space="1" w:color="000000"/>
          <w:right w:val="single" w:sz="4" w:space="4" w:color="000000"/>
        </w:pBdr>
        <w:spacing w:after="120"/>
        <w:jc w:val="center"/>
        <w:rPr>
          <w:sz w:val="14"/>
          <w:szCs w:val="14"/>
        </w:rPr>
      </w:pPr>
    </w:p>
    <w:p w14:paraId="00000014" w14:textId="77777777" w:rsidR="00EF5278" w:rsidRDefault="00CC0084">
      <w:pPr>
        <w:pBdr>
          <w:top w:val="single" w:sz="4" w:space="1" w:color="000000"/>
          <w:left w:val="single" w:sz="4" w:space="4" w:color="000000"/>
          <w:bottom w:val="single" w:sz="4" w:space="1" w:color="000000"/>
          <w:right w:val="single" w:sz="4" w:space="4" w:color="000000"/>
        </w:pBdr>
        <w:spacing w:after="120"/>
        <w:jc w:val="center"/>
        <w:rPr>
          <w:b/>
          <w:u w:val="single"/>
        </w:rPr>
      </w:pPr>
      <w:r>
        <w:rPr>
          <w:b/>
          <w:u w:val="single"/>
        </w:rPr>
        <w:t>Dépôt des dossiers sur la plateforme :</w:t>
      </w:r>
    </w:p>
    <w:p w14:paraId="00000015" w14:textId="77777777" w:rsidR="00EF5278" w:rsidRDefault="001153E9">
      <w:pPr>
        <w:pBdr>
          <w:top w:val="single" w:sz="4" w:space="1" w:color="000000"/>
          <w:left w:val="single" w:sz="4" w:space="4" w:color="000000"/>
          <w:bottom w:val="single" w:sz="4" w:space="1" w:color="000000"/>
          <w:right w:val="single" w:sz="4" w:space="4" w:color="000000"/>
        </w:pBdr>
        <w:spacing w:after="120"/>
        <w:jc w:val="center"/>
      </w:pPr>
      <w:hyperlink r:id="rId9">
        <w:r w:rsidR="00CC0084">
          <w:rPr>
            <w:color w:val="0563C1"/>
            <w:u w:val="single"/>
          </w:rPr>
          <w:t>https://agirpourlatransition.ademe.fr/</w:t>
        </w:r>
      </w:hyperlink>
      <w:r w:rsidR="00CC0084">
        <w:t xml:space="preserve"> </w:t>
      </w:r>
    </w:p>
    <w:p w14:paraId="00000016" w14:textId="77777777" w:rsidR="00EF5278" w:rsidRDefault="00EF5278">
      <w:pPr>
        <w:pBdr>
          <w:top w:val="single" w:sz="4" w:space="1" w:color="000000"/>
          <w:left w:val="single" w:sz="4" w:space="4" w:color="000000"/>
          <w:bottom w:val="single" w:sz="4" w:space="1" w:color="000000"/>
          <w:right w:val="single" w:sz="4" w:space="4" w:color="000000"/>
        </w:pBdr>
        <w:jc w:val="center"/>
        <w:rPr>
          <w:sz w:val="16"/>
          <w:szCs w:val="16"/>
        </w:rPr>
      </w:pPr>
    </w:p>
    <w:p w14:paraId="00000017" w14:textId="77777777" w:rsidR="00EF5278" w:rsidRDefault="00CC0084">
      <w:pPr>
        <w:pBdr>
          <w:top w:val="single" w:sz="4" w:space="1" w:color="000000"/>
          <w:left w:val="single" w:sz="4" w:space="4" w:color="000000"/>
          <w:bottom w:val="single" w:sz="4" w:space="1" w:color="000000"/>
          <w:right w:val="single" w:sz="4" w:space="4" w:color="000000"/>
        </w:pBdr>
        <w:spacing w:after="120"/>
        <w:jc w:val="center"/>
        <w:rPr>
          <w:sz w:val="18"/>
          <w:szCs w:val="18"/>
        </w:rPr>
      </w:pPr>
      <w:r>
        <w:rPr>
          <w:sz w:val="18"/>
          <w:szCs w:val="18"/>
        </w:rPr>
        <w:t xml:space="preserve"> </w:t>
      </w:r>
      <w:r>
        <w:br w:type="page"/>
      </w:r>
      <w:r>
        <w:rPr>
          <w:noProof/>
        </w:rPr>
        <mc:AlternateContent>
          <mc:Choice Requires="wps">
            <w:drawing>
              <wp:anchor distT="0" distB="0" distL="114300" distR="114300" simplePos="0" relativeHeight="251659264" behindDoc="0" locked="0" layoutInCell="1" hidden="0" allowOverlap="1" wp14:anchorId="2C6261FF" wp14:editId="55562C22">
                <wp:simplePos x="0" y="0"/>
                <wp:positionH relativeFrom="column">
                  <wp:posOffset>673100</wp:posOffset>
                </wp:positionH>
                <wp:positionV relativeFrom="paragraph">
                  <wp:posOffset>660400</wp:posOffset>
                </wp:positionV>
                <wp:extent cx="1774190" cy="647065"/>
                <wp:effectExtent l="0" t="0" r="0" b="0"/>
                <wp:wrapNone/>
                <wp:docPr id="14" name="Rectangle 14"/>
                <wp:cNvGraphicFramePr/>
                <a:graphic xmlns:a="http://schemas.openxmlformats.org/drawingml/2006/main">
                  <a:graphicData uri="http://schemas.microsoft.com/office/word/2010/wordprocessingShape">
                    <wps:wsp>
                      <wps:cNvSpPr/>
                      <wps:spPr>
                        <a:xfrm>
                          <a:off x="4463668" y="3461230"/>
                          <a:ext cx="1764665" cy="637540"/>
                        </a:xfrm>
                        <a:prstGeom prst="rect">
                          <a:avLst/>
                        </a:prstGeom>
                        <a:noFill/>
                        <a:ln>
                          <a:noFill/>
                        </a:ln>
                      </wps:spPr>
                      <wps:txbx>
                        <w:txbxContent>
                          <w:p w14:paraId="4D6DE3AE" w14:textId="77777777" w:rsidR="00EF5278" w:rsidRDefault="00CC0084">
                            <w:pPr>
                              <w:jc w:val="right"/>
                              <w:textDirection w:val="btLr"/>
                            </w:pPr>
                            <w:r>
                              <w:rPr>
                                <w:color w:val="002060"/>
                              </w:rPr>
                              <w:t>Cet AAP est financé par :</w:t>
                            </w:r>
                          </w:p>
                        </w:txbxContent>
                      </wps:txbx>
                      <wps:bodyPr spcFirstLastPara="1" wrap="square" lIns="91425" tIns="45700" rIns="91425" bIns="45700" anchor="ctr" anchorCtr="0">
                        <a:noAutofit/>
                      </wps:bodyPr>
                    </wps:wsp>
                  </a:graphicData>
                </a:graphic>
              </wp:anchor>
            </w:drawing>
          </mc:Choice>
          <mc:Fallback>
            <w:pict>
              <v:rect w14:anchorId="2C6261FF" id="Rectangle 14" o:spid="_x0000_s1027" style="position:absolute;left:0;text-align:left;margin-left:53pt;margin-top:52pt;width:139.7pt;height:5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" filled="f" stroked="f">
                <v:textbox inset="2.53958mm,1.2694mm,2.53958mm,1.2694mm">
                  <w:txbxContent>
                    <w:p w14:paraId="4D6DE3AE" w14:textId="77777777" w:rsidR="00EF5278" w:rsidRDefault="00CC0084">
                      <w:pPr>
                        <w:jc w:val="right"/>
                        <w:textDirection w:val="btLr"/>
                      </w:pPr>
                      <w:r>
                        <w:rPr>
                          <w:color w:val="002060"/>
                        </w:rPr>
                        <w:t>Cet AAP est financé par :</w:t>
                      </w:r>
                    </w:p>
                  </w:txbxContent>
                </v:textbox>
              </v:rect>
            </w:pict>
          </mc:Fallback>
        </mc:AlternateContent>
      </w:r>
      <w:r>
        <w:rPr>
          <w:noProof/>
        </w:rPr>
        <w:drawing>
          <wp:anchor distT="0" distB="0" distL="114300" distR="114300" simplePos="0" relativeHeight="251660288" behindDoc="0" locked="0" layoutInCell="1" hidden="0" allowOverlap="1" wp14:anchorId="65E7EC8A" wp14:editId="0D6A6252">
            <wp:simplePos x="0" y="0"/>
            <wp:positionH relativeFrom="column">
              <wp:posOffset>4923155</wp:posOffset>
            </wp:positionH>
            <wp:positionV relativeFrom="paragraph">
              <wp:posOffset>508000</wp:posOffset>
            </wp:positionV>
            <wp:extent cx="1017905" cy="1030605"/>
            <wp:effectExtent l="0" t="0" r="0" b="0"/>
            <wp:wrapSquare wrapText="bothSides" distT="0" distB="0" distL="114300" distR="114300"/>
            <wp:docPr id="18" name="image2.jpg" descr="C:\Users\briotv\AppData\Local\Temp\_PA384\\logo_RB\FR\RB_NB.jpg"/>
            <wp:cNvGraphicFramePr/>
            <a:graphic xmlns:a="http://schemas.openxmlformats.org/drawingml/2006/main">
              <a:graphicData uri="http://schemas.openxmlformats.org/drawingml/2006/picture">
                <pic:pic xmlns:pic="http://schemas.openxmlformats.org/drawingml/2006/picture">
                  <pic:nvPicPr>
                    <pic:cNvPr id="0" name="image2.jpg" descr="C:\Users\briotv\AppData\Local\Temp\_PA384\\logo_RB\FR\RB_NB.jpg"/>
                    <pic:cNvPicPr preferRelativeResize="0"/>
                  </pic:nvPicPr>
                  <pic:blipFill>
                    <a:blip r:embed="rId10"/>
                    <a:srcRect/>
                    <a:stretch>
                      <a:fillRect/>
                    </a:stretch>
                  </pic:blipFill>
                  <pic:spPr>
                    <a:xfrm>
                      <a:off x="0" y="0"/>
                      <a:ext cx="1017905" cy="103060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454AA4C0" wp14:editId="5B9F4618">
                <wp:simplePos x="0" y="0"/>
                <wp:positionH relativeFrom="column">
                  <wp:posOffset>1</wp:posOffset>
                </wp:positionH>
                <wp:positionV relativeFrom="paragraph">
                  <wp:posOffset>1803400</wp:posOffset>
                </wp:positionV>
                <wp:extent cx="2922846" cy="647065"/>
                <wp:effectExtent l="0" t="0" r="0" b="0"/>
                <wp:wrapNone/>
                <wp:docPr id="12" name="Rectangle 12"/>
                <wp:cNvGraphicFramePr/>
                <a:graphic xmlns:a="http://schemas.openxmlformats.org/drawingml/2006/main">
                  <a:graphicData uri="http://schemas.microsoft.com/office/word/2010/wordprocessingShape">
                    <wps:wsp>
                      <wps:cNvSpPr/>
                      <wps:spPr>
                        <a:xfrm>
                          <a:off x="3889340" y="3461230"/>
                          <a:ext cx="2913321" cy="637540"/>
                        </a:xfrm>
                        <a:prstGeom prst="rect">
                          <a:avLst/>
                        </a:prstGeom>
                        <a:noFill/>
                        <a:ln>
                          <a:noFill/>
                        </a:ln>
                      </wps:spPr>
                      <wps:txbx>
                        <w:txbxContent>
                          <w:p w14:paraId="149B8578" w14:textId="77777777" w:rsidR="00EF5278" w:rsidRDefault="00CC0084">
                            <w:pPr>
                              <w:jc w:val="right"/>
                              <w:textDirection w:val="btLr"/>
                            </w:pPr>
                            <w:r>
                              <w:rPr>
                                <w:color w:val="002060"/>
                              </w:rPr>
                              <w:t>En partenariat avec l’association :</w:t>
                            </w:r>
                          </w:p>
                        </w:txbxContent>
                      </wps:txbx>
                      <wps:bodyPr spcFirstLastPara="1" wrap="square" lIns="91425" tIns="45700" rIns="91425" bIns="45700" anchor="ctr" anchorCtr="0">
                        <a:noAutofit/>
                      </wps:bodyPr>
                    </wps:wsp>
                  </a:graphicData>
                </a:graphic>
              </wp:anchor>
            </w:drawing>
          </mc:Choice>
          <mc:Fallback>
            <w:pict>
              <v:rect w14:anchorId="454AA4C0" id="Rectangle 12" o:spid="_x0000_s1028" style="position:absolute;left:0;text-align:left;margin-left:0;margin-top:142pt;width:230.15pt;height:50.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" filled="f" stroked="f">
                <v:textbox inset="2.53958mm,1.2694mm,2.53958mm,1.2694mm">
                  <w:txbxContent>
                    <w:p w14:paraId="149B8578" w14:textId="77777777" w:rsidR="00EF5278" w:rsidRDefault="00CC0084">
                      <w:pPr>
                        <w:jc w:val="right"/>
                        <w:textDirection w:val="btLr"/>
                      </w:pPr>
                      <w:r>
                        <w:rPr>
                          <w:color w:val="002060"/>
                        </w:rPr>
                        <w:t>En partenariat avec l’association :</w:t>
                      </w:r>
                    </w:p>
                  </w:txbxContent>
                </v:textbox>
              </v:rect>
            </w:pict>
          </mc:Fallback>
        </mc:AlternateContent>
      </w:r>
      <w:r>
        <w:rPr>
          <w:noProof/>
        </w:rPr>
        <w:drawing>
          <wp:anchor distT="0" distB="0" distL="114300" distR="114300" simplePos="0" relativeHeight="251662336" behindDoc="0" locked="0" layoutInCell="1" hidden="0" allowOverlap="1" wp14:anchorId="0850F996" wp14:editId="2583B46E">
            <wp:simplePos x="0" y="0"/>
            <wp:positionH relativeFrom="column">
              <wp:posOffset>2999592</wp:posOffset>
            </wp:positionH>
            <wp:positionV relativeFrom="paragraph">
              <wp:posOffset>1797463</wp:posOffset>
            </wp:positionV>
            <wp:extent cx="736280" cy="786809"/>
            <wp:effectExtent l="0" t="0" r="0" b="0"/>
            <wp:wrapSquare wrapText="bothSides" distT="0" distB="0" distL="114300" distR="114300"/>
            <wp:docPr id="17" name="image3.jpg" descr="logo_AILE_2017.jpg"/>
            <wp:cNvGraphicFramePr/>
            <a:graphic xmlns:a="http://schemas.openxmlformats.org/drawingml/2006/main">
              <a:graphicData uri="http://schemas.openxmlformats.org/drawingml/2006/picture">
                <pic:pic xmlns:pic="http://schemas.openxmlformats.org/drawingml/2006/picture">
                  <pic:nvPicPr>
                    <pic:cNvPr id="0" name="image3.jpg" descr="logo_AILE_2017.jpg"/>
                    <pic:cNvPicPr preferRelativeResize="0"/>
                  </pic:nvPicPr>
                  <pic:blipFill>
                    <a:blip r:embed="rId11"/>
                    <a:srcRect/>
                    <a:stretch>
                      <a:fillRect/>
                    </a:stretch>
                  </pic:blipFill>
                  <pic:spPr>
                    <a:xfrm>
                      <a:off x="0" y="0"/>
                      <a:ext cx="736280" cy="786809"/>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48AD97A2" wp14:editId="469EFA1E">
            <wp:simplePos x="0" y="0"/>
            <wp:positionH relativeFrom="column">
              <wp:posOffset>2573735</wp:posOffset>
            </wp:positionH>
            <wp:positionV relativeFrom="paragraph">
              <wp:posOffset>518736</wp:posOffset>
            </wp:positionV>
            <wp:extent cx="2002943" cy="1023093"/>
            <wp:effectExtent l="0" t="0" r="0" b="0"/>
            <wp:wrapNone/>
            <wp:docPr id="19" name="image1.jpg" descr="C:\Users\mollaretme\AppData\Local\Microsoft\Windows\INetCache\Content.Word\Endossement_RVB-PACKOFFICE_2895x1478px.jpg"/>
            <wp:cNvGraphicFramePr/>
            <a:graphic xmlns:a="http://schemas.openxmlformats.org/drawingml/2006/main">
              <a:graphicData uri="http://schemas.openxmlformats.org/drawingml/2006/picture">
                <pic:pic xmlns:pic="http://schemas.openxmlformats.org/drawingml/2006/picture">
                  <pic:nvPicPr>
                    <pic:cNvPr id="0" name="image1.jpg" descr="C:\Users\mollaretme\AppData\Local\Microsoft\Windows\INetCache\Content.Word\Endossement_RVB-PACKOFFICE_2895x1478px.jpg"/>
                    <pic:cNvPicPr preferRelativeResize="0"/>
                  </pic:nvPicPr>
                  <pic:blipFill>
                    <a:blip r:embed="rId12"/>
                    <a:srcRect/>
                    <a:stretch>
                      <a:fillRect/>
                    </a:stretch>
                  </pic:blipFill>
                  <pic:spPr>
                    <a:xfrm>
                      <a:off x="0" y="0"/>
                      <a:ext cx="2002943" cy="1023093"/>
                    </a:xfrm>
                    <a:prstGeom prst="rect">
                      <a:avLst/>
                    </a:prstGeom>
                    <a:ln/>
                  </pic:spPr>
                </pic:pic>
              </a:graphicData>
            </a:graphic>
          </wp:anchor>
        </w:drawing>
      </w:r>
    </w:p>
    <w:p w14:paraId="00000018" w14:textId="77777777" w:rsidR="00EF5278" w:rsidRDefault="00CC0084">
      <w:pPr>
        <w:pStyle w:val="Titre2"/>
        <w:shd w:val="clear" w:color="auto" w:fill="002060"/>
        <w:ind w:firstLine="0"/>
      </w:pPr>
      <w:bookmarkStart w:id="0" w:name="_heading=h.gjdgxs" w:colFirst="0" w:colLast="0"/>
      <w:bookmarkEnd w:id="0"/>
      <w:r>
        <w:lastRenderedPageBreak/>
        <w:t>SOMMAIRE</w:t>
      </w:r>
    </w:p>
    <w:p w14:paraId="00000019" w14:textId="77777777" w:rsidR="00EF5278" w:rsidRDefault="00EF5278">
      <w:pPr>
        <w:spacing w:after="160" w:line="259" w:lineRule="auto"/>
        <w:jc w:val="left"/>
      </w:pPr>
    </w:p>
    <w:p w14:paraId="0000001A" w14:textId="77777777" w:rsidR="00EF5278" w:rsidRDefault="00CC0084">
      <w:pPr>
        <w:keepNext/>
        <w:keepLines/>
        <w:pBdr>
          <w:top w:val="nil"/>
          <w:left w:val="nil"/>
          <w:bottom w:val="nil"/>
          <w:right w:val="nil"/>
          <w:between w:val="nil"/>
        </w:pBdr>
        <w:spacing w:before="240" w:line="259" w:lineRule="auto"/>
        <w:jc w:val="left"/>
        <w:rPr>
          <w:color w:val="2E75B5"/>
          <w:sz w:val="32"/>
          <w:szCs w:val="32"/>
        </w:rPr>
      </w:pPr>
      <w:r>
        <w:rPr>
          <w:color w:val="2E75B5"/>
          <w:sz w:val="32"/>
          <w:szCs w:val="32"/>
        </w:rPr>
        <w:t>Table des matières</w:t>
      </w:r>
    </w:p>
    <w:sdt>
      <w:sdtPr>
        <w:id w:val="936336776"/>
        <w:docPartObj>
          <w:docPartGallery w:val="Table of Contents"/>
          <w:docPartUnique/>
        </w:docPartObj>
      </w:sdtPr>
      <w:sdtEndPr/>
      <w:sdtContent>
        <w:p w14:paraId="0000001B" w14:textId="77777777" w:rsidR="00EF5278" w:rsidRDefault="00CC0084">
          <w:pPr>
            <w:pBdr>
              <w:top w:val="nil"/>
              <w:left w:val="nil"/>
              <w:bottom w:val="nil"/>
              <w:right w:val="nil"/>
              <w:between w:val="nil"/>
            </w:pBdr>
            <w:tabs>
              <w:tab w:val="right" w:pos="9346"/>
            </w:tabs>
            <w:spacing w:after="100"/>
            <w:ind w:left="200"/>
            <w:rPr>
              <w:color w:val="000000"/>
              <w:sz w:val="22"/>
              <w:szCs w:val="22"/>
            </w:rPr>
          </w:pPr>
          <w:r>
            <w:fldChar w:fldCharType="begin"/>
          </w:r>
          <w:r>
            <w:instrText xml:space="preserve"> TOC \h \u \z \t "Heading 1,1,Heading 2,2,Heading 3,3,"</w:instrText>
          </w:r>
          <w:r>
            <w:fldChar w:fldCharType="separate"/>
          </w:r>
          <w:hyperlink w:anchor="_heading=h.gjdgxs">
            <w:r>
              <w:rPr>
                <w:color w:val="000000"/>
              </w:rPr>
              <w:t>SOMMAIRE</w:t>
            </w:r>
            <w:r>
              <w:rPr>
                <w:color w:val="000000"/>
              </w:rPr>
              <w:tab/>
              <w:t>2</w:t>
            </w:r>
          </w:hyperlink>
        </w:p>
        <w:p w14:paraId="0000001C" w14:textId="77777777" w:rsidR="00EF5278" w:rsidRDefault="001153E9">
          <w:pPr>
            <w:pBdr>
              <w:top w:val="nil"/>
              <w:left w:val="nil"/>
              <w:bottom w:val="nil"/>
              <w:right w:val="nil"/>
              <w:between w:val="nil"/>
            </w:pBdr>
            <w:tabs>
              <w:tab w:val="left" w:pos="660"/>
              <w:tab w:val="right" w:pos="9346"/>
            </w:tabs>
            <w:spacing w:after="100"/>
            <w:ind w:left="200"/>
            <w:rPr>
              <w:color w:val="000000"/>
              <w:sz w:val="22"/>
              <w:szCs w:val="22"/>
            </w:rPr>
          </w:pPr>
          <w:hyperlink w:anchor="_heading=h.30j0zll">
            <w:r w:rsidR="00CC0084">
              <w:rPr>
                <w:color w:val="000000"/>
              </w:rPr>
              <w:t>A.</w:t>
            </w:r>
          </w:hyperlink>
          <w:hyperlink w:anchor="_heading=h.30j0zll">
            <w:r w:rsidR="00CC0084">
              <w:rPr>
                <w:color w:val="000000"/>
                <w:sz w:val="22"/>
                <w:szCs w:val="22"/>
              </w:rPr>
              <w:tab/>
            </w:r>
          </w:hyperlink>
          <w:r w:rsidR="00CC0084">
            <w:fldChar w:fldCharType="begin"/>
          </w:r>
          <w:r w:rsidR="00CC0084">
            <w:instrText xml:space="preserve"> PAGEREF _heading=h.30j0zll \h </w:instrText>
          </w:r>
          <w:r w:rsidR="00CC0084">
            <w:fldChar w:fldCharType="separate"/>
          </w:r>
          <w:r w:rsidR="00CC0084">
            <w:rPr>
              <w:color w:val="000000"/>
            </w:rPr>
            <w:t>Préambule</w:t>
          </w:r>
          <w:r w:rsidR="00CC0084">
            <w:rPr>
              <w:color w:val="000000"/>
            </w:rPr>
            <w:tab/>
            <w:t>3</w:t>
          </w:r>
          <w:r w:rsidR="00CC0084">
            <w:fldChar w:fldCharType="end"/>
          </w:r>
        </w:p>
        <w:p w14:paraId="0000001D" w14:textId="77777777" w:rsidR="00EF5278" w:rsidRDefault="001153E9">
          <w:pPr>
            <w:pBdr>
              <w:top w:val="nil"/>
              <w:left w:val="nil"/>
              <w:bottom w:val="nil"/>
              <w:right w:val="nil"/>
              <w:between w:val="nil"/>
            </w:pBdr>
            <w:tabs>
              <w:tab w:val="left" w:pos="660"/>
              <w:tab w:val="right" w:pos="9346"/>
            </w:tabs>
            <w:spacing w:after="100"/>
            <w:ind w:left="200"/>
            <w:rPr>
              <w:color w:val="000000"/>
              <w:sz w:val="22"/>
              <w:szCs w:val="22"/>
            </w:rPr>
          </w:pPr>
          <w:hyperlink w:anchor="_heading=h.3znysh7">
            <w:r w:rsidR="00CC0084">
              <w:rPr>
                <w:color w:val="000000"/>
              </w:rPr>
              <w:t>B.</w:t>
            </w:r>
          </w:hyperlink>
          <w:hyperlink w:anchor="_heading=h.3znysh7">
            <w:r w:rsidR="00CC0084">
              <w:rPr>
                <w:color w:val="000000"/>
                <w:sz w:val="22"/>
                <w:szCs w:val="22"/>
              </w:rPr>
              <w:tab/>
            </w:r>
          </w:hyperlink>
          <w:r w:rsidR="00CC0084">
            <w:fldChar w:fldCharType="begin"/>
          </w:r>
          <w:r w:rsidR="00CC0084">
            <w:instrText xml:space="preserve"> PAGEREF _heading=h.3znysh7 \h </w:instrText>
          </w:r>
          <w:r w:rsidR="00CC0084">
            <w:fldChar w:fldCharType="separate"/>
          </w:r>
          <w:r w:rsidR="00CC0084">
            <w:rPr>
              <w:color w:val="000000"/>
            </w:rPr>
            <w:t>Objet de l’appel à projets</w:t>
          </w:r>
          <w:r w:rsidR="00CC0084">
            <w:rPr>
              <w:color w:val="000000"/>
            </w:rPr>
            <w:tab/>
            <w:t>3</w:t>
          </w:r>
          <w:r w:rsidR="00CC0084">
            <w:fldChar w:fldCharType="end"/>
          </w:r>
        </w:p>
        <w:p w14:paraId="0000001E" w14:textId="77777777" w:rsidR="00EF5278" w:rsidRDefault="001153E9">
          <w:pPr>
            <w:pBdr>
              <w:top w:val="nil"/>
              <w:left w:val="nil"/>
              <w:bottom w:val="nil"/>
              <w:right w:val="nil"/>
              <w:between w:val="nil"/>
            </w:pBdr>
            <w:tabs>
              <w:tab w:val="left" w:pos="880"/>
              <w:tab w:val="right" w:pos="9346"/>
            </w:tabs>
            <w:spacing w:after="100"/>
            <w:ind w:left="400"/>
            <w:rPr>
              <w:color w:val="000000"/>
              <w:sz w:val="22"/>
              <w:szCs w:val="22"/>
            </w:rPr>
          </w:pPr>
          <w:hyperlink w:anchor="_heading=h.2et92p0">
            <w:r w:rsidR="00CC0084">
              <w:rPr>
                <w:color w:val="000000"/>
              </w:rPr>
              <w:t>1.</w:t>
            </w:r>
          </w:hyperlink>
          <w:hyperlink w:anchor="_heading=h.2et92p0">
            <w:r w:rsidR="00CC0084">
              <w:rPr>
                <w:color w:val="000000"/>
                <w:sz w:val="22"/>
                <w:szCs w:val="22"/>
              </w:rPr>
              <w:tab/>
            </w:r>
          </w:hyperlink>
          <w:r w:rsidR="00CC0084">
            <w:fldChar w:fldCharType="begin"/>
          </w:r>
          <w:r w:rsidR="00CC0084">
            <w:instrText xml:space="preserve"> PAGEREF _heading=h.2et92p0 \h </w:instrText>
          </w:r>
          <w:r w:rsidR="00CC0084">
            <w:fldChar w:fldCharType="separate"/>
          </w:r>
          <w:r w:rsidR="00CC0084">
            <w:rPr>
              <w:color w:val="000000"/>
            </w:rPr>
            <w:t>Champ d’intervention</w:t>
          </w:r>
          <w:r w:rsidR="00CC0084">
            <w:rPr>
              <w:color w:val="000000"/>
            </w:rPr>
            <w:tab/>
            <w:t>3</w:t>
          </w:r>
          <w:r w:rsidR="00CC0084">
            <w:fldChar w:fldCharType="end"/>
          </w:r>
        </w:p>
        <w:p w14:paraId="0000001F" w14:textId="77777777" w:rsidR="00EF5278" w:rsidRDefault="001153E9">
          <w:pPr>
            <w:pBdr>
              <w:top w:val="nil"/>
              <w:left w:val="nil"/>
              <w:bottom w:val="nil"/>
              <w:right w:val="nil"/>
              <w:between w:val="nil"/>
            </w:pBdr>
            <w:tabs>
              <w:tab w:val="left" w:pos="880"/>
              <w:tab w:val="right" w:pos="9346"/>
            </w:tabs>
            <w:spacing w:after="100"/>
            <w:ind w:left="400"/>
            <w:rPr>
              <w:color w:val="000000"/>
              <w:sz w:val="22"/>
              <w:szCs w:val="22"/>
            </w:rPr>
          </w:pPr>
          <w:hyperlink w:anchor="_heading=h.tyjcwt">
            <w:r w:rsidR="00CC0084">
              <w:rPr>
                <w:color w:val="000000"/>
              </w:rPr>
              <w:t>2.</w:t>
            </w:r>
          </w:hyperlink>
          <w:hyperlink w:anchor="_heading=h.tyjcwt">
            <w:r w:rsidR="00CC0084">
              <w:rPr>
                <w:color w:val="000000"/>
                <w:sz w:val="22"/>
                <w:szCs w:val="22"/>
              </w:rPr>
              <w:tab/>
            </w:r>
          </w:hyperlink>
          <w:r w:rsidR="00CC0084">
            <w:fldChar w:fldCharType="begin"/>
          </w:r>
          <w:r w:rsidR="00CC0084">
            <w:instrText xml:space="preserve"> PAGEREF _heading=h.tyjcwt \h </w:instrText>
          </w:r>
          <w:r w:rsidR="00CC0084">
            <w:fldChar w:fldCharType="separate"/>
          </w:r>
          <w:r w:rsidR="00CC0084">
            <w:rPr>
              <w:color w:val="000000"/>
            </w:rPr>
            <w:t>Structuration de l’appel à projets</w:t>
          </w:r>
          <w:r w:rsidR="00CC0084">
            <w:rPr>
              <w:color w:val="000000"/>
            </w:rPr>
            <w:tab/>
            <w:t>4</w:t>
          </w:r>
          <w:r w:rsidR="00CC0084">
            <w:fldChar w:fldCharType="end"/>
          </w:r>
        </w:p>
        <w:p w14:paraId="00000020" w14:textId="77777777" w:rsidR="00EF5278" w:rsidRDefault="001153E9">
          <w:pPr>
            <w:pBdr>
              <w:top w:val="nil"/>
              <w:left w:val="nil"/>
              <w:bottom w:val="nil"/>
              <w:right w:val="nil"/>
              <w:between w:val="nil"/>
            </w:pBdr>
            <w:tabs>
              <w:tab w:val="left" w:pos="880"/>
              <w:tab w:val="right" w:pos="9346"/>
            </w:tabs>
            <w:spacing w:after="100"/>
            <w:ind w:left="400"/>
            <w:rPr>
              <w:color w:val="000000"/>
              <w:sz w:val="22"/>
              <w:szCs w:val="22"/>
            </w:rPr>
          </w:pPr>
          <w:hyperlink w:anchor="_heading=h.3dy6vkm">
            <w:r w:rsidR="00CC0084">
              <w:rPr>
                <w:color w:val="000000"/>
              </w:rPr>
              <w:t>3.</w:t>
            </w:r>
          </w:hyperlink>
          <w:hyperlink w:anchor="_heading=h.3dy6vkm">
            <w:r w:rsidR="00CC0084">
              <w:rPr>
                <w:color w:val="000000"/>
                <w:sz w:val="22"/>
                <w:szCs w:val="22"/>
              </w:rPr>
              <w:tab/>
            </w:r>
          </w:hyperlink>
          <w:r w:rsidR="00CC0084">
            <w:fldChar w:fldCharType="begin"/>
          </w:r>
          <w:r w:rsidR="00CC0084">
            <w:instrText xml:space="preserve"> PAGEREF _heading=h.3dy6vkm \h </w:instrText>
          </w:r>
          <w:r w:rsidR="00CC0084">
            <w:fldChar w:fldCharType="separate"/>
          </w:r>
          <w:r w:rsidR="00CC0084">
            <w:rPr>
              <w:color w:val="000000"/>
            </w:rPr>
            <w:t>Maîtres d’ouvrages éligibles</w:t>
          </w:r>
          <w:r w:rsidR="00CC0084">
            <w:rPr>
              <w:color w:val="000000"/>
            </w:rPr>
            <w:tab/>
            <w:t>5</w:t>
          </w:r>
          <w:r w:rsidR="00CC0084">
            <w:fldChar w:fldCharType="end"/>
          </w:r>
        </w:p>
        <w:p w14:paraId="00000021" w14:textId="77777777" w:rsidR="00EF5278" w:rsidRDefault="001153E9">
          <w:pPr>
            <w:pBdr>
              <w:top w:val="nil"/>
              <w:left w:val="nil"/>
              <w:bottom w:val="nil"/>
              <w:right w:val="nil"/>
              <w:between w:val="nil"/>
            </w:pBdr>
            <w:tabs>
              <w:tab w:val="left" w:pos="880"/>
              <w:tab w:val="right" w:pos="9346"/>
            </w:tabs>
            <w:spacing w:after="100"/>
            <w:ind w:left="400"/>
            <w:rPr>
              <w:color w:val="000000"/>
              <w:sz w:val="22"/>
              <w:szCs w:val="22"/>
            </w:rPr>
          </w:pPr>
          <w:hyperlink w:anchor="_heading=h.1t3h5sf">
            <w:r w:rsidR="00CC0084">
              <w:rPr>
                <w:color w:val="000000"/>
              </w:rPr>
              <w:t>4.</w:t>
            </w:r>
          </w:hyperlink>
          <w:hyperlink w:anchor="_heading=h.1t3h5sf">
            <w:r w:rsidR="00CC0084">
              <w:rPr>
                <w:color w:val="000000"/>
                <w:sz w:val="22"/>
                <w:szCs w:val="22"/>
              </w:rPr>
              <w:tab/>
            </w:r>
          </w:hyperlink>
          <w:r w:rsidR="00CC0084">
            <w:fldChar w:fldCharType="begin"/>
          </w:r>
          <w:r w:rsidR="00CC0084">
            <w:instrText xml:space="preserve"> PAGEREF _heading=h.1t3h5sf \h </w:instrText>
          </w:r>
          <w:r w:rsidR="00CC0084">
            <w:fldChar w:fldCharType="separate"/>
          </w:r>
          <w:r w:rsidR="00CC0084">
            <w:rPr>
              <w:color w:val="000000"/>
            </w:rPr>
            <w:t>Déchets ciblés</w:t>
          </w:r>
          <w:r w:rsidR="00CC0084">
            <w:rPr>
              <w:color w:val="000000"/>
            </w:rPr>
            <w:tab/>
            <w:t>5</w:t>
          </w:r>
          <w:r w:rsidR="00CC0084">
            <w:fldChar w:fldCharType="end"/>
          </w:r>
        </w:p>
        <w:p w14:paraId="00000022" w14:textId="77777777" w:rsidR="00EF5278" w:rsidRDefault="001153E9">
          <w:pPr>
            <w:pBdr>
              <w:top w:val="nil"/>
              <w:left w:val="nil"/>
              <w:bottom w:val="nil"/>
              <w:right w:val="nil"/>
              <w:between w:val="nil"/>
            </w:pBdr>
            <w:tabs>
              <w:tab w:val="left" w:pos="660"/>
              <w:tab w:val="right" w:pos="9346"/>
            </w:tabs>
            <w:spacing w:after="100"/>
            <w:ind w:left="200"/>
            <w:rPr>
              <w:color w:val="000000"/>
              <w:sz w:val="22"/>
              <w:szCs w:val="22"/>
            </w:rPr>
          </w:pPr>
          <w:hyperlink w:anchor="_heading=h.4d34og8">
            <w:r w:rsidR="00CC0084">
              <w:rPr>
                <w:color w:val="000000"/>
              </w:rPr>
              <w:t>C.</w:t>
            </w:r>
          </w:hyperlink>
          <w:hyperlink w:anchor="_heading=h.4d34og8">
            <w:r w:rsidR="00CC0084">
              <w:rPr>
                <w:color w:val="000000"/>
                <w:sz w:val="22"/>
                <w:szCs w:val="22"/>
              </w:rPr>
              <w:tab/>
            </w:r>
          </w:hyperlink>
          <w:r w:rsidR="00CC0084">
            <w:fldChar w:fldCharType="begin"/>
          </w:r>
          <w:r w:rsidR="00CC0084">
            <w:instrText xml:space="preserve"> PAGEREF _heading=h.4d34og8 \h </w:instrText>
          </w:r>
          <w:r w:rsidR="00CC0084">
            <w:fldChar w:fldCharType="separate"/>
          </w:r>
          <w:r w:rsidR="00CC0084">
            <w:rPr>
              <w:color w:val="000000"/>
            </w:rPr>
            <w:t>Modalités de candidature</w:t>
          </w:r>
          <w:r w:rsidR="00CC0084">
            <w:rPr>
              <w:color w:val="000000"/>
            </w:rPr>
            <w:tab/>
            <w:t>5</w:t>
          </w:r>
          <w:r w:rsidR="00CC0084">
            <w:fldChar w:fldCharType="end"/>
          </w:r>
        </w:p>
        <w:p w14:paraId="00000023" w14:textId="77777777" w:rsidR="00EF5278" w:rsidRDefault="001153E9">
          <w:pPr>
            <w:pBdr>
              <w:top w:val="nil"/>
              <w:left w:val="nil"/>
              <w:bottom w:val="nil"/>
              <w:right w:val="nil"/>
              <w:between w:val="nil"/>
            </w:pBdr>
            <w:tabs>
              <w:tab w:val="left" w:pos="880"/>
              <w:tab w:val="right" w:pos="9346"/>
            </w:tabs>
            <w:spacing w:after="100"/>
            <w:ind w:left="400"/>
            <w:rPr>
              <w:color w:val="000000"/>
              <w:sz w:val="22"/>
              <w:szCs w:val="22"/>
            </w:rPr>
          </w:pPr>
          <w:hyperlink w:anchor="_heading=h.2s8eyo1">
            <w:r w:rsidR="00CC0084">
              <w:rPr>
                <w:color w:val="000000"/>
              </w:rPr>
              <w:t>1.</w:t>
            </w:r>
          </w:hyperlink>
          <w:hyperlink w:anchor="_heading=h.2s8eyo1">
            <w:r w:rsidR="00CC0084">
              <w:rPr>
                <w:color w:val="000000"/>
                <w:sz w:val="22"/>
                <w:szCs w:val="22"/>
              </w:rPr>
              <w:tab/>
            </w:r>
          </w:hyperlink>
          <w:r w:rsidR="00CC0084">
            <w:fldChar w:fldCharType="begin"/>
          </w:r>
          <w:r w:rsidR="00CC0084">
            <w:instrText xml:space="preserve"> PAGEREF _heading=h.2s8eyo1 \h </w:instrText>
          </w:r>
          <w:r w:rsidR="00CC0084">
            <w:fldChar w:fldCharType="separate"/>
          </w:r>
          <w:r w:rsidR="00CC0084">
            <w:rPr>
              <w:color w:val="000000"/>
            </w:rPr>
            <w:t>Dossier de demande de subvention</w:t>
          </w:r>
          <w:r w:rsidR="00CC0084">
            <w:rPr>
              <w:color w:val="000000"/>
            </w:rPr>
            <w:tab/>
            <w:t>5</w:t>
          </w:r>
          <w:r w:rsidR="00CC0084">
            <w:fldChar w:fldCharType="end"/>
          </w:r>
        </w:p>
        <w:p w14:paraId="00000024" w14:textId="77777777" w:rsidR="00EF5278" w:rsidRDefault="001153E9">
          <w:pPr>
            <w:pBdr>
              <w:top w:val="nil"/>
              <w:left w:val="nil"/>
              <w:bottom w:val="nil"/>
              <w:right w:val="nil"/>
              <w:between w:val="nil"/>
            </w:pBdr>
            <w:tabs>
              <w:tab w:val="left" w:pos="880"/>
              <w:tab w:val="right" w:pos="9346"/>
            </w:tabs>
            <w:spacing w:after="100"/>
            <w:ind w:left="400"/>
            <w:rPr>
              <w:color w:val="000000"/>
              <w:sz w:val="22"/>
              <w:szCs w:val="22"/>
            </w:rPr>
          </w:pPr>
          <w:hyperlink w:anchor="_heading=h.17dp8vu">
            <w:r w:rsidR="00CC0084">
              <w:rPr>
                <w:color w:val="000000"/>
              </w:rPr>
              <w:t>2.</w:t>
            </w:r>
          </w:hyperlink>
          <w:hyperlink w:anchor="_heading=h.17dp8vu">
            <w:r w:rsidR="00CC0084">
              <w:rPr>
                <w:color w:val="000000"/>
                <w:sz w:val="22"/>
                <w:szCs w:val="22"/>
              </w:rPr>
              <w:tab/>
            </w:r>
          </w:hyperlink>
          <w:r w:rsidR="00CC0084">
            <w:fldChar w:fldCharType="begin"/>
          </w:r>
          <w:r w:rsidR="00CC0084">
            <w:instrText xml:space="preserve"> PAGEREF _heading=h.17dp8vu \h </w:instrText>
          </w:r>
          <w:r w:rsidR="00CC0084">
            <w:fldChar w:fldCharType="separate"/>
          </w:r>
          <w:r w:rsidR="00CC0084">
            <w:rPr>
              <w:color w:val="000000"/>
            </w:rPr>
            <w:t>Eligibilité des dépenses</w:t>
          </w:r>
          <w:r w:rsidR="00CC0084">
            <w:rPr>
              <w:color w:val="000000"/>
            </w:rPr>
            <w:tab/>
            <w:t>6</w:t>
          </w:r>
          <w:r w:rsidR="00CC0084">
            <w:fldChar w:fldCharType="end"/>
          </w:r>
        </w:p>
        <w:p w14:paraId="00000025" w14:textId="77777777" w:rsidR="00EF5278" w:rsidRDefault="001153E9">
          <w:pPr>
            <w:pBdr>
              <w:top w:val="nil"/>
              <w:left w:val="nil"/>
              <w:bottom w:val="nil"/>
              <w:right w:val="nil"/>
              <w:between w:val="nil"/>
            </w:pBdr>
            <w:tabs>
              <w:tab w:val="left" w:pos="880"/>
              <w:tab w:val="right" w:pos="9346"/>
            </w:tabs>
            <w:spacing w:after="100"/>
            <w:ind w:left="400"/>
            <w:rPr>
              <w:color w:val="000000"/>
              <w:sz w:val="22"/>
              <w:szCs w:val="22"/>
            </w:rPr>
          </w:pPr>
          <w:hyperlink w:anchor="_heading=h.3rdcrjn">
            <w:r w:rsidR="00CC0084">
              <w:rPr>
                <w:color w:val="000000"/>
              </w:rPr>
              <w:t>3.</w:t>
            </w:r>
          </w:hyperlink>
          <w:hyperlink w:anchor="_heading=h.3rdcrjn">
            <w:r w:rsidR="00CC0084">
              <w:rPr>
                <w:color w:val="000000"/>
                <w:sz w:val="22"/>
                <w:szCs w:val="22"/>
              </w:rPr>
              <w:tab/>
            </w:r>
          </w:hyperlink>
          <w:r w:rsidR="00CC0084">
            <w:fldChar w:fldCharType="begin"/>
          </w:r>
          <w:r w:rsidR="00CC0084">
            <w:instrText xml:space="preserve"> PAGEREF _heading=h.3rdcrjn \h </w:instrText>
          </w:r>
          <w:r w:rsidR="00CC0084">
            <w:fldChar w:fldCharType="separate"/>
          </w:r>
          <w:r w:rsidR="00CC0084">
            <w:rPr>
              <w:color w:val="000000"/>
            </w:rPr>
            <w:t>Modalités d’aide</w:t>
          </w:r>
          <w:r w:rsidR="00CC0084">
            <w:rPr>
              <w:color w:val="000000"/>
            </w:rPr>
            <w:tab/>
            <w:t>6</w:t>
          </w:r>
          <w:r w:rsidR="00CC0084">
            <w:fldChar w:fldCharType="end"/>
          </w:r>
        </w:p>
        <w:p w14:paraId="00000026" w14:textId="77777777" w:rsidR="00EF5278" w:rsidRDefault="001153E9">
          <w:pPr>
            <w:pBdr>
              <w:top w:val="nil"/>
              <w:left w:val="nil"/>
              <w:bottom w:val="nil"/>
              <w:right w:val="nil"/>
              <w:between w:val="nil"/>
            </w:pBdr>
            <w:tabs>
              <w:tab w:val="left" w:pos="880"/>
              <w:tab w:val="right" w:pos="9346"/>
            </w:tabs>
            <w:spacing w:after="100"/>
            <w:ind w:left="400"/>
            <w:rPr>
              <w:color w:val="000000"/>
              <w:sz w:val="22"/>
              <w:szCs w:val="22"/>
            </w:rPr>
          </w:pPr>
          <w:hyperlink w:anchor="_heading=h.26in1rg">
            <w:r w:rsidR="00CC0084">
              <w:rPr>
                <w:color w:val="000000"/>
              </w:rPr>
              <w:t>4.</w:t>
            </w:r>
          </w:hyperlink>
          <w:hyperlink w:anchor="_heading=h.26in1rg">
            <w:r w:rsidR="00CC0084">
              <w:rPr>
                <w:color w:val="000000"/>
                <w:sz w:val="22"/>
                <w:szCs w:val="22"/>
              </w:rPr>
              <w:tab/>
            </w:r>
          </w:hyperlink>
          <w:r w:rsidR="00CC0084">
            <w:fldChar w:fldCharType="begin"/>
          </w:r>
          <w:r w:rsidR="00CC0084">
            <w:instrText xml:space="preserve"> PAGEREF _heading=h.26in1rg \h </w:instrText>
          </w:r>
          <w:r w:rsidR="00CC0084">
            <w:fldChar w:fldCharType="separate"/>
          </w:r>
          <w:r w:rsidR="00CC0084">
            <w:rPr>
              <w:color w:val="000000"/>
            </w:rPr>
            <w:t>Engagement des différentes parties prenantes en cas de sélection du projet</w:t>
          </w:r>
          <w:r w:rsidR="00CC0084">
            <w:rPr>
              <w:color w:val="000000"/>
            </w:rPr>
            <w:tab/>
            <w:t>7</w:t>
          </w:r>
          <w:r w:rsidR="00CC0084">
            <w:fldChar w:fldCharType="end"/>
          </w:r>
        </w:p>
        <w:p w14:paraId="00000027" w14:textId="77777777" w:rsidR="00EF5278" w:rsidRDefault="001153E9">
          <w:pPr>
            <w:pBdr>
              <w:top w:val="nil"/>
              <w:left w:val="nil"/>
              <w:bottom w:val="nil"/>
              <w:right w:val="nil"/>
              <w:between w:val="nil"/>
            </w:pBdr>
            <w:tabs>
              <w:tab w:val="left" w:pos="660"/>
              <w:tab w:val="right" w:pos="9346"/>
            </w:tabs>
            <w:spacing w:after="100"/>
            <w:ind w:left="200"/>
            <w:rPr>
              <w:color w:val="000000"/>
              <w:sz w:val="22"/>
              <w:szCs w:val="22"/>
            </w:rPr>
          </w:pPr>
          <w:hyperlink w:anchor="_heading=h.lnxbz9">
            <w:r w:rsidR="00CC0084">
              <w:rPr>
                <w:color w:val="000000"/>
              </w:rPr>
              <w:t>D.</w:t>
            </w:r>
          </w:hyperlink>
          <w:hyperlink w:anchor="_heading=h.lnxbz9">
            <w:r w:rsidR="00CC0084">
              <w:rPr>
                <w:color w:val="000000"/>
                <w:sz w:val="22"/>
                <w:szCs w:val="22"/>
              </w:rPr>
              <w:tab/>
            </w:r>
          </w:hyperlink>
          <w:r w:rsidR="00CC0084">
            <w:fldChar w:fldCharType="begin"/>
          </w:r>
          <w:r w:rsidR="00CC0084">
            <w:instrText xml:space="preserve"> PAGEREF _heading=h.lnxbz9 \h </w:instrText>
          </w:r>
          <w:r w:rsidR="00CC0084">
            <w:fldChar w:fldCharType="separate"/>
          </w:r>
          <w:r w:rsidR="00CC0084">
            <w:rPr>
              <w:color w:val="000000"/>
            </w:rPr>
            <w:t>Principe de sélection et accompagnement du ou des lauréats</w:t>
          </w:r>
          <w:r w:rsidR="00CC0084">
            <w:rPr>
              <w:color w:val="000000"/>
            </w:rPr>
            <w:tab/>
            <w:t>8</w:t>
          </w:r>
          <w:r w:rsidR="00CC0084">
            <w:fldChar w:fldCharType="end"/>
          </w:r>
        </w:p>
        <w:p w14:paraId="00000028" w14:textId="77777777" w:rsidR="00EF5278" w:rsidRDefault="001153E9">
          <w:pPr>
            <w:pBdr>
              <w:top w:val="nil"/>
              <w:left w:val="nil"/>
              <w:bottom w:val="nil"/>
              <w:right w:val="nil"/>
              <w:between w:val="nil"/>
            </w:pBdr>
            <w:tabs>
              <w:tab w:val="left" w:pos="880"/>
              <w:tab w:val="right" w:pos="9346"/>
            </w:tabs>
            <w:spacing w:after="100"/>
            <w:ind w:left="400"/>
            <w:rPr>
              <w:color w:val="000000"/>
              <w:sz w:val="22"/>
              <w:szCs w:val="22"/>
            </w:rPr>
          </w:pPr>
          <w:hyperlink w:anchor="_heading=h.35nkun2">
            <w:r w:rsidR="00CC0084">
              <w:rPr>
                <w:color w:val="000000"/>
              </w:rPr>
              <w:t>1.</w:t>
            </w:r>
          </w:hyperlink>
          <w:hyperlink w:anchor="_heading=h.35nkun2">
            <w:r w:rsidR="00CC0084">
              <w:rPr>
                <w:color w:val="000000"/>
                <w:sz w:val="22"/>
                <w:szCs w:val="22"/>
              </w:rPr>
              <w:tab/>
            </w:r>
          </w:hyperlink>
          <w:r w:rsidR="00CC0084">
            <w:fldChar w:fldCharType="begin"/>
          </w:r>
          <w:r w:rsidR="00CC0084">
            <w:instrText xml:space="preserve"> PAGEREF _heading=h.35nkun2 \h </w:instrText>
          </w:r>
          <w:r w:rsidR="00CC0084">
            <w:fldChar w:fldCharType="separate"/>
          </w:r>
          <w:r w:rsidR="00CC0084">
            <w:rPr>
              <w:color w:val="000000"/>
            </w:rPr>
            <w:t>Phase 1 : phase pré opérationnelle</w:t>
          </w:r>
          <w:r w:rsidR="00CC0084">
            <w:rPr>
              <w:color w:val="000000"/>
            </w:rPr>
            <w:tab/>
            <w:t>8</w:t>
          </w:r>
          <w:r w:rsidR="00CC0084">
            <w:fldChar w:fldCharType="end"/>
          </w:r>
        </w:p>
        <w:p w14:paraId="00000029" w14:textId="77777777" w:rsidR="00EF5278" w:rsidRDefault="001153E9">
          <w:pPr>
            <w:pBdr>
              <w:top w:val="nil"/>
              <w:left w:val="nil"/>
              <w:bottom w:val="nil"/>
              <w:right w:val="nil"/>
              <w:between w:val="nil"/>
            </w:pBdr>
            <w:tabs>
              <w:tab w:val="left" w:pos="880"/>
              <w:tab w:val="right" w:pos="9346"/>
            </w:tabs>
            <w:spacing w:after="100"/>
            <w:ind w:left="400"/>
            <w:rPr>
              <w:color w:val="000000"/>
              <w:sz w:val="22"/>
              <w:szCs w:val="22"/>
            </w:rPr>
          </w:pPr>
          <w:hyperlink w:anchor="_heading=h.1ksv4uv">
            <w:r w:rsidR="00CC0084">
              <w:rPr>
                <w:color w:val="000000"/>
              </w:rPr>
              <w:t>2.</w:t>
            </w:r>
          </w:hyperlink>
          <w:hyperlink w:anchor="_heading=h.1ksv4uv">
            <w:r w:rsidR="00CC0084">
              <w:rPr>
                <w:color w:val="000000"/>
                <w:sz w:val="22"/>
                <w:szCs w:val="22"/>
              </w:rPr>
              <w:tab/>
            </w:r>
          </w:hyperlink>
          <w:r w:rsidR="00CC0084">
            <w:fldChar w:fldCharType="begin"/>
          </w:r>
          <w:r w:rsidR="00CC0084">
            <w:instrText xml:space="preserve"> PAGEREF _heading=h.1ksv4uv \h </w:instrText>
          </w:r>
          <w:r w:rsidR="00CC0084">
            <w:fldChar w:fldCharType="separate"/>
          </w:r>
          <w:r w:rsidR="00CC0084">
            <w:rPr>
              <w:color w:val="000000"/>
            </w:rPr>
            <w:t>Phase 2 : phase investissement</w:t>
          </w:r>
          <w:r w:rsidR="00CC0084">
            <w:rPr>
              <w:color w:val="000000"/>
            </w:rPr>
            <w:tab/>
            <w:t>8</w:t>
          </w:r>
          <w:r w:rsidR="00CC0084">
            <w:fldChar w:fldCharType="end"/>
          </w:r>
        </w:p>
        <w:p w14:paraId="0000002A" w14:textId="77777777" w:rsidR="00EF5278" w:rsidRDefault="001153E9">
          <w:pPr>
            <w:pBdr>
              <w:top w:val="nil"/>
              <w:left w:val="nil"/>
              <w:bottom w:val="nil"/>
              <w:right w:val="nil"/>
              <w:between w:val="nil"/>
            </w:pBdr>
            <w:tabs>
              <w:tab w:val="left" w:pos="660"/>
              <w:tab w:val="right" w:pos="9346"/>
            </w:tabs>
            <w:spacing w:after="100"/>
            <w:ind w:left="200"/>
            <w:rPr>
              <w:color w:val="000000"/>
              <w:sz w:val="22"/>
              <w:szCs w:val="22"/>
            </w:rPr>
          </w:pPr>
          <w:hyperlink w:anchor="_heading=h.44sinio">
            <w:r w:rsidR="00CC0084">
              <w:rPr>
                <w:color w:val="000000"/>
              </w:rPr>
              <w:t>E.</w:t>
            </w:r>
          </w:hyperlink>
          <w:hyperlink w:anchor="_heading=h.44sinio">
            <w:r w:rsidR="00CC0084">
              <w:rPr>
                <w:color w:val="000000"/>
                <w:sz w:val="22"/>
                <w:szCs w:val="22"/>
              </w:rPr>
              <w:tab/>
            </w:r>
          </w:hyperlink>
          <w:r w:rsidR="00CC0084">
            <w:fldChar w:fldCharType="begin"/>
          </w:r>
          <w:r w:rsidR="00CC0084">
            <w:instrText xml:space="preserve"> PAGEREF _heading=h.44sinio \h </w:instrText>
          </w:r>
          <w:r w:rsidR="00CC0084">
            <w:fldChar w:fldCharType="separate"/>
          </w:r>
          <w:r w:rsidR="00CC0084">
            <w:rPr>
              <w:color w:val="000000"/>
            </w:rPr>
            <w:t>Vos contacts à l’ADEME et à la Région Bretagne</w:t>
          </w:r>
          <w:r w:rsidR="00CC0084">
            <w:rPr>
              <w:color w:val="000000"/>
            </w:rPr>
            <w:tab/>
            <w:t>10</w:t>
          </w:r>
          <w:r w:rsidR="00CC0084">
            <w:fldChar w:fldCharType="end"/>
          </w:r>
        </w:p>
        <w:p w14:paraId="0000002B" w14:textId="77777777" w:rsidR="00EF5278" w:rsidRDefault="001153E9">
          <w:pPr>
            <w:pBdr>
              <w:top w:val="nil"/>
              <w:left w:val="nil"/>
              <w:bottom w:val="nil"/>
              <w:right w:val="nil"/>
              <w:between w:val="nil"/>
            </w:pBdr>
            <w:tabs>
              <w:tab w:val="left" w:pos="284"/>
              <w:tab w:val="right" w:pos="9346"/>
            </w:tabs>
            <w:spacing w:after="100" w:line="276" w:lineRule="auto"/>
            <w:jc w:val="left"/>
            <w:rPr>
              <w:color w:val="000000"/>
              <w:sz w:val="22"/>
              <w:szCs w:val="22"/>
            </w:rPr>
          </w:pPr>
          <w:hyperlink w:anchor="_heading=h.2jxsxqh">
            <w:r w:rsidR="00CC0084">
              <w:rPr>
                <w:color w:val="000000"/>
                <w:sz w:val="22"/>
                <w:szCs w:val="22"/>
              </w:rPr>
              <w:t>ANNEXE 1 : DEFINITIONS – ELEMENTS REGLEMENTAIRES</w:t>
            </w:r>
            <w:r w:rsidR="00CC0084">
              <w:rPr>
                <w:color w:val="000000"/>
                <w:sz w:val="22"/>
                <w:szCs w:val="22"/>
              </w:rPr>
              <w:tab/>
              <w:t>11</w:t>
            </w:r>
          </w:hyperlink>
        </w:p>
        <w:p w14:paraId="0000002C" w14:textId="77777777" w:rsidR="00EF5278" w:rsidRDefault="001153E9">
          <w:pPr>
            <w:pBdr>
              <w:top w:val="nil"/>
              <w:left w:val="nil"/>
              <w:bottom w:val="nil"/>
              <w:right w:val="nil"/>
              <w:between w:val="nil"/>
            </w:pBdr>
            <w:tabs>
              <w:tab w:val="left" w:pos="660"/>
              <w:tab w:val="right" w:pos="9346"/>
            </w:tabs>
            <w:spacing w:after="100"/>
            <w:ind w:left="200"/>
            <w:rPr>
              <w:color w:val="000000"/>
              <w:sz w:val="22"/>
              <w:szCs w:val="22"/>
            </w:rPr>
          </w:pPr>
          <w:hyperlink w:anchor="_heading=h.z337ya">
            <w:r w:rsidR="00CC0084">
              <w:rPr>
                <w:color w:val="000000"/>
              </w:rPr>
              <w:t>A.</w:t>
            </w:r>
          </w:hyperlink>
          <w:hyperlink w:anchor="_heading=h.z337ya">
            <w:r w:rsidR="00CC0084">
              <w:rPr>
                <w:color w:val="000000"/>
                <w:sz w:val="22"/>
                <w:szCs w:val="22"/>
              </w:rPr>
              <w:tab/>
            </w:r>
          </w:hyperlink>
          <w:r w:rsidR="00CC0084">
            <w:fldChar w:fldCharType="begin"/>
          </w:r>
          <w:r w:rsidR="00CC0084">
            <w:instrText xml:space="preserve"> PAGEREF _heading=h.z337ya \h </w:instrText>
          </w:r>
          <w:r w:rsidR="00CC0084">
            <w:fldChar w:fldCharType="separate"/>
          </w:r>
          <w:r w:rsidR="00CC0084">
            <w:rPr>
              <w:color w:val="000000"/>
            </w:rPr>
            <w:t>Définitions</w:t>
          </w:r>
          <w:r w:rsidR="00CC0084">
            <w:rPr>
              <w:color w:val="000000"/>
            </w:rPr>
            <w:tab/>
            <w:t>11</w:t>
          </w:r>
          <w:r w:rsidR="00CC0084">
            <w:fldChar w:fldCharType="end"/>
          </w:r>
        </w:p>
        <w:p w14:paraId="0000002D" w14:textId="77777777" w:rsidR="00EF5278" w:rsidRDefault="001153E9">
          <w:pPr>
            <w:pBdr>
              <w:top w:val="nil"/>
              <w:left w:val="nil"/>
              <w:bottom w:val="nil"/>
              <w:right w:val="nil"/>
              <w:between w:val="nil"/>
            </w:pBdr>
            <w:tabs>
              <w:tab w:val="left" w:pos="880"/>
              <w:tab w:val="right" w:pos="9346"/>
            </w:tabs>
            <w:spacing w:after="100"/>
            <w:ind w:left="400"/>
            <w:rPr>
              <w:color w:val="000000"/>
              <w:sz w:val="22"/>
              <w:szCs w:val="22"/>
            </w:rPr>
          </w:pPr>
          <w:hyperlink w:anchor="_heading=h.3j2qqm3">
            <w:r w:rsidR="00CC0084">
              <w:rPr>
                <w:color w:val="000000"/>
              </w:rPr>
              <w:t>1.</w:t>
            </w:r>
          </w:hyperlink>
          <w:hyperlink w:anchor="_heading=h.3j2qqm3">
            <w:r w:rsidR="00CC0084">
              <w:rPr>
                <w:color w:val="000000"/>
                <w:sz w:val="22"/>
                <w:szCs w:val="22"/>
              </w:rPr>
              <w:tab/>
            </w:r>
          </w:hyperlink>
          <w:r w:rsidR="00CC0084">
            <w:fldChar w:fldCharType="begin"/>
          </w:r>
          <w:r w:rsidR="00CC0084">
            <w:instrText xml:space="preserve"> PAGEREF _heading=h.3j2qqm3 \h </w:instrText>
          </w:r>
          <w:r w:rsidR="00CC0084">
            <w:fldChar w:fldCharType="separate"/>
          </w:r>
          <w:r w:rsidR="00CC0084">
            <w:rPr>
              <w:color w:val="000000"/>
            </w:rPr>
            <w:t>Biodéchets</w:t>
          </w:r>
          <w:r w:rsidR="00CC0084">
            <w:rPr>
              <w:color w:val="000000"/>
            </w:rPr>
            <w:tab/>
            <w:t>11</w:t>
          </w:r>
          <w:r w:rsidR="00CC0084">
            <w:fldChar w:fldCharType="end"/>
          </w:r>
        </w:p>
        <w:p w14:paraId="0000002E" w14:textId="77777777" w:rsidR="00EF5278" w:rsidRDefault="001153E9">
          <w:pPr>
            <w:pBdr>
              <w:top w:val="nil"/>
              <w:left w:val="nil"/>
              <w:bottom w:val="nil"/>
              <w:right w:val="nil"/>
              <w:between w:val="nil"/>
            </w:pBdr>
            <w:tabs>
              <w:tab w:val="left" w:pos="880"/>
              <w:tab w:val="right" w:pos="9346"/>
            </w:tabs>
            <w:spacing w:after="100"/>
            <w:ind w:left="400"/>
            <w:rPr>
              <w:color w:val="000000"/>
              <w:sz w:val="22"/>
              <w:szCs w:val="22"/>
            </w:rPr>
          </w:pPr>
          <w:hyperlink w:anchor="_heading=h.1y810tw">
            <w:r w:rsidR="00CC0084">
              <w:rPr>
                <w:color w:val="000000"/>
              </w:rPr>
              <w:t>2.</w:t>
            </w:r>
          </w:hyperlink>
          <w:hyperlink w:anchor="_heading=h.1y810tw">
            <w:r w:rsidR="00CC0084">
              <w:rPr>
                <w:color w:val="000000"/>
                <w:sz w:val="22"/>
                <w:szCs w:val="22"/>
              </w:rPr>
              <w:tab/>
            </w:r>
          </w:hyperlink>
          <w:r w:rsidR="00CC0084">
            <w:fldChar w:fldCharType="begin"/>
          </w:r>
          <w:r w:rsidR="00CC0084">
            <w:instrText xml:space="preserve"> PAGEREF _heading=h.1y810tw \h </w:instrText>
          </w:r>
          <w:r w:rsidR="00CC0084">
            <w:fldChar w:fldCharType="separate"/>
          </w:r>
          <w:r w:rsidR="00CC0084">
            <w:rPr>
              <w:color w:val="000000"/>
            </w:rPr>
            <w:t>Sous-produits animaux de catégorie 3</w:t>
          </w:r>
          <w:r w:rsidR="00CC0084">
            <w:rPr>
              <w:color w:val="000000"/>
            </w:rPr>
            <w:tab/>
            <w:t>11</w:t>
          </w:r>
          <w:r w:rsidR="00CC0084">
            <w:fldChar w:fldCharType="end"/>
          </w:r>
        </w:p>
        <w:p w14:paraId="0000002F" w14:textId="77777777" w:rsidR="00EF5278" w:rsidRDefault="001153E9">
          <w:pPr>
            <w:pBdr>
              <w:top w:val="nil"/>
              <w:left w:val="nil"/>
              <w:bottom w:val="nil"/>
              <w:right w:val="nil"/>
              <w:between w:val="nil"/>
            </w:pBdr>
            <w:tabs>
              <w:tab w:val="left" w:pos="880"/>
              <w:tab w:val="right" w:pos="9346"/>
            </w:tabs>
            <w:spacing w:after="100"/>
            <w:ind w:left="400"/>
            <w:rPr>
              <w:color w:val="000000"/>
              <w:sz w:val="22"/>
              <w:szCs w:val="22"/>
            </w:rPr>
          </w:pPr>
          <w:hyperlink w:anchor="_heading=h.4i7ojhp">
            <w:r w:rsidR="00CC0084">
              <w:rPr>
                <w:color w:val="000000"/>
              </w:rPr>
              <w:t>3.</w:t>
            </w:r>
          </w:hyperlink>
          <w:hyperlink w:anchor="_heading=h.4i7ojhp">
            <w:r w:rsidR="00CC0084">
              <w:rPr>
                <w:color w:val="000000"/>
                <w:sz w:val="22"/>
                <w:szCs w:val="22"/>
              </w:rPr>
              <w:tab/>
            </w:r>
          </w:hyperlink>
          <w:r w:rsidR="00CC0084">
            <w:fldChar w:fldCharType="begin"/>
          </w:r>
          <w:r w:rsidR="00CC0084">
            <w:instrText xml:space="preserve"> PAGEREF _heading=h.4i7ojhp \h </w:instrText>
          </w:r>
          <w:r w:rsidR="00CC0084">
            <w:fldChar w:fldCharType="separate"/>
          </w:r>
          <w:r w:rsidR="00CC0084">
            <w:rPr>
              <w:color w:val="000000"/>
            </w:rPr>
            <w:t>Équipement de déconditionnement/déconditionneur</w:t>
          </w:r>
          <w:r w:rsidR="00CC0084">
            <w:rPr>
              <w:color w:val="000000"/>
            </w:rPr>
            <w:tab/>
            <w:t>11</w:t>
          </w:r>
          <w:r w:rsidR="00CC0084">
            <w:fldChar w:fldCharType="end"/>
          </w:r>
        </w:p>
        <w:p w14:paraId="00000030" w14:textId="77777777" w:rsidR="00EF5278" w:rsidRDefault="001153E9">
          <w:pPr>
            <w:pBdr>
              <w:top w:val="nil"/>
              <w:left w:val="nil"/>
              <w:bottom w:val="nil"/>
              <w:right w:val="nil"/>
              <w:between w:val="nil"/>
            </w:pBdr>
            <w:tabs>
              <w:tab w:val="left" w:pos="880"/>
              <w:tab w:val="right" w:pos="9346"/>
            </w:tabs>
            <w:spacing w:after="100"/>
            <w:ind w:left="400"/>
            <w:rPr>
              <w:color w:val="000000"/>
              <w:sz w:val="22"/>
              <w:szCs w:val="22"/>
            </w:rPr>
          </w:pPr>
          <w:hyperlink w:anchor="_heading=h.2xcytpi">
            <w:r w:rsidR="00CC0084">
              <w:rPr>
                <w:color w:val="000000"/>
              </w:rPr>
              <w:t>4.</w:t>
            </w:r>
          </w:hyperlink>
          <w:hyperlink w:anchor="_heading=h.2xcytpi">
            <w:r w:rsidR="00CC0084">
              <w:rPr>
                <w:color w:val="000000"/>
                <w:sz w:val="22"/>
                <w:szCs w:val="22"/>
              </w:rPr>
              <w:tab/>
            </w:r>
          </w:hyperlink>
          <w:r w:rsidR="00CC0084">
            <w:fldChar w:fldCharType="begin"/>
          </w:r>
          <w:r w:rsidR="00CC0084">
            <w:instrText xml:space="preserve"> PAGEREF _heading=h.2xcytpi \h </w:instrText>
          </w:r>
          <w:r w:rsidR="00CC0084">
            <w:fldChar w:fldCharType="separate"/>
          </w:r>
          <w:r w:rsidR="00CC0084">
            <w:rPr>
              <w:color w:val="000000"/>
            </w:rPr>
            <w:t>Hygiénisation</w:t>
          </w:r>
          <w:r w:rsidR="00CC0084">
            <w:rPr>
              <w:color w:val="000000"/>
            </w:rPr>
            <w:tab/>
            <w:t>12</w:t>
          </w:r>
          <w:r w:rsidR="00CC0084">
            <w:fldChar w:fldCharType="end"/>
          </w:r>
        </w:p>
        <w:p w14:paraId="00000031" w14:textId="77777777" w:rsidR="00EF5278" w:rsidRDefault="001153E9">
          <w:pPr>
            <w:pBdr>
              <w:top w:val="nil"/>
              <w:left w:val="nil"/>
              <w:bottom w:val="nil"/>
              <w:right w:val="nil"/>
              <w:between w:val="nil"/>
            </w:pBdr>
            <w:tabs>
              <w:tab w:val="left" w:pos="660"/>
              <w:tab w:val="right" w:pos="9346"/>
            </w:tabs>
            <w:spacing w:after="100"/>
            <w:ind w:left="200"/>
            <w:rPr>
              <w:color w:val="000000"/>
              <w:sz w:val="22"/>
              <w:szCs w:val="22"/>
            </w:rPr>
          </w:pPr>
          <w:hyperlink w:anchor="_heading=h.1ci93xb">
            <w:r w:rsidR="00CC0084">
              <w:rPr>
                <w:color w:val="000000"/>
              </w:rPr>
              <w:t>B.</w:t>
            </w:r>
          </w:hyperlink>
          <w:hyperlink w:anchor="_heading=h.1ci93xb">
            <w:r w:rsidR="00CC0084">
              <w:rPr>
                <w:color w:val="000000"/>
                <w:sz w:val="22"/>
                <w:szCs w:val="22"/>
              </w:rPr>
              <w:tab/>
            </w:r>
          </w:hyperlink>
          <w:r w:rsidR="00CC0084">
            <w:fldChar w:fldCharType="begin"/>
          </w:r>
          <w:r w:rsidR="00CC0084">
            <w:instrText xml:space="preserve"> PAGEREF _heading=h.1ci93xb \h </w:instrText>
          </w:r>
          <w:r w:rsidR="00CC0084">
            <w:fldChar w:fldCharType="separate"/>
          </w:r>
          <w:r w:rsidR="00CC0084">
            <w:rPr>
              <w:color w:val="000000"/>
            </w:rPr>
            <w:t>Réglementation</w:t>
          </w:r>
          <w:r w:rsidR="00CC0084">
            <w:rPr>
              <w:color w:val="000000"/>
            </w:rPr>
            <w:tab/>
            <w:t>13</w:t>
          </w:r>
          <w:r w:rsidR="00CC0084">
            <w:fldChar w:fldCharType="end"/>
          </w:r>
        </w:p>
        <w:p w14:paraId="00000032" w14:textId="77777777" w:rsidR="00EF5278" w:rsidRDefault="001153E9">
          <w:pPr>
            <w:pBdr>
              <w:top w:val="nil"/>
              <w:left w:val="nil"/>
              <w:bottom w:val="nil"/>
              <w:right w:val="nil"/>
              <w:between w:val="nil"/>
            </w:pBdr>
            <w:tabs>
              <w:tab w:val="left" w:pos="880"/>
              <w:tab w:val="right" w:pos="9346"/>
            </w:tabs>
            <w:spacing w:after="100"/>
            <w:ind w:left="400"/>
            <w:rPr>
              <w:color w:val="000000"/>
              <w:sz w:val="22"/>
              <w:szCs w:val="22"/>
            </w:rPr>
          </w:pPr>
          <w:hyperlink w:anchor="_heading=h.3whwml4">
            <w:r w:rsidR="00CC0084">
              <w:rPr>
                <w:color w:val="000000"/>
              </w:rPr>
              <w:t>1.</w:t>
            </w:r>
          </w:hyperlink>
          <w:hyperlink w:anchor="_heading=h.3whwml4">
            <w:r w:rsidR="00CC0084">
              <w:rPr>
                <w:color w:val="000000"/>
                <w:sz w:val="22"/>
                <w:szCs w:val="22"/>
              </w:rPr>
              <w:tab/>
            </w:r>
          </w:hyperlink>
          <w:r w:rsidR="00CC0084">
            <w:fldChar w:fldCharType="begin"/>
          </w:r>
          <w:r w:rsidR="00CC0084">
            <w:instrText xml:space="preserve"> PAGEREF _heading=h.3whwml4 \h </w:instrText>
          </w:r>
          <w:r w:rsidR="00CC0084">
            <w:fldChar w:fldCharType="separate"/>
          </w:r>
          <w:r w:rsidR="00CC0084">
            <w:rPr>
              <w:color w:val="000000"/>
            </w:rPr>
            <w:t>Les gros producteurs de biodéchets au sens du Code de l’Environnement</w:t>
          </w:r>
          <w:r w:rsidR="00CC0084">
            <w:rPr>
              <w:color w:val="000000"/>
            </w:rPr>
            <w:tab/>
            <w:t>13</w:t>
          </w:r>
          <w:r w:rsidR="00CC0084">
            <w:fldChar w:fldCharType="end"/>
          </w:r>
        </w:p>
        <w:p w14:paraId="00000033" w14:textId="77777777" w:rsidR="00EF5278" w:rsidRDefault="001153E9">
          <w:pPr>
            <w:pBdr>
              <w:top w:val="nil"/>
              <w:left w:val="nil"/>
              <w:bottom w:val="nil"/>
              <w:right w:val="nil"/>
              <w:between w:val="nil"/>
            </w:pBdr>
            <w:tabs>
              <w:tab w:val="left" w:pos="880"/>
              <w:tab w:val="right" w:pos="9346"/>
            </w:tabs>
            <w:spacing w:after="100"/>
            <w:ind w:left="400"/>
            <w:rPr>
              <w:color w:val="000000"/>
              <w:sz w:val="22"/>
              <w:szCs w:val="22"/>
            </w:rPr>
          </w:pPr>
          <w:hyperlink w:anchor="_heading=h.2bn6wsx">
            <w:r w:rsidR="00CC0084">
              <w:rPr>
                <w:color w:val="000000"/>
              </w:rPr>
              <w:t>2.</w:t>
            </w:r>
          </w:hyperlink>
          <w:hyperlink w:anchor="_heading=h.2bn6wsx">
            <w:r w:rsidR="00CC0084">
              <w:rPr>
                <w:color w:val="000000"/>
                <w:sz w:val="22"/>
                <w:szCs w:val="22"/>
              </w:rPr>
              <w:tab/>
            </w:r>
          </w:hyperlink>
          <w:r w:rsidR="00CC0084">
            <w:fldChar w:fldCharType="begin"/>
          </w:r>
          <w:r w:rsidR="00CC0084">
            <w:instrText xml:space="preserve"> PAGEREF _heading=h.2bn6wsx \h </w:instrText>
          </w:r>
          <w:r w:rsidR="00CC0084">
            <w:fldChar w:fldCharType="separate"/>
          </w:r>
          <w:r w:rsidR="00CC0084">
            <w:rPr>
              <w:color w:val="000000"/>
            </w:rPr>
            <w:t>L’agrément sanitaire</w:t>
          </w:r>
          <w:r w:rsidR="00CC0084">
            <w:rPr>
              <w:color w:val="000000"/>
            </w:rPr>
            <w:tab/>
            <w:t>13</w:t>
          </w:r>
          <w:r w:rsidR="00CC0084">
            <w:fldChar w:fldCharType="end"/>
          </w:r>
        </w:p>
        <w:p w14:paraId="00000034" w14:textId="77777777" w:rsidR="00EF5278" w:rsidRDefault="001153E9">
          <w:pPr>
            <w:pBdr>
              <w:top w:val="nil"/>
              <w:left w:val="nil"/>
              <w:bottom w:val="nil"/>
              <w:right w:val="nil"/>
              <w:between w:val="nil"/>
            </w:pBdr>
            <w:tabs>
              <w:tab w:val="left" w:pos="880"/>
              <w:tab w:val="right" w:pos="9346"/>
            </w:tabs>
            <w:spacing w:after="100"/>
            <w:ind w:left="400"/>
            <w:rPr>
              <w:color w:val="000000"/>
              <w:sz w:val="22"/>
              <w:szCs w:val="22"/>
            </w:rPr>
          </w:pPr>
          <w:hyperlink w:anchor="_heading=h.qsh70q">
            <w:r w:rsidR="00CC0084">
              <w:rPr>
                <w:color w:val="000000"/>
              </w:rPr>
              <w:t>3.</w:t>
            </w:r>
          </w:hyperlink>
          <w:hyperlink w:anchor="_heading=h.qsh70q">
            <w:r w:rsidR="00CC0084">
              <w:rPr>
                <w:color w:val="000000"/>
                <w:sz w:val="22"/>
                <w:szCs w:val="22"/>
              </w:rPr>
              <w:tab/>
            </w:r>
          </w:hyperlink>
          <w:r w:rsidR="00CC0084">
            <w:fldChar w:fldCharType="begin"/>
          </w:r>
          <w:r w:rsidR="00CC0084">
            <w:instrText xml:space="preserve"> PAGEREF _heading=h.qsh70q \h </w:instrText>
          </w:r>
          <w:r w:rsidR="00CC0084">
            <w:fldChar w:fldCharType="separate"/>
          </w:r>
          <w:r w:rsidR="00CC0084">
            <w:rPr>
              <w:color w:val="000000"/>
            </w:rPr>
            <w:t>Réglementation ICPE pour les unités de déconditionnement et le stockage « amont / aval »  de biodéchets :</w:t>
          </w:r>
          <w:r w:rsidR="00CC0084">
            <w:rPr>
              <w:color w:val="000000"/>
            </w:rPr>
            <w:tab/>
            <w:t>13</w:t>
          </w:r>
          <w:r w:rsidR="00CC0084">
            <w:fldChar w:fldCharType="end"/>
          </w:r>
        </w:p>
        <w:p w14:paraId="00000035" w14:textId="77777777" w:rsidR="00EF5278" w:rsidRDefault="001153E9">
          <w:pPr>
            <w:pBdr>
              <w:top w:val="nil"/>
              <w:left w:val="nil"/>
              <w:bottom w:val="nil"/>
              <w:right w:val="nil"/>
              <w:between w:val="nil"/>
            </w:pBdr>
            <w:tabs>
              <w:tab w:val="left" w:pos="880"/>
              <w:tab w:val="right" w:pos="9346"/>
            </w:tabs>
            <w:spacing w:after="100"/>
            <w:ind w:left="400"/>
            <w:rPr>
              <w:color w:val="000000"/>
              <w:sz w:val="22"/>
              <w:szCs w:val="22"/>
            </w:rPr>
          </w:pPr>
          <w:hyperlink w:anchor="_heading=h.3as4poj">
            <w:r w:rsidR="00CC0084">
              <w:rPr>
                <w:color w:val="000000"/>
              </w:rPr>
              <w:t>4.</w:t>
            </w:r>
          </w:hyperlink>
          <w:hyperlink w:anchor="_heading=h.3as4poj">
            <w:r w:rsidR="00CC0084">
              <w:rPr>
                <w:color w:val="000000"/>
                <w:sz w:val="22"/>
                <w:szCs w:val="22"/>
              </w:rPr>
              <w:tab/>
            </w:r>
          </w:hyperlink>
          <w:r w:rsidR="00CC0084">
            <w:fldChar w:fldCharType="begin"/>
          </w:r>
          <w:r w:rsidR="00CC0084">
            <w:instrText xml:space="preserve"> PAGEREF _heading=h.3as4poj \h </w:instrText>
          </w:r>
          <w:r w:rsidR="00CC0084">
            <w:fldChar w:fldCharType="separate"/>
          </w:r>
          <w:r w:rsidR="00CC0084">
            <w:rPr>
              <w:color w:val="000000"/>
            </w:rPr>
            <w:t>Réglementation ICPE encadrant les installations de méthanisation</w:t>
          </w:r>
          <w:r w:rsidR="00CC0084">
            <w:rPr>
              <w:color w:val="000000"/>
            </w:rPr>
            <w:tab/>
            <w:t>14</w:t>
          </w:r>
          <w:r w:rsidR="00CC0084">
            <w:fldChar w:fldCharType="end"/>
          </w:r>
        </w:p>
        <w:p w14:paraId="00000036" w14:textId="77777777" w:rsidR="00EF5278" w:rsidRDefault="00CC0084">
          <w:r>
            <w:fldChar w:fldCharType="end"/>
          </w:r>
        </w:p>
      </w:sdtContent>
    </w:sdt>
    <w:p w14:paraId="00000037" w14:textId="77777777" w:rsidR="00EF5278" w:rsidRDefault="00CC0084">
      <w:pPr>
        <w:spacing w:after="160" w:line="259" w:lineRule="auto"/>
        <w:jc w:val="left"/>
        <w:rPr>
          <w:b/>
          <w:color w:val="FFFFFF"/>
          <w:sz w:val="26"/>
          <w:szCs w:val="26"/>
        </w:rPr>
      </w:pPr>
      <w:r>
        <w:br w:type="page"/>
      </w:r>
    </w:p>
    <w:p w14:paraId="00000038" w14:textId="77777777" w:rsidR="00EF5278" w:rsidRDefault="00CC0084">
      <w:pPr>
        <w:pStyle w:val="Titre2"/>
        <w:numPr>
          <w:ilvl w:val="1"/>
          <w:numId w:val="16"/>
        </w:numPr>
        <w:shd w:val="clear" w:color="auto" w:fill="002060"/>
      </w:pPr>
      <w:bookmarkStart w:id="1" w:name="_heading=h.30j0zll" w:colFirst="0" w:colLast="0"/>
      <w:bookmarkEnd w:id="1"/>
      <w:r>
        <w:lastRenderedPageBreak/>
        <w:t>Préambule</w:t>
      </w:r>
    </w:p>
    <w:p w14:paraId="00000039" w14:textId="77777777" w:rsidR="00EF5278" w:rsidRDefault="00EF5278">
      <w:pPr>
        <w:jc w:val="left"/>
        <w:rPr>
          <w:sz w:val="22"/>
          <w:szCs w:val="22"/>
        </w:rPr>
      </w:pPr>
      <w:bookmarkStart w:id="2" w:name="_heading=h.1fob9te" w:colFirst="0" w:colLast="0"/>
      <w:bookmarkEnd w:id="2"/>
    </w:p>
    <w:p w14:paraId="0000003A" w14:textId="2922BE84" w:rsidR="00EF5278" w:rsidRDefault="00323391">
      <w:pPr>
        <w:rPr>
          <w:sz w:val="22"/>
          <w:szCs w:val="22"/>
        </w:rPr>
      </w:pPr>
      <w:bookmarkStart w:id="3" w:name="_Hlk170984982"/>
      <w:r>
        <w:rPr>
          <w:sz w:val="22"/>
          <w:szCs w:val="22"/>
        </w:rPr>
        <w:t>En 2021, 8,8 Mt de déchets alimentaires</w:t>
      </w:r>
      <w:r w:rsidR="00CC0084">
        <w:rPr>
          <w:sz w:val="22"/>
          <w:szCs w:val="22"/>
        </w:rPr>
        <w:t xml:space="preserve"> </w:t>
      </w:r>
      <w:r>
        <w:rPr>
          <w:sz w:val="22"/>
          <w:szCs w:val="22"/>
        </w:rPr>
        <w:t>ont été produits en France sur l’ensemble de la chaîne alimentaire</w:t>
      </w:r>
      <w:bookmarkEnd w:id="3"/>
      <w:r>
        <w:rPr>
          <w:rStyle w:val="Appelnotedebasdep"/>
          <w:sz w:val="22"/>
          <w:szCs w:val="22"/>
        </w:rPr>
        <w:footnoteReference w:id="1"/>
      </w:r>
      <w:r>
        <w:rPr>
          <w:sz w:val="22"/>
          <w:szCs w:val="22"/>
        </w:rPr>
        <w:t xml:space="preserve">. </w:t>
      </w:r>
      <w:bookmarkStart w:id="4" w:name="_Hlk170985017"/>
      <w:r>
        <w:rPr>
          <w:sz w:val="22"/>
          <w:szCs w:val="22"/>
        </w:rPr>
        <w:t xml:space="preserve">S’il convient </w:t>
      </w:r>
      <w:r w:rsidR="00CC0084">
        <w:rPr>
          <w:sz w:val="22"/>
          <w:szCs w:val="22"/>
        </w:rPr>
        <w:t>de réduire au maximum l</w:t>
      </w:r>
      <w:r>
        <w:rPr>
          <w:sz w:val="22"/>
          <w:szCs w:val="22"/>
        </w:rPr>
        <w:t>eur</w:t>
      </w:r>
      <w:r w:rsidR="00CC0084">
        <w:rPr>
          <w:sz w:val="22"/>
          <w:szCs w:val="22"/>
        </w:rPr>
        <w:t xml:space="preserve"> production</w:t>
      </w:r>
      <w:r>
        <w:rPr>
          <w:sz w:val="22"/>
          <w:szCs w:val="22"/>
        </w:rPr>
        <w:t xml:space="preserve"> par des actions de prévention du gaspillage alimentaire,</w:t>
      </w:r>
      <w:r w:rsidR="00CC0084">
        <w:rPr>
          <w:sz w:val="22"/>
          <w:szCs w:val="22"/>
        </w:rPr>
        <w:t xml:space="preserve"> </w:t>
      </w:r>
      <w:r>
        <w:rPr>
          <w:sz w:val="22"/>
          <w:szCs w:val="22"/>
        </w:rPr>
        <w:t>ces déchets</w:t>
      </w:r>
      <w:r w:rsidR="00CC0084">
        <w:rPr>
          <w:sz w:val="22"/>
          <w:szCs w:val="22"/>
        </w:rPr>
        <w:t xml:space="preserve"> constituent </w:t>
      </w:r>
      <w:r>
        <w:rPr>
          <w:sz w:val="22"/>
          <w:szCs w:val="22"/>
        </w:rPr>
        <w:t xml:space="preserve">néanmoins en l’état </w:t>
      </w:r>
      <w:r w:rsidR="00CC0084">
        <w:rPr>
          <w:sz w:val="22"/>
          <w:szCs w:val="22"/>
        </w:rPr>
        <w:t xml:space="preserve">une ressource valorisable encore insuffisamment exploitée. </w:t>
      </w:r>
      <w:bookmarkEnd w:id="4"/>
      <w:r w:rsidR="00CC0084">
        <w:rPr>
          <w:sz w:val="22"/>
          <w:szCs w:val="22"/>
        </w:rPr>
        <w:t xml:space="preserve">Ces </w:t>
      </w:r>
      <w:r>
        <w:rPr>
          <w:sz w:val="22"/>
          <w:szCs w:val="22"/>
        </w:rPr>
        <w:t>déchets alimentaires</w:t>
      </w:r>
      <w:r w:rsidR="00CC0084">
        <w:rPr>
          <w:sz w:val="22"/>
          <w:szCs w:val="22"/>
        </w:rPr>
        <w:t xml:space="preserve"> sont principalement produits par les secteurs de la</w:t>
      </w:r>
      <w:r>
        <w:rPr>
          <w:sz w:val="22"/>
          <w:szCs w:val="22"/>
        </w:rPr>
        <w:t xml:space="preserve"> transformation, de la</w:t>
      </w:r>
      <w:r w:rsidR="00CC0084">
        <w:rPr>
          <w:sz w:val="22"/>
          <w:szCs w:val="22"/>
        </w:rPr>
        <w:t xml:space="preserve"> distribution et du commerce</w:t>
      </w:r>
      <w:r>
        <w:rPr>
          <w:sz w:val="22"/>
          <w:szCs w:val="22"/>
        </w:rPr>
        <w:t xml:space="preserve"> (</w:t>
      </w:r>
      <w:r w:rsidR="00CC0084">
        <w:rPr>
          <w:sz w:val="22"/>
          <w:szCs w:val="22"/>
        </w:rPr>
        <w:t>d</w:t>
      </w:r>
      <w:r>
        <w:rPr>
          <w:sz w:val="22"/>
          <w:szCs w:val="22"/>
        </w:rPr>
        <w:t>ont</w:t>
      </w:r>
      <w:r w:rsidR="00CC0084">
        <w:rPr>
          <w:sz w:val="22"/>
          <w:szCs w:val="22"/>
        </w:rPr>
        <w:t xml:space="preserve"> l’hôtellerie et la restauration</w:t>
      </w:r>
      <w:r>
        <w:rPr>
          <w:sz w:val="22"/>
          <w:szCs w:val="22"/>
        </w:rPr>
        <w:t>)</w:t>
      </w:r>
      <w:r w:rsidR="00CC0084">
        <w:rPr>
          <w:sz w:val="22"/>
          <w:szCs w:val="22"/>
        </w:rPr>
        <w:t>, des marchés et des ménages. Collectés soit par le Service Public de Gestion des Déchets, soit par des opérateurs privés, ces déchets</w:t>
      </w:r>
      <w:r w:rsidR="002051D7">
        <w:rPr>
          <w:sz w:val="22"/>
          <w:szCs w:val="22"/>
        </w:rPr>
        <w:t xml:space="preserve">, en partie </w:t>
      </w:r>
      <w:r w:rsidR="005534CD">
        <w:rPr>
          <w:sz w:val="22"/>
          <w:szCs w:val="22"/>
        </w:rPr>
        <w:t>emballés</w:t>
      </w:r>
      <w:r w:rsidR="002051D7">
        <w:rPr>
          <w:sz w:val="22"/>
          <w:szCs w:val="22"/>
        </w:rPr>
        <w:t>,</w:t>
      </w:r>
      <w:r w:rsidR="00CC0084">
        <w:rPr>
          <w:sz w:val="22"/>
          <w:szCs w:val="22"/>
        </w:rPr>
        <w:t xml:space="preserve"> sont encore trop souvent incinérés, voire enfouis sans aucune valorisation.</w:t>
      </w:r>
    </w:p>
    <w:p w14:paraId="0000003B" w14:textId="77777777" w:rsidR="00EF5278" w:rsidRDefault="00EF5278">
      <w:pPr>
        <w:jc w:val="left"/>
        <w:rPr>
          <w:sz w:val="22"/>
          <w:szCs w:val="22"/>
        </w:rPr>
      </w:pPr>
    </w:p>
    <w:p w14:paraId="0000003C" w14:textId="6A2B34BD" w:rsidR="00EF5278" w:rsidRDefault="00CC0084">
      <w:pPr>
        <w:rPr>
          <w:sz w:val="22"/>
          <w:szCs w:val="22"/>
        </w:rPr>
      </w:pPr>
      <w:r>
        <w:rPr>
          <w:sz w:val="22"/>
          <w:szCs w:val="22"/>
        </w:rPr>
        <w:t>La loi AGEC relative à la lutte contre le gaspillage et à l’économie circulaire du 10 février 2020 impose l’obligation de tri à la source des biodéchets pour tous les producteurs</w:t>
      </w:r>
      <w:r w:rsidR="002051D7">
        <w:rPr>
          <w:sz w:val="22"/>
          <w:szCs w:val="22"/>
        </w:rPr>
        <w:t>, particuliers comme professionnels, au 01 janvier 2024</w:t>
      </w:r>
      <w:r>
        <w:rPr>
          <w:sz w:val="22"/>
          <w:szCs w:val="22"/>
        </w:rPr>
        <w:t>.</w:t>
      </w:r>
    </w:p>
    <w:p w14:paraId="0000003D" w14:textId="1FB13D38" w:rsidR="00EF5278" w:rsidRDefault="00CC0084">
      <w:pPr>
        <w:rPr>
          <w:sz w:val="22"/>
          <w:szCs w:val="22"/>
        </w:rPr>
      </w:pPr>
      <w:r>
        <w:rPr>
          <w:sz w:val="22"/>
          <w:szCs w:val="22"/>
        </w:rPr>
        <w:t>Le Plan Régional de Prévention et de Gestion des Déchets élaboré par la Région Bretagne prévoit dans ses orientations de « </w:t>
      </w:r>
      <w:r>
        <w:rPr>
          <w:sz w:val="22"/>
          <w:szCs w:val="22"/>
          <w:u w:val="single"/>
        </w:rPr>
        <w:t>constituer un maillage cohérent du territoire en sites équipés de déconditionneurs après études technico-économiques permettant ainsi une valorisation organique (compostage ou méthanisation) de ce flux</w:t>
      </w:r>
      <w:r>
        <w:rPr>
          <w:sz w:val="22"/>
          <w:szCs w:val="22"/>
        </w:rPr>
        <w:t> ».</w:t>
      </w:r>
    </w:p>
    <w:p w14:paraId="0000003E" w14:textId="77777777" w:rsidR="00EF5278" w:rsidRDefault="00EF5278">
      <w:pPr>
        <w:rPr>
          <w:sz w:val="22"/>
          <w:szCs w:val="22"/>
        </w:rPr>
      </w:pPr>
    </w:p>
    <w:p w14:paraId="0000003F" w14:textId="4D6C3524" w:rsidR="00EF5278" w:rsidRDefault="00CC0084">
      <w:pPr>
        <w:rPr>
          <w:sz w:val="22"/>
          <w:szCs w:val="22"/>
        </w:rPr>
      </w:pPr>
      <w:r>
        <w:rPr>
          <w:sz w:val="22"/>
          <w:szCs w:val="22"/>
        </w:rPr>
        <w:t>C’est précisément pour contribuer à mettre en œuvre cet objectif que le présent appel à projets est organisé conjointement par l’ADEME et la Région Bretagne, en partenariat avec l’Association AILE</w:t>
      </w:r>
      <w:r w:rsidR="002051D7">
        <w:rPr>
          <w:sz w:val="22"/>
          <w:szCs w:val="22"/>
        </w:rPr>
        <w:t xml:space="preserve"> et la DREAL Bretagne</w:t>
      </w:r>
      <w:r>
        <w:rPr>
          <w:sz w:val="22"/>
          <w:szCs w:val="22"/>
        </w:rPr>
        <w:t>, en vue d’accompagner les porteurs de projets qui travailleront en faveur :</w:t>
      </w:r>
    </w:p>
    <w:p w14:paraId="00000040" w14:textId="77777777" w:rsidR="00EF5278" w:rsidRDefault="00CC0084">
      <w:pPr>
        <w:numPr>
          <w:ilvl w:val="0"/>
          <w:numId w:val="4"/>
        </w:numPr>
        <w:pBdr>
          <w:top w:val="nil"/>
          <w:left w:val="nil"/>
          <w:bottom w:val="nil"/>
          <w:right w:val="nil"/>
          <w:between w:val="nil"/>
        </w:pBdr>
        <w:rPr>
          <w:color w:val="000000"/>
          <w:sz w:val="22"/>
          <w:szCs w:val="22"/>
        </w:rPr>
      </w:pPr>
      <w:r>
        <w:rPr>
          <w:color w:val="000000"/>
          <w:sz w:val="22"/>
          <w:szCs w:val="22"/>
        </w:rPr>
        <w:t>D’une approche territoriale cohérente des projets, en tenant compte des « bassins versants » des flux de déchets collectés sur une zone géographique dont l’échelle pertinente sera à définir au moyen d’une étude territoriale.</w:t>
      </w:r>
    </w:p>
    <w:p w14:paraId="00000041" w14:textId="77777777" w:rsidR="00EF5278" w:rsidRDefault="00CC0084">
      <w:pPr>
        <w:numPr>
          <w:ilvl w:val="0"/>
          <w:numId w:val="4"/>
        </w:numPr>
        <w:pBdr>
          <w:top w:val="nil"/>
          <w:left w:val="nil"/>
          <w:bottom w:val="nil"/>
          <w:right w:val="nil"/>
          <w:between w:val="nil"/>
        </w:pBdr>
        <w:rPr>
          <w:color w:val="000000"/>
          <w:sz w:val="22"/>
          <w:szCs w:val="22"/>
        </w:rPr>
      </w:pPr>
      <w:r>
        <w:rPr>
          <w:color w:val="000000"/>
          <w:sz w:val="22"/>
          <w:szCs w:val="22"/>
        </w:rPr>
        <w:t>De recherche de partenariat et/ou de mutualisation entre différents acteurs, afin de consolider chacune des étapes de la filière (collecte, transport, tri, traitement). Cette recherche, elle aussi, se fait au moyen d’une étude territoriale et/ou une étude de marché.</w:t>
      </w:r>
    </w:p>
    <w:p w14:paraId="00000042" w14:textId="77777777" w:rsidR="00EF5278" w:rsidRDefault="00EF5278">
      <w:pPr>
        <w:rPr>
          <w:sz w:val="22"/>
          <w:szCs w:val="22"/>
        </w:rPr>
      </w:pPr>
    </w:p>
    <w:p w14:paraId="00000043" w14:textId="77777777" w:rsidR="00EF5278" w:rsidRDefault="00CC0084">
      <w:pPr>
        <w:rPr>
          <w:sz w:val="22"/>
          <w:szCs w:val="22"/>
        </w:rPr>
      </w:pPr>
      <w:r>
        <w:rPr>
          <w:sz w:val="22"/>
          <w:szCs w:val="22"/>
        </w:rPr>
        <w:t xml:space="preserve">Un projet de déconditionnement / hygiénisation peut également constituer un projet structurant sur un territoire, notamment en offrant de nouveaux services : création d’une filière locale de collecte, de recyclage et de valorisation des déchets organiques, la création d’activités économiques locales... </w:t>
      </w:r>
    </w:p>
    <w:p w14:paraId="00000044" w14:textId="77777777" w:rsidR="00EF5278" w:rsidRDefault="00EF5278">
      <w:pPr>
        <w:rPr>
          <w:sz w:val="22"/>
          <w:szCs w:val="22"/>
        </w:rPr>
      </w:pPr>
    </w:p>
    <w:p w14:paraId="00000045" w14:textId="77777777" w:rsidR="00EF5278" w:rsidRDefault="00CC0084">
      <w:pPr>
        <w:rPr>
          <w:sz w:val="22"/>
          <w:szCs w:val="22"/>
        </w:rPr>
      </w:pPr>
      <w:r>
        <w:rPr>
          <w:sz w:val="22"/>
          <w:szCs w:val="22"/>
        </w:rPr>
        <w:t>Dans le cadre de l’appel à projets faisant l’objet du présent cahier des charges, le principe de ce qui est recherché peut s’illustrer de manière synthétique par le schéma suivant :</w:t>
      </w:r>
    </w:p>
    <w:p w14:paraId="00000046" w14:textId="77777777" w:rsidR="00EF5278" w:rsidRDefault="00EF5278">
      <w:pPr>
        <w:rPr>
          <w:sz w:val="22"/>
          <w:szCs w:val="22"/>
        </w:rPr>
      </w:pPr>
    </w:p>
    <w:p w14:paraId="00000047" w14:textId="77777777" w:rsidR="00EF5278" w:rsidRDefault="00EF5278">
      <w:pPr>
        <w:rPr>
          <w:sz w:val="22"/>
          <w:szCs w:val="22"/>
        </w:rPr>
      </w:pPr>
    </w:p>
    <w:p w14:paraId="00000048" w14:textId="77777777" w:rsidR="00EF5278" w:rsidRDefault="00EF5278">
      <w:pPr>
        <w:rPr>
          <w:sz w:val="22"/>
          <w:szCs w:val="22"/>
        </w:rPr>
      </w:pPr>
    </w:p>
    <w:p w14:paraId="00000049" w14:textId="77777777" w:rsidR="00EF5278" w:rsidRDefault="00EF5278">
      <w:pPr>
        <w:rPr>
          <w:sz w:val="22"/>
          <w:szCs w:val="22"/>
        </w:rPr>
      </w:pPr>
    </w:p>
    <w:p w14:paraId="0000004A" w14:textId="77777777" w:rsidR="00EF5278" w:rsidRDefault="00EF5278">
      <w:pPr>
        <w:rPr>
          <w:sz w:val="22"/>
          <w:szCs w:val="22"/>
        </w:rPr>
      </w:pPr>
    </w:p>
    <w:p w14:paraId="0000004B" w14:textId="77777777" w:rsidR="00EF5278" w:rsidRDefault="00EF5278">
      <w:pPr>
        <w:rPr>
          <w:sz w:val="22"/>
          <w:szCs w:val="22"/>
        </w:rPr>
      </w:pPr>
    </w:p>
    <w:p w14:paraId="0000004C" w14:textId="77777777" w:rsidR="00EF5278" w:rsidRDefault="00EF5278">
      <w:pPr>
        <w:rPr>
          <w:sz w:val="22"/>
          <w:szCs w:val="22"/>
        </w:rPr>
      </w:pPr>
    </w:p>
    <w:p w14:paraId="0000004D" w14:textId="77777777" w:rsidR="00EF5278" w:rsidRDefault="00EF5278">
      <w:pPr>
        <w:rPr>
          <w:sz w:val="22"/>
          <w:szCs w:val="22"/>
        </w:rPr>
      </w:pPr>
    </w:p>
    <w:p w14:paraId="0000004E" w14:textId="77777777" w:rsidR="00EF5278" w:rsidRDefault="00EF5278">
      <w:pPr>
        <w:rPr>
          <w:sz w:val="22"/>
          <w:szCs w:val="22"/>
        </w:rPr>
      </w:pPr>
    </w:p>
    <w:p w14:paraId="0000004F" w14:textId="77777777" w:rsidR="00EF5278" w:rsidRDefault="00EF5278">
      <w:pPr>
        <w:rPr>
          <w:sz w:val="22"/>
          <w:szCs w:val="22"/>
        </w:rPr>
      </w:pPr>
    </w:p>
    <w:p w14:paraId="00000050" w14:textId="77777777" w:rsidR="00EF5278" w:rsidRDefault="00EF5278">
      <w:pPr>
        <w:rPr>
          <w:sz w:val="22"/>
          <w:szCs w:val="22"/>
        </w:rPr>
      </w:pPr>
    </w:p>
    <w:p w14:paraId="00000051" w14:textId="77777777" w:rsidR="00EF5278" w:rsidRDefault="00CC0084">
      <w:pPr>
        <w:keepNext/>
        <w:jc w:val="center"/>
      </w:pPr>
      <w:r>
        <w:rPr>
          <w:noProof/>
          <w:sz w:val="22"/>
          <w:szCs w:val="22"/>
        </w:rPr>
        <w:lastRenderedPageBreak/>
        <w:drawing>
          <wp:inline distT="0" distB="0" distL="0" distR="0" wp14:anchorId="5BEE29B0" wp14:editId="5AC22824">
            <wp:extent cx="5656289" cy="6012377"/>
            <wp:effectExtent l="0" t="0" r="0" b="0"/>
            <wp:docPr id="2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3"/>
                    <a:srcRect t="10820" b="9473"/>
                    <a:stretch>
                      <a:fillRect/>
                    </a:stretch>
                  </pic:blipFill>
                  <pic:spPr>
                    <a:xfrm>
                      <a:off x="0" y="0"/>
                      <a:ext cx="5656289" cy="6012377"/>
                    </a:xfrm>
                    <a:prstGeom prst="rect">
                      <a:avLst/>
                    </a:prstGeom>
                    <a:ln/>
                  </pic:spPr>
                </pic:pic>
              </a:graphicData>
            </a:graphic>
          </wp:inline>
        </w:drawing>
      </w:r>
    </w:p>
    <w:p w14:paraId="00000052" w14:textId="77777777" w:rsidR="00EF5278" w:rsidRDefault="00CC0084">
      <w:pPr>
        <w:pBdr>
          <w:top w:val="nil"/>
          <w:left w:val="nil"/>
          <w:bottom w:val="nil"/>
          <w:right w:val="nil"/>
          <w:between w:val="nil"/>
        </w:pBdr>
        <w:spacing w:after="200"/>
        <w:jc w:val="center"/>
        <w:rPr>
          <w:i/>
          <w:color w:val="44546A"/>
          <w:sz w:val="22"/>
          <w:szCs w:val="22"/>
        </w:rPr>
      </w:pPr>
      <w:r>
        <w:rPr>
          <w:i/>
          <w:color w:val="44546A"/>
          <w:sz w:val="18"/>
          <w:szCs w:val="18"/>
        </w:rPr>
        <w:t>Figure 1 : Schéma de principe - Appel à Projets régional "déconditionnement - hygiénisation"</w:t>
      </w:r>
    </w:p>
    <w:p w14:paraId="00000053" w14:textId="77777777" w:rsidR="00EF5278" w:rsidRDefault="00CC0084">
      <w:pPr>
        <w:pStyle w:val="Titre2"/>
        <w:numPr>
          <w:ilvl w:val="1"/>
          <w:numId w:val="16"/>
        </w:numPr>
        <w:shd w:val="clear" w:color="auto" w:fill="002060"/>
      </w:pPr>
      <w:bookmarkStart w:id="5" w:name="_heading=h.3znysh7" w:colFirst="0" w:colLast="0"/>
      <w:bookmarkEnd w:id="5"/>
      <w:r>
        <w:t>Objet de l’appel à projets</w:t>
      </w:r>
    </w:p>
    <w:p w14:paraId="00000054" w14:textId="77777777" w:rsidR="00EF5278" w:rsidRDefault="00EF5278"/>
    <w:p w14:paraId="00000055" w14:textId="77777777" w:rsidR="00EF5278" w:rsidRDefault="00CC0084">
      <w:pPr>
        <w:pStyle w:val="Titre3"/>
        <w:numPr>
          <w:ilvl w:val="2"/>
          <w:numId w:val="16"/>
        </w:numPr>
      </w:pPr>
      <w:bookmarkStart w:id="6" w:name="_heading=h.2et92p0" w:colFirst="0" w:colLast="0"/>
      <w:bookmarkEnd w:id="6"/>
      <w:r>
        <w:t>Champ d’intervention</w:t>
      </w:r>
    </w:p>
    <w:p w14:paraId="00000056" w14:textId="77777777" w:rsidR="00EF5278" w:rsidRDefault="00CC0084">
      <w:pPr>
        <w:rPr>
          <w:sz w:val="22"/>
          <w:szCs w:val="22"/>
        </w:rPr>
      </w:pPr>
      <w:r>
        <w:rPr>
          <w:sz w:val="22"/>
          <w:szCs w:val="22"/>
        </w:rPr>
        <w:t xml:space="preserve">Le présent appel à projets est destiné à accompagner et financer la mise en place d’équipements de déconditionnement / hygiénisation </w:t>
      </w:r>
      <w:r w:rsidRPr="001816C9">
        <w:rPr>
          <w:b/>
          <w:bCs/>
          <w:sz w:val="22"/>
          <w:szCs w:val="22"/>
        </w:rPr>
        <w:t>des flux de biodéchets emballés sur la région Bretagne</w:t>
      </w:r>
      <w:r>
        <w:rPr>
          <w:sz w:val="22"/>
          <w:szCs w:val="22"/>
        </w:rPr>
        <w:t xml:space="preserve"> afin de contribuer au développement de leur valorisation organique et énergétique. </w:t>
      </w:r>
    </w:p>
    <w:p w14:paraId="703D3218" w14:textId="77777777" w:rsidR="001816C9" w:rsidRDefault="00CC0084">
      <w:pPr>
        <w:rPr>
          <w:sz w:val="22"/>
          <w:szCs w:val="22"/>
        </w:rPr>
      </w:pPr>
      <w:r>
        <w:rPr>
          <w:sz w:val="22"/>
          <w:szCs w:val="22"/>
        </w:rPr>
        <w:t>Le maillage territorial en sites de déconditionnement / hygiénisation de biodéchets à l’échelle de la Bretagne n’est pas encore satisfaisant car il ne permet pas de traiter de façon optimale les flux de biodéchets emballés sur le territoire.</w:t>
      </w:r>
    </w:p>
    <w:p w14:paraId="00000057" w14:textId="3E161555" w:rsidR="00EF5278" w:rsidRDefault="00CC0084">
      <w:pPr>
        <w:rPr>
          <w:sz w:val="22"/>
          <w:szCs w:val="22"/>
        </w:rPr>
      </w:pPr>
      <w:r>
        <w:rPr>
          <w:sz w:val="22"/>
          <w:szCs w:val="22"/>
        </w:rPr>
        <w:t>Les technologies qu’ils mettent en œuvre, leurs performances en termes d’exploitation et de qualité des produits sortants et leurs coûts sont encore mal connus. L’appel à projets a donc également vocation à capitaliser les retours d’expériences sur le sujet.</w:t>
      </w:r>
    </w:p>
    <w:p w14:paraId="00000058" w14:textId="77777777" w:rsidR="00EF5278" w:rsidRDefault="00EF5278">
      <w:pPr>
        <w:rPr>
          <w:sz w:val="22"/>
          <w:szCs w:val="22"/>
        </w:rPr>
      </w:pPr>
    </w:p>
    <w:p w14:paraId="00000059" w14:textId="36336FC9" w:rsidR="00EF5278" w:rsidRDefault="00CC0084">
      <w:pPr>
        <w:rPr>
          <w:sz w:val="22"/>
          <w:szCs w:val="22"/>
        </w:rPr>
      </w:pPr>
      <w:r>
        <w:rPr>
          <w:sz w:val="22"/>
          <w:szCs w:val="22"/>
        </w:rPr>
        <w:t xml:space="preserve">L’accompagnement comprendra </w:t>
      </w:r>
      <w:r w:rsidRPr="004109E4">
        <w:rPr>
          <w:b/>
          <w:bCs/>
          <w:sz w:val="22"/>
          <w:szCs w:val="22"/>
        </w:rPr>
        <w:t>un apport d’expertise</w:t>
      </w:r>
      <w:r>
        <w:rPr>
          <w:sz w:val="22"/>
          <w:szCs w:val="22"/>
        </w:rPr>
        <w:t xml:space="preserve"> de l’ADEME, d’AILE et de la Région Bretagne à partir de l’état des connaissances actuelles dans ce domaine, ainsi </w:t>
      </w:r>
      <w:r w:rsidRPr="004109E4">
        <w:rPr>
          <w:b/>
          <w:bCs/>
          <w:sz w:val="22"/>
          <w:szCs w:val="22"/>
        </w:rPr>
        <w:t>qu’une aide financière sur les études</w:t>
      </w:r>
      <w:r>
        <w:rPr>
          <w:sz w:val="22"/>
          <w:szCs w:val="22"/>
        </w:rPr>
        <w:t xml:space="preserve"> territoriales (phase 1 du présent appel à projets) et</w:t>
      </w:r>
      <w:r w:rsidR="004109E4">
        <w:rPr>
          <w:sz w:val="22"/>
          <w:szCs w:val="22"/>
        </w:rPr>
        <w:t>/ou</w:t>
      </w:r>
      <w:r>
        <w:rPr>
          <w:sz w:val="22"/>
          <w:szCs w:val="22"/>
        </w:rPr>
        <w:t xml:space="preserve"> </w:t>
      </w:r>
      <w:r w:rsidRPr="004109E4">
        <w:rPr>
          <w:b/>
          <w:bCs/>
          <w:sz w:val="22"/>
          <w:szCs w:val="22"/>
        </w:rPr>
        <w:t>une aide financière aux investissements</w:t>
      </w:r>
      <w:r>
        <w:rPr>
          <w:sz w:val="22"/>
          <w:szCs w:val="22"/>
        </w:rPr>
        <w:t xml:space="preserve"> (phase 2 du présent appel à projets). </w:t>
      </w:r>
    </w:p>
    <w:p w14:paraId="0000005A" w14:textId="77777777" w:rsidR="00EF5278" w:rsidRDefault="00CC0084">
      <w:pPr>
        <w:rPr>
          <w:sz w:val="22"/>
          <w:szCs w:val="22"/>
        </w:rPr>
      </w:pPr>
      <w:r>
        <w:rPr>
          <w:sz w:val="22"/>
          <w:szCs w:val="22"/>
        </w:rPr>
        <w:t>L’objectif est d’accompagner des démarches nouvelles</w:t>
      </w:r>
      <w:r>
        <w:rPr>
          <w:b/>
          <w:sz w:val="22"/>
          <w:szCs w:val="22"/>
        </w:rPr>
        <w:t xml:space="preserve">, </w:t>
      </w:r>
      <w:r w:rsidRPr="0099690B">
        <w:rPr>
          <w:b/>
          <w:sz w:val="22"/>
          <w:szCs w:val="22"/>
          <w:u w:val="single"/>
        </w:rPr>
        <w:t>non démarrées</w:t>
      </w:r>
      <w:r>
        <w:rPr>
          <w:sz w:val="22"/>
          <w:szCs w:val="22"/>
        </w:rPr>
        <w:t xml:space="preserve">. </w:t>
      </w:r>
    </w:p>
    <w:p w14:paraId="0000005B" w14:textId="77777777" w:rsidR="00EF5278" w:rsidRDefault="00EF5278">
      <w:pPr>
        <w:spacing w:line="259" w:lineRule="auto"/>
      </w:pPr>
    </w:p>
    <w:p w14:paraId="0000005C" w14:textId="77777777" w:rsidR="00EF5278" w:rsidRDefault="00CC0084">
      <w:pPr>
        <w:pStyle w:val="Titre3"/>
        <w:numPr>
          <w:ilvl w:val="2"/>
          <w:numId w:val="16"/>
        </w:numPr>
      </w:pPr>
      <w:bookmarkStart w:id="7" w:name="_heading=h.tyjcwt" w:colFirst="0" w:colLast="0"/>
      <w:bookmarkEnd w:id="7"/>
      <w:r>
        <w:t>Structuration de l’appel à projets</w:t>
      </w:r>
    </w:p>
    <w:p w14:paraId="0000005D" w14:textId="77777777" w:rsidR="00EF5278" w:rsidRDefault="00CC0084">
      <w:pPr>
        <w:rPr>
          <w:sz w:val="22"/>
          <w:szCs w:val="22"/>
        </w:rPr>
      </w:pPr>
      <w:r>
        <w:rPr>
          <w:sz w:val="22"/>
          <w:szCs w:val="22"/>
        </w:rPr>
        <w:t>Le présent appel à projets « déconditionnement / hygiénisation » s’articule en 2 phases :</w:t>
      </w:r>
    </w:p>
    <w:p w14:paraId="0000005E" w14:textId="77777777" w:rsidR="00EF5278" w:rsidRDefault="00CC0084">
      <w:pPr>
        <w:numPr>
          <w:ilvl w:val="0"/>
          <w:numId w:val="5"/>
        </w:numPr>
        <w:pBdr>
          <w:top w:val="nil"/>
          <w:left w:val="nil"/>
          <w:bottom w:val="nil"/>
          <w:right w:val="nil"/>
          <w:between w:val="nil"/>
        </w:pBdr>
        <w:rPr>
          <w:color w:val="000000"/>
          <w:sz w:val="22"/>
          <w:szCs w:val="22"/>
        </w:rPr>
      </w:pPr>
      <w:r>
        <w:rPr>
          <w:color w:val="000000"/>
          <w:sz w:val="22"/>
          <w:szCs w:val="22"/>
        </w:rPr>
        <w:t>Phase 1 : Phase d’étude préalable dite « territoriale » permettant de définir la faisabilité et la pertinence de la mise en place d’une unité de déconditionnement / hygiénisation sur un territoire donné,</w:t>
      </w:r>
    </w:p>
    <w:p w14:paraId="0000005F" w14:textId="77777777" w:rsidR="00EF5278" w:rsidRDefault="00CC0084">
      <w:pPr>
        <w:numPr>
          <w:ilvl w:val="0"/>
          <w:numId w:val="5"/>
        </w:numPr>
        <w:pBdr>
          <w:top w:val="nil"/>
          <w:left w:val="nil"/>
          <w:bottom w:val="nil"/>
          <w:right w:val="nil"/>
          <w:between w:val="nil"/>
        </w:pBdr>
        <w:rPr>
          <w:color w:val="000000"/>
          <w:sz w:val="22"/>
          <w:szCs w:val="22"/>
        </w:rPr>
      </w:pPr>
      <w:r>
        <w:rPr>
          <w:color w:val="000000"/>
          <w:sz w:val="22"/>
          <w:szCs w:val="22"/>
        </w:rPr>
        <w:t>Phase 2 : Phase d’investissement pour la création d’une unité de déconditionnement / hygiénisation.</w:t>
      </w:r>
    </w:p>
    <w:p w14:paraId="00000060" w14:textId="77777777" w:rsidR="00EF5278" w:rsidRDefault="00CC0084">
      <w:pPr>
        <w:rPr>
          <w:sz w:val="22"/>
          <w:szCs w:val="22"/>
        </w:rPr>
      </w:pPr>
      <w:r>
        <w:rPr>
          <w:sz w:val="22"/>
          <w:szCs w:val="22"/>
        </w:rPr>
        <w:t>Un candidat peut indifféremment :</w:t>
      </w:r>
    </w:p>
    <w:p w14:paraId="00000061" w14:textId="77777777" w:rsidR="00EF5278" w:rsidRDefault="00CC0084">
      <w:pPr>
        <w:numPr>
          <w:ilvl w:val="0"/>
          <w:numId w:val="6"/>
        </w:numPr>
        <w:pBdr>
          <w:top w:val="nil"/>
          <w:left w:val="nil"/>
          <w:bottom w:val="nil"/>
          <w:right w:val="nil"/>
          <w:between w:val="nil"/>
        </w:pBdr>
        <w:rPr>
          <w:color w:val="000000"/>
          <w:sz w:val="22"/>
          <w:szCs w:val="22"/>
        </w:rPr>
      </w:pPr>
      <w:r>
        <w:rPr>
          <w:color w:val="000000"/>
          <w:sz w:val="22"/>
          <w:szCs w:val="22"/>
        </w:rPr>
        <w:t>Candidater à la phase 1, puis à la phase 2 en fonction des résultats de l’étude préalable,</w:t>
      </w:r>
    </w:p>
    <w:p w14:paraId="00000062" w14:textId="77777777" w:rsidR="00EF5278" w:rsidRDefault="00CC0084">
      <w:pPr>
        <w:numPr>
          <w:ilvl w:val="0"/>
          <w:numId w:val="6"/>
        </w:numPr>
        <w:pBdr>
          <w:top w:val="nil"/>
          <w:left w:val="nil"/>
          <w:bottom w:val="nil"/>
          <w:right w:val="nil"/>
          <w:between w:val="nil"/>
        </w:pBdr>
        <w:rPr>
          <w:color w:val="000000"/>
          <w:sz w:val="22"/>
          <w:szCs w:val="22"/>
        </w:rPr>
      </w:pPr>
      <w:r>
        <w:rPr>
          <w:color w:val="000000"/>
          <w:sz w:val="22"/>
          <w:szCs w:val="22"/>
        </w:rPr>
        <w:t>Ou candidater directement à la phase 2, si une étude de faisabilité répondant aux exigences du présent appel à projets, a déjà été établie.</w:t>
      </w:r>
    </w:p>
    <w:p w14:paraId="00000063" w14:textId="77777777" w:rsidR="00EF5278" w:rsidRDefault="00EF5278"/>
    <w:p w14:paraId="00000064" w14:textId="77777777" w:rsidR="00EF5278" w:rsidRDefault="00CC0084">
      <w:pPr>
        <w:pStyle w:val="Titre4"/>
        <w:numPr>
          <w:ilvl w:val="3"/>
          <w:numId w:val="16"/>
        </w:numPr>
      </w:pPr>
      <w:r>
        <w:t>Phase 1 : l’étude territoriale</w:t>
      </w:r>
    </w:p>
    <w:p w14:paraId="00000065" w14:textId="77777777" w:rsidR="00EF5278" w:rsidRDefault="00EF5278">
      <w:pPr>
        <w:rPr>
          <w:sz w:val="22"/>
          <w:szCs w:val="22"/>
        </w:rPr>
      </w:pPr>
    </w:p>
    <w:p w14:paraId="00000066" w14:textId="77777777" w:rsidR="00EF5278" w:rsidRDefault="00CC0084">
      <w:pPr>
        <w:rPr>
          <w:sz w:val="22"/>
          <w:szCs w:val="22"/>
        </w:rPr>
      </w:pPr>
      <w:r>
        <w:rPr>
          <w:sz w:val="22"/>
          <w:szCs w:val="22"/>
        </w:rPr>
        <w:t>Cette phase d’étude est une première étape de réflexion dans la démarche de collecte et de valorisation des biodéchets sur un territoire. D’une durée maximale d’un an, l’étude devra notamment définir :</w:t>
      </w:r>
    </w:p>
    <w:p w14:paraId="00000067" w14:textId="77777777" w:rsidR="00EF5278" w:rsidRDefault="00CC0084">
      <w:pPr>
        <w:numPr>
          <w:ilvl w:val="0"/>
          <w:numId w:val="10"/>
        </w:numPr>
        <w:pBdr>
          <w:top w:val="nil"/>
          <w:left w:val="nil"/>
          <w:bottom w:val="nil"/>
          <w:right w:val="nil"/>
          <w:between w:val="nil"/>
        </w:pBdr>
        <w:rPr>
          <w:color w:val="000000"/>
          <w:sz w:val="22"/>
          <w:szCs w:val="22"/>
        </w:rPr>
      </w:pPr>
      <w:r>
        <w:rPr>
          <w:color w:val="000000"/>
          <w:sz w:val="22"/>
          <w:szCs w:val="22"/>
        </w:rPr>
        <w:t xml:space="preserve">Le périmètre sur lequel interviendra le projet de déconditionnement / hygiénisation, </w:t>
      </w:r>
    </w:p>
    <w:p w14:paraId="00000068" w14:textId="77777777" w:rsidR="00EF5278" w:rsidRDefault="00CC0084">
      <w:pPr>
        <w:numPr>
          <w:ilvl w:val="0"/>
          <w:numId w:val="10"/>
        </w:numPr>
        <w:pBdr>
          <w:top w:val="nil"/>
          <w:left w:val="nil"/>
          <w:bottom w:val="nil"/>
          <w:right w:val="nil"/>
          <w:between w:val="nil"/>
        </w:pBdr>
        <w:rPr>
          <w:color w:val="000000"/>
          <w:sz w:val="22"/>
          <w:szCs w:val="22"/>
        </w:rPr>
      </w:pPr>
      <w:r>
        <w:rPr>
          <w:color w:val="000000"/>
          <w:sz w:val="22"/>
          <w:szCs w:val="22"/>
        </w:rPr>
        <w:t>Les gisements mobilisables et/ou visés par type de producteur,</w:t>
      </w:r>
    </w:p>
    <w:p w14:paraId="00000069" w14:textId="77777777" w:rsidR="00EF5278" w:rsidRDefault="00CC0084">
      <w:pPr>
        <w:numPr>
          <w:ilvl w:val="0"/>
          <w:numId w:val="10"/>
        </w:numPr>
        <w:pBdr>
          <w:top w:val="nil"/>
          <w:left w:val="nil"/>
          <w:bottom w:val="nil"/>
          <w:right w:val="nil"/>
          <w:between w:val="nil"/>
        </w:pBdr>
        <w:rPr>
          <w:color w:val="000000"/>
          <w:sz w:val="22"/>
          <w:szCs w:val="22"/>
        </w:rPr>
      </w:pPr>
      <w:r>
        <w:rPr>
          <w:color w:val="000000"/>
          <w:sz w:val="22"/>
          <w:szCs w:val="22"/>
        </w:rPr>
        <w:t>Les partenariats envisageables pour mobiliser au mieux les gisements,</w:t>
      </w:r>
    </w:p>
    <w:p w14:paraId="0000006A" w14:textId="77777777" w:rsidR="00EF5278" w:rsidRDefault="00CC0084">
      <w:pPr>
        <w:numPr>
          <w:ilvl w:val="0"/>
          <w:numId w:val="10"/>
        </w:numPr>
        <w:pBdr>
          <w:top w:val="nil"/>
          <w:left w:val="nil"/>
          <w:bottom w:val="nil"/>
          <w:right w:val="nil"/>
          <w:between w:val="nil"/>
        </w:pBdr>
        <w:rPr>
          <w:color w:val="000000"/>
          <w:sz w:val="22"/>
          <w:szCs w:val="22"/>
        </w:rPr>
      </w:pPr>
      <w:r>
        <w:rPr>
          <w:color w:val="000000"/>
          <w:sz w:val="22"/>
          <w:szCs w:val="22"/>
        </w:rPr>
        <w:t>Le portage juridique et la gouvernance du projet, précisant les responsabilités de chacune des parties prenantes s’il y en a plusieurs,</w:t>
      </w:r>
    </w:p>
    <w:p w14:paraId="0000006B" w14:textId="77777777" w:rsidR="00EF5278" w:rsidRDefault="00CC0084">
      <w:pPr>
        <w:numPr>
          <w:ilvl w:val="0"/>
          <w:numId w:val="10"/>
        </w:numPr>
        <w:pBdr>
          <w:top w:val="nil"/>
          <w:left w:val="nil"/>
          <w:bottom w:val="nil"/>
          <w:right w:val="nil"/>
          <w:between w:val="nil"/>
        </w:pBdr>
        <w:rPr>
          <w:color w:val="000000"/>
          <w:sz w:val="22"/>
          <w:szCs w:val="22"/>
        </w:rPr>
      </w:pPr>
      <w:r>
        <w:rPr>
          <w:color w:val="000000"/>
          <w:sz w:val="22"/>
          <w:szCs w:val="22"/>
        </w:rPr>
        <w:t>L’équipement retenu,</w:t>
      </w:r>
    </w:p>
    <w:p w14:paraId="0000006C" w14:textId="77777777" w:rsidR="00EF5278" w:rsidRDefault="00CC0084">
      <w:pPr>
        <w:numPr>
          <w:ilvl w:val="0"/>
          <w:numId w:val="10"/>
        </w:numPr>
        <w:pBdr>
          <w:top w:val="nil"/>
          <w:left w:val="nil"/>
          <w:bottom w:val="nil"/>
          <w:right w:val="nil"/>
          <w:between w:val="nil"/>
        </w:pBdr>
        <w:rPr>
          <w:color w:val="000000"/>
          <w:sz w:val="22"/>
          <w:szCs w:val="22"/>
        </w:rPr>
      </w:pPr>
      <w:r>
        <w:rPr>
          <w:color w:val="000000"/>
          <w:sz w:val="22"/>
          <w:szCs w:val="22"/>
        </w:rPr>
        <w:t>Les modalités futures de l’exploitation de l’unité,</w:t>
      </w:r>
    </w:p>
    <w:p w14:paraId="0000006D" w14:textId="77777777" w:rsidR="00EF5278" w:rsidRDefault="00CC0084">
      <w:pPr>
        <w:numPr>
          <w:ilvl w:val="1"/>
          <w:numId w:val="10"/>
        </w:numPr>
        <w:rPr>
          <w:sz w:val="22"/>
          <w:szCs w:val="22"/>
        </w:rPr>
      </w:pPr>
      <w:r>
        <w:rPr>
          <w:sz w:val="22"/>
          <w:szCs w:val="22"/>
        </w:rPr>
        <w:t xml:space="preserve">Société responsable de l’exploitation, </w:t>
      </w:r>
    </w:p>
    <w:p w14:paraId="0000006E" w14:textId="77777777" w:rsidR="00EF5278" w:rsidRDefault="00CC0084">
      <w:pPr>
        <w:numPr>
          <w:ilvl w:val="1"/>
          <w:numId w:val="10"/>
        </w:numPr>
        <w:rPr>
          <w:sz w:val="22"/>
          <w:szCs w:val="22"/>
        </w:rPr>
      </w:pPr>
      <w:r>
        <w:rPr>
          <w:sz w:val="22"/>
          <w:szCs w:val="22"/>
        </w:rPr>
        <w:t xml:space="preserve">Emplois créés, </w:t>
      </w:r>
    </w:p>
    <w:p w14:paraId="0000006F" w14:textId="64A190F9" w:rsidR="00EF5278" w:rsidRDefault="00CC0084">
      <w:pPr>
        <w:numPr>
          <w:ilvl w:val="1"/>
          <w:numId w:val="10"/>
        </w:numPr>
        <w:rPr>
          <w:sz w:val="22"/>
          <w:szCs w:val="22"/>
        </w:rPr>
      </w:pPr>
      <w:r>
        <w:rPr>
          <w:sz w:val="22"/>
          <w:szCs w:val="22"/>
        </w:rPr>
        <w:t>Dimensionnement : capacité nominale et tonnages prévisionnels,</w:t>
      </w:r>
      <w:r w:rsidR="001816C9">
        <w:rPr>
          <w:sz w:val="22"/>
          <w:szCs w:val="22"/>
        </w:rPr>
        <w:t xml:space="preserve"> dont % de déchets emballés,</w:t>
      </w:r>
    </w:p>
    <w:p w14:paraId="00000070" w14:textId="77777777" w:rsidR="00EF5278" w:rsidRDefault="00CC0084">
      <w:pPr>
        <w:numPr>
          <w:ilvl w:val="1"/>
          <w:numId w:val="10"/>
        </w:numPr>
        <w:rPr>
          <w:sz w:val="22"/>
          <w:szCs w:val="22"/>
        </w:rPr>
      </w:pPr>
      <w:r>
        <w:rPr>
          <w:sz w:val="22"/>
          <w:szCs w:val="22"/>
        </w:rPr>
        <w:t>Bilan matière des flux entrants et sortants,</w:t>
      </w:r>
    </w:p>
    <w:p w14:paraId="00000071" w14:textId="001823D8" w:rsidR="00EF5278" w:rsidRDefault="00CC0084">
      <w:pPr>
        <w:numPr>
          <w:ilvl w:val="1"/>
          <w:numId w:val="10"/>
        </w:numPr>
        <w:rPr>
          <w:sz w:val="22"/>
          <w:szCs w:val="22"/>
        </w:rPr>
      </w:pPr>
      <w:r>
        <w:rPr>
          <w:sz w:val="22"/>
          <w:szCs w:val="22"/>
        </w:rPr>
        <w:t>Exutoires identifiés pour les flux sortants</w:t>
      </w:r>
      <w:r w:rsidR="001816C9">
        <w:rPr>
          <w:sz w:val="22"/>
          <w:szCs w:val="22"/>
        </w:rPr>
        <w:t xml:space="preserve"> (soupe et refus)</w:t>
      </w:r>
      <w:r>
        <w:rPr>
          <w:sz w:val="22"/>
          <w:szCs w:val="22"/>
        </w:rPr>
        <w:t>.</w:t>
      </w:r>
    </w:p>
    <w:p w14:paraId="00000072" w14:textId="24FF0150" w:rsidR="00EF5278" w:rsidRDefault="00CC0084">
      <w:pPr>
        <w:numPr>
          <w:ilvl w:val="0"/>
          <w:numId w:val="10"/>
        </w:numPr>
        <w:pBdr>
          <w:top w:val="nil"/>
          <w:left w:val="nil"/>
          <w:bottom w:val="nil"/>
          <w:right w:val="nil"/>
          <w:between w:val="nil"/>
        </w:pBdr>
        <w:rPr>
          <w:color w:val="000000"/>
          <w:sz w:val="22"/>
          <w:szCs w:val="22"/>
        </w:rPr>
      </w:pPr>
      <w:r>
        <w:rPr>
          <w:color w:val="000000"/>
          <w:sz w:val="22"/>
          <w:szCs w:val="22"/>
        </w:rPr>
        <w:t>Les coûts de l’opération (coûts d’investissement, coûts de fonctionnement, en €/t entrante notamment),</w:t>
      </w:r>
      <w:r w:rsidR="001816C9">
        <w:rPr>
          <w:color w:val="000000"/>
          <w:sz w:val="22"/>
          <w:szCs w:val="22"/>
        </w:rPr>
        <w:t xml:space="preserve"> sous la forme d’un business plan de 5 ans.</w:t>
      </w:r>
    </w:p>
    <w:p w14:paraId="00000073" w14:textId="52DA6127" w:rsidR="00EF5278" w:rsidRDefault="00CC0084">
      <w:pPr>
        <w:numPr>
          <w:ilvl w:val="0"/>
          <w:numId w:val="10"/>
        </w:numPr>
        <w:pBdr>
          <w:top w:val="nil"/>
          <w:left w:val="nil"/>
          <w:bottom w:val="nil"/>
          <w:right w:val="nil"/>
          <w:between w:val="nil"/>
        </w:pBdr>
        <w:rPr>
          <w:color w:val="000000"/>
          <w:sz w:val="22"/>
          <w:szCs w:val="22"/>
        </w:rPr>
      </w:pPr>
      <w:r>
        <w:rPr>
          <w:color w:val="000000"/>
          <w:sz w:val="22"/>
          <w:szCs w:val="22"/>
        </w:rPr>
        <w:t xml:space="preserve">Les destinations possibles de la soupe </w:t>
      </w:r>
      <w:r w:rsidR="001816C9">
        <w:rPr>
          <w:color w:val="000000"/>
          <w:sz w:val="22"/>
          <w:szCs w:val="22"/>
        </w:rPr>
        <w:t xml:space="preserve">ainsi que des refus </w:t>
      </w:r>
      <w:r>
        <w:rPr>
          <w:color w:val="000000"/>
          <w:sz w:val="22"/>
          <w:szCs w:val="22"/>
        </w:rPr>
        <w:t>issu</w:t>
      </w:r>
      <w:r w:rsidR="001816C9">
        <w:rPr>
          <w:color w:val="000000"/>
          <w:sz w:val="22"/>
          <w:szCs w:val="22"/>
        </w:rPr>
        <w:t>s</w:t>
      </w:r>
      <w:r>
        <w:rPr>
          <w:color w:val="000000"/>
          <w:sz w:val="22"/>
          <w:szCs w:val="22"/>
        </w:rPr>
        <w:t xml:space="preserve"> de l’équipement de déconditionnement / hygiénisation.</w:t>
      </w:r>
    </w:p>
    <w:p w14:paraId="00000074" w14:textId="77777777" w:rsidR="00EF5278" w:rsidRDefault="00EF5278">
      <w:pPr>
        <w:rPr>
          <w:sz w:val="22"/>
          <w:szCs w:val="22"/>
        </w:rPr>
      </w:pPr>
    </w:p>
    <w:p w14:paraId="00000075" w14:textId="77777777" w:rsidR="00EF5278" w:rsidRDefault="00CC0084">
      <w:pPr>
        <w:rPr>
          <w:sz w:val="22"/>
          <w:szCs w:val="22"/>
        </w:rPr>
      </w:pPr>
      <w:r>
        <w:rPr>
          <w:b/>
          <w:sz w:val="22"/>
          <w:szCs w:val="22"/>
        </w:rPr>
        <w:t>Une trame de cahier des charges « étude territoriale » est disponible en annexe du dossier de l’appel à projets</w:t>
      </w:r>
      <w:r>
        <w:rPr>
          <w:sz w:val="22"/>
          <w:szCs w:val="22"/>
        </w:rPr>
        <w:t xml:space="preserve"> : en plus des volets administratif, technique et financier constituant le dossier de candidature à la phase 1, </w:t>
      </w:r>
      <w:r>
        <w:rPr>
          <w:b/>
          <w:sz w:val="22"/>
          <w:szCs w:val="22"/>
        </w:rPr>
        <w:t>ce cahier des charges, signé, devra constituer une des pièces de l’acte de candidature si le candidat souhaite lancer une consultation pour être accompagné par un bureau d’études spécialisé et, ainsi, être aidé financièrement</w:t>
      </w:r>
      <w:r>
        <w:rPr>
          <w:b/>
          <w:sz w:val="22"/>
          <w:szCs w:val="22"/>
          <w:vertAlign w:val="superscript"/>
        </w:rPr>
        <w:footnoteReference w:id="2"/>
      </w:r>
      <w:r>
        <w:rPr>
          <w:b/>
          <w:sz w:val="22"/>
          <w:szCs w:val="22"/>
        </w:rPr>
        <w:t>.</w:t>
      </w:r>
      <w:r>
        <w:rPr>
          <w:sz w:val="22"/>
          <w:szCs w:val="22"/>
        </w:rPr>
        <w:t xml:space="preserve"> </w:t>
      </w:r>
    </w:p>
    <w:p w14:paraId="00000076" w14:textId="77777777" w:rsidR="00EF5278" w:rsidRDefault="00CC0084">
      <w:pPr>
        <w:rPr>
          <w:sz w:val="22"/>
          <w:szCs w:val="22"/>
        </w:rPr>
      </w:pPr>
      <w:r>
        <w:rPr>
          <w:sz w:val="22"/>
          <w:szCs w:val="22"/>
        </w:rPr>
        <w:t>Cette phase 1 déterminera la pertinence ou non de la mise en place d’un dispositif de déconditionnement / hygiénisation sur le territoire visé. Elle devra faire l’objet de comités de pilotage et/ou de suivi intégrant les financeurs et partenaires du présent appel à projets. En fonction des résultats de cette étude, le porteur du projet pourra alors candidater à la phase 2 de l’appel à projets.</w:t>
      </w:r>
    </w:p>
    <w:p w14:paraId="00000077" w14:textId="77777777" w:rsidR="00EF5278" w:rsidRDefault="00EF5278">
      <w:pPr>
        <w:rPr>
          <w:sz w:val="22"/>
          <w:szCs w:val="22"/>
        </w:rPr>
      </w:pPr>
    </w:p>
    <w:p w14:paraId="00000078" w14:textId="77777777" w:rsidR="00EF5278" w:rsidRDefault="00CC0084">
      <w:pPr>
        <w:pStyle w:val="Titre4"/>
        <w:numPr>
          <w:ilvl w:val="3"/>
          <w:numId w:val="16"/>
        </w:numPr>
      </w:pPr>
      <w:r>
        <w:t>Phase 2 : la création de l’unité, son investissement</w:t>
      </w:r>
    </w:p>
    <w:p w14:paraId="00000079" w14:textId="77777777" w:rsidR="00EF5278" w:rsidRDefault="00EF5278">
      <w:pPr>
        <w:rPr>
          <w:sz w:val="22"/>
          <w:szCs w:val="22"/>
        </w:rPr>
      </w:pPr>
    </w:p>
    <w:p w14:paraId="0000007A" w14:textId="77777777" w:rsidR="00EF5278" w:rsidRDefault="00CC0084">
      <w:pPr>
        <w:rPr>
          <w:b/>
          <w:sz w:val="22"/>
          <w:szCs w:val="22"/>
        </w:rPr>
      </w:pPr>
      <w:r>
        <w:rPr>
          <w:sz w:val="22"/>
          <w:szCs w:val="22"/>
        </w:rPr>
        <w:t xml:space="preserve">La phase 2 est enclenchée après la phase 1, sur la base d’une étude effectuée par un prestataire externe, ou d’une étude effectuée en interne à la structure porteuse du projet. </w:t>
      </w:r>
      <w:r>
        <w:rPr>
          <w:b/>
          <w:sz w:val="22"/>
          <w:szCs w:val="22"/>
        </w:rPr>
        <w:t>Dans tous les cas, les conclusions de l’étude doivent :</w:t>
      </w:r>
    </w:p>
    <w:p w14:paraId="0000007B" w14:textId="77777777" w:rsidR="00EF5278" w:rsidRDefault="00CC0084">
      <w:pPr>
        <w:numPr>
          <w:ilvl w:val="0"/>
          <w:numId w:val="12"/>
        </w:numPr>
        <w:pBdr>
          <w:top w:val="nil"/>
          <w:left w:val="nil"/>
          <w:bottom w:val="nil"/>
          <w:right w:val="nil"/>
          <w:between w:val="nil"/>
        </w:pBdr>
        <w:rPr>
          <w:b/>
          <w:color w:val="000000"/>
          <w:sz w:val="22"/>
          <w:szCs w:val="22"/>
        </w:rPr>
      </w:pPr>
      <w:r>
        <w:rPr>
          <w:b/>
          <w:color w:val="000000"/>
          <w:sz w:val="22"/>
          <w:szCs w:val="22"/>
        </w:rPr>
        <w:t>Correspondre aux attendus déclinés dans le cahier des charges « étude territoriale », disponible en annexe du dossier de l’appel à projets,</w:t>
      </w:r>
    </w:p>
    <w:p w14:paraId="0000007C" w14:textId="77777777" w:rsidR="00EF5278" w:rsidRDefault="00CC0084">
      <w:pPr>
        <w:numPr>
          <w:ilvl w:val="0"/>
          <w:numId w:val="12"/>
        </w:numPr>
        <w:pBdr>
          <w:top w:val="nil"/>
          <w:left w:val="nil"/>
          <w:bottom w:val="nil"/>
          <w:right w:val="nil"/>
          <w:between w:val="nil"/>
        </w:pBdr>
        <w:rPr>
          <w:color w:val="000000"/>
          <w:sz w:val="22"/>
          <w:szCs w:val="22"/>
        </w:rPr>
      </w:pPr>
      <w:r>
        <w:rPr>
          <w:b/>
          <w:color w:val="000000"/>
          <w:sz w:val="22"/>
          <w:szCs w:val="22"/>
        </w:rPr>
        <w:t>Être présentées dans l’acte de candidature à la phase 2</w:t>
      </w:r>
      <w:r>
        <w:rPr>
          <w:color w:val="000000"/>
          <w:sz w:val="22"/>
          <w:szCs w:val="22"/>
        </w:rPr>
        <w:t>.</w:t>
      </w:r>
    </w:p>
    <w:p w14:paraId="0000007D" w14:textId="77777777" w:rsidR="00EF5278" w:rsidRDefault="00CC0084">
      <w:pPr>
        <w:rPr>
          <w:sz w:val="22"/>
          <w:szCs w:val="22"/>
        </w:rPr>
      </w:pPr>
      <w:r>
        <w:rPr>
          <w:sz w:val="22"/>
          <w:szCs w:val="22"/>
        </w:rPr>
        <w:t>Cette phase 2 correspondra à la période de construction et de démarrage de l’exploitation de la future unité. Cette phase pourra s’étaler sur plusieurs mois et fera notamment l’objet de comités de pilotage et/ou de suivi auxquels les financeurs et partenaires du présent appel à projets devront être conviés.</w:t>
      </w:r>
    </w:p>
    <w:p w14:paraId="0000007E" w14:textId="1ECDFC6C" w:rsidR="00EF5278" w:rsidRDefault="00CC0084">
      <w:pPr>
        <w:rPr>
          <w:sz w:val="22"/>
          <w:szCs w:val="22"/>
        </w:rPr>
      </w:pPr>
      <w:r>
        <w:rPr>
          <w:sz w:val="22"/>
          <w:szCs w:val="22"/>
        </w:rPr>
        <w:t xml:space="preserve">Afin de présenter le projet de la future unité de déconditionnement/hygiénisation, le candidat devra renseigner de manière claire et détaillée le volet technique constituant le dossier de candidature fourni sur la page </w:t>
      </w:r>
      <w:hyperlink r:id="rId14">
        <w:r>
          <w:rPr>
            <w:color w:val="0563C1"/>
            <w:sz w:val="22"/>
            <w:szCs w:val="22"/>
            <w:u w:val="single"/>
          </w:rPr>
          <w:t>https://agirpourlatransition.ademe.fr/</w:t>
        </w:r>
      </w:hyperlink>
      <w:r>
        <w:rPr>
          <w:sz w:val="22"/>
          <w:szCs w:val="22"/>
        </w:rPr>
        <w:t xml:space="preserve"> relative au présent appel à projets.</w:t>
      </w:r>
    </w:p>
    <w:p w14:paraId="0000007F" w14:textId="77777777" w:rsidR="00EF5278" w:rsidRPr="0099690B" w:rsidRDefault="00CC0084">
      <w:pPr>
        <w:rPr>
          <w:sz w:val="22"/>
          <w:szCs w:val="22"/>
          <w:u w:val="single"/>
        </w:rPr>
      </w:pPr>
      <w:r>
        <w:rPr>
          <w:sz w:val="22"/>
          <w:szCs w:val="22"/>
        </w:rPr>
        <w:t xml:space="preserve">Pour rappel, le projet d’investissement présenté </w:t>
      </w:r>
      <w:r w:rsidRPr="0099690B">
        <w:rPr>
          <w:sz w:val="22"/>
          <w:szCs w:val="22"/>
          <w:u w:val="single"/>
        </w:rPr>
        <w:t>ne devra pas avoir été démarré et aucun devis ne devra avoir été signé.</w:t>
      </w:r>
    </w:p>
    <w:p w14:paraId="00000080" w14:textId="77777777" w:rsidR="00EF5278" w:rsidRDefault="00EF5278">
      <w:pPr>
        <w:spacing w:line="259" w:lineRule="auto"/>
      </w:pPr>
    </w:p>
    <w:p w14:paraId="00000081" w14:textId="77777777" w:rsidR="00EF5278" w:rsidRDefault="00CC0084">
      <w:pPr>
        <w:pStyle w:val="Titre3"/>
        <w:numPr>
          <w:ilvl w:val="2"/>
          <w:numId w:val="16"/>
        </w:numPr>
      </w:pPr>
      <w:bookmarkStart w:id="8" w:name="_heading=h.3dy6vkm" w:colFirst="0" w:colLast="0"/>
      <w:bookmarkEnd w:id="8"/>
      <w:r>
        <w:t>Maîtres d’ouvrages éligibles</w:t>
      </w:r>
    </w:p>
    <w:p w14:paraId="00000082" w14:textId="77777777" w:rsidR="00EF5278" w:rsidRDefault="00CC0084">
      <w:pPr>
        <w:rPr>
          <w:sz w:val="22"/>
          <w:szCs w:val="22"/>
        </w:rPr>
      </w:pPr>
      <w:r>
        <w:rPr>
          <w:sz w:val="22"/>
          <w:szCs w:val="22"/>
        </w:rPr>
        <w:t>Le porteur de projet doit être une personne morale privée ou publique (entreprise, collectivité, etc.), éligible à des aides d’Etat, ne faisant pas l’objet d’une procédure collective en cours et étant en conformité avec la réglementation.</w:t>
      </w:r>
    </w:p>
    <w:p w14:paraId="00000083" w14:textId="77777777" w:rsidR="00EF5278" w:rsidRDefault="00CC0084">
      <w:pPr>
        <w:rPr>
          <w:b/>
          <w:sz w:val="22"/>
          <w:szCs w:val="22"/>
        </w:rPr>
      </w:pPr>
      <w:r>
        <w:rPr>
          <w:b/>
          <w:sz w:val="22"/>
          <w:szCs w:val="22"/>
        </w:rPr>
        <w:t xml:space="preserve">L’appel à projets est ouvert aux structures suivantes : </w:t>
      </w:r>
      <w:r>
        <w:rPr>
          <w:color w:val="000000"/>
          <w:sz w:val="22"/>
          <w:szCs w:val="22"/>
        </w:rPr>
        <w:t>Toute structure ou groupement étant en mesure de piloter la mise en œuvre d’un tel dispositif en maîtrise d’ouvrage unique ou multi-partenarial.</w:t>
      </w:r>
    </w:p>
    <w:p w14:paraId="00000084" w14:textId="77777777" w:rsidR="00EF5278" w:rsidRDefault="00CC0084">
      <w:pPr>
        <w:rPr>
          <w:b/>
          <w:sz w:val="22"/>
          <w:szCs w:val="22"/>
        </w:rPr>
      </w:pPr>
      <w:r>
        <w:rPr>
          <w:b/>
          <w:sz w:val="22"/>
          <w:szCs w:val="22"/>
        </w:rPr>
        <w:t>Il peut être, à titre d’exemple :</w:t>
      </w:r>
    </w:p>
    <w:p w14:paraId="00000085" w14:textId="77777777" w:rsidR="00EF5278" w:rsidRDefault="00CC0084">
      <w:pPr>
        <w:numPr>
          <w:ilvl w:val="0"/>
          <w:numId w:val="17"/>
        </w:numPr>
        <w:pBdr>
          <w:top w:val="nil"/>
          <w:left w:val="nil"/>
          <w:bottom w:val="nil"/>
          <w:right w:val="nil"/>
          <w:between w:val="nil"/>
        </w:pBdr>
        <w:rPr>
          <w:color w:val="000000"/>
          <w:sz w:val="22"/>
          <w:szCs w:val="22"/>
        </w:rPr>
      </w:pPr>
      <w:r>
        <w:rPr>
          <w:color w:val="000000"/>
          <w:sz w:val="22"/>
          <w:szCs w:val="22"/>
        </w:rPr>
        <w:t>Une structure publique à compétence « collecte et/ou traitement des déchets »,</w:t>
      </w:r>
    </w:p>
    <w:p w14:paraId="00000086" w14:textId="77777777" w:rsidR="00EF5278" w:rsidRDefault="00CC0084">
      <w:pPr>
        <w:numPr>
          <w:ilvl w:val="0"/>
          <w:numId w:val="13"/>
        </w:numPr>
        <w:pBdr>
          <w:top w:val="nil"/>
          <w:left w:val="nil"/>
          <w:bottom w:val="nil"/>
          <w:right w:val="nil"/>
          <w:between w:val="nil"/>
        </w:pBdr>
        <w:rPr>
          <w:color w:val="000000"/>
          <w:sz w:val="22"/>
          <w:szCs w:val="22"/>
        </w:rPr>
      </w:pPr>
      <w:r>
        <w:rPr>
          <w:color w:val="000000"/>
          <w:sz w:val="22"/>
          <w:szCs w:val="22"/>
        </w:rPr>
        <w:t>Un opérateur de la gestion des déchets,</w:t>
      </w:r>
    </w:p>
    <w:p w14:paraId="00000087" w14:textId="77777777" w:rsidR="00EF5278" w:rsidRDefault="00CC0084">
      <w:pPr>
        <w:numPr>
          <w:ilvl w:val="0"/>
          <w:numId w:val="13"/>
        </w:numPr>
        <w:pBdr>
          <w:top w:val="nil"/>
          <w:left w:val="nil"/>
          <w:bottom w:val="nil"/>
          <w:right w:val="nil"/>
          <w:between w:val="nil"/>
        </w:pBdr>
        <w:rPr>
          <w:color w:val="000000"/>
          <w:sz w:val="22"/>
          <w:szCs w:val="22"/>
        </w:rPr>
      </w:pPr>
      <w:r>
        <w:rPr>
          <w:color w:val="000000"/>
          <w:sz w:val="22"/>
          <w:szCs w:val="22"/>
        </w:rPr>
        <w:t>Une société de projets dédiée,</w:t>
      </w:r>
    </w:p>
    <w:p w14:paraId="00000088" w14:textId="77777777" w:rsidR="00EF5278" w:rsidRDefault="00CC0084">
      <w:pPr>
        <w:numPr>
          <w:ilvl w:val="0"/>
          <w:numId w:val="13"/>
        </w:numPr>
        <w:pBdr>
          <w:top w:val="nil"/>
          <w:left w:val="nil"/>
          <w:bottom w:val="nil"/>
          <w:right w:val="nil"/>
          <w:between w:val="nil"/>
        </w:pBdr>
        <w:rPr>
          <w:color w:val="000000"/>
          <w:sz w:val="22"/>
          <w:szCs w:val="22"/>
        </w:rPr>
      </w:pPr>
      <w:r>
        <w:rPr>
          <w:color w:val="000000"/>
          <w:sz w:val="22"/>
          <w:szCs w:val="22"/>
        </w:rPr>
        <w:t>Une association.</w:t>
      </w:r>
    </w:p>
    <w:p w14:paraId="00000089" w14:textId="77777777" w:rsidR="00EF5278" w:rsidRDefault="00EF5278"/>
    <w:p w14:paraId="0000008A" w14:textId="77777777" w:rsidR="00EF5278" w:rsidRDefault="00CC0084">
      <w:pPr>
        <w:pStyle w:val="Titre3"/>
        <w:numPr>
          <w:ilvl w:val="2"/>
          <w:numId w:val="16"/>
        </w:numPr>
      </w:pPr>
      <w:bookmarkStart w:id="9" w:name="_heading=h.1t3h5sf" w:colFirst="0" w:colLast="0"/>
      <w:bookmarkEnd w:id="9"/>
      <w:r>
        <w:t xml:space="preserve">Déchets ciblés </w:t>
      </w:r>
    </w:p>
    <w:p w14:paraId="0000008B" w14:textId="77777777" w:rsidR="00EF5278" w:rsidRDefault="00CC0084">
      <w:pPr>
        <w:rPr>
          <w:sz w:val="22"/>
          <w:szCs w:val="22"/>
        </w:rPr>
      </w:pPr>
      <w:r>
        <w:rPr>
          <w:sz w:val="22"/>
          <w:szCs w:val="22"/>
        </w:rPr>
        <w:t xml:space="preserve">Le projet de mise en place d’un équipement de déconditionnement doit cibler en priorité </w:t>
      </w:r>
      <w:r>
        <w:rPr>
          <w:b/>
          <w:sz w:val="22"/>
          <w:szCs w:val="22"/>
        </w:rPr>
        <w:t>les biodéchets emballés échappant aujourd’hui à la valorisation organique</w:t>
      </w:r>
      <w:r>
        <w:rPr>
          <w:sz w:val="22"/>
          <w:szCs w:val="22"/>
        </w:rPr>
        <w:t>. Le projet pouvant faire l’objet d’une candidature doit donc porter sur des flux de biodéchets emballés de multiples origines :</w:t>
      </w:r>
    </w:p>
    <w:p w14:paraId="0000008C" w14:textId="77777777" w:rsidR="00EF5278" w:rsidRDefault="00CC0084">
      <w:pPr>
        <w:numPr>
          <w:ilvl w:val="0"/>
          <w:numId w:val="4"/>
        </w:numPr>
        <w:pBdr>
          <w:top w:val="nil"/>
          <w:left w:val="nil"/>
          <w:bottom w:val="nil"/>
          <w:right w:val="nil"/>
          <w:between w:val="nil"/>
        </w:pBdr>
        <w:rPr>
          <w:color w:val="000000"/>
          <w:sz w:val="22"/>
          <w:szCs w:val="22"/>
        </w:rPr>
      </w:pPr>
      <w:r>
        <w:rPr>
          <w:color w:val="000000"/>
          <w:sz w:val="22"/>
          <w:szCs w:val="22"/>
        </w:rPr>
        <w:t>Industries agroalimentaires,</w:t>
      </w:r>
    </w:p>
    <w:p w14:paraId="0000008D" w14:textId="77777777" w:rsidR="00EF5278" w:rsidRDefault="00CC0084">
      <w:pPr>
        <w:numPr>
          <w:ilvl w:val="0"/>
          <w:numId w:val="4"/>
        </w:numPr>
        <w:pBdr>
          <w:top w:val="nil"/>
          <w:left w:val="nil"/>
          <w:bottom w:val="nil"/>
          <w:right w:val="nil"/>
          <w:between w:val="nil"/>
        </w:pBdr>
        <w:rPr>
          <w:color w:val="000000"/>
          <w:sz w:val="22"/>
          <w:szCs w:val="22"/>
        </w:rPr>
      </w:pPr>
      <w:r>
        <w:rPr>
          <w:color w:val="000000"/>
          <w:sz w:val="22"/>
          <w:szCs w:val="22"/>
        </w:rPr>
        <w:t>Biodéchets des grossistes et autres intermédiaires de l’expédition des denrées alimentaires,</w:t>
      </w:r>
    </w:p>
    <w:p w14:paraId="0000008E" w14:textId="77777777" w:rsidR="00EF5278" w:rsidRDefault="00CC0084">
      <w:pPr>
        <w:numPr>
          <w:ilvl w:val="0"/>
          <w:numId w:val="4"/>
        </w:numPr>
        <w:pBdr>
          <w:top w:val="nil"/>
          <w:left w:val="nil"/>
          <w:bottom w:val="nil"/>
          <w:right w:val="nil"/>
          <w:between w:val="nil"/>
        </w:pBdr>
        <w:rPr>
          <w:color w:val="000000"/>
          <w:sz w:val="22"/>
          <w:szCs w:val="22"/>
        </w:rPr>
      </w:pPr>
      <w:r>
        <w:rPr>
          <w:color w:val="000000"/>
          <w:sz w:val="22"/>
          <w:szCs w:val="22"/>
        </w:rPr>
        <w:t>Biodéchets de la grande et moyenne distribution,</w:t>
      </w:r>
    </w:p>
    <w:p w14:paraId="0000008F" w14:textId="77777777" w:rsidR="00EF5278" w:rsidRDefault="00CC0084">
      <w:pPr>
        <w:numPr>
          <w:ilvl w:val="0"/>
          <w:numId w:val="4"/>
        </w:numPr>
        <w:pBdr>
          <w:top w:val="nil"/>
          <w:left w:val="nil"/>
          <w:bottom w:val="nil"/>
          <w:right w:val="nil"/>
          <w:between w:val="nil"/>
        </w:pBdr>
        <w:rPr>
          <w:color w:val="000000"/>
          <w:sz w:val="22"/>
          <w:szCs w:val="22"/>
        </w:rPr>
      </w:pPr>
      <w:r>
        <w:rPr>
          <w:color w:val="000000"/>
          <w:sz w:val="22"/>
          <w:szCs w:val="22"/>
        </w:rPr>
        <w:t>Restauration commerciale.</w:t>
      </w:r>
    </w:p>
    <w:p w14:paraId="00000090" w14:textId="77777777" w:rsidR="00EF5278" w:rsidRDefault="00CC0084">
      <w:pPr>
        <w:rPr>
          <w:sz w:val="22"/>
          <w:szCs w:val="22"/>
        </w:rPr>
      </w:pPr>
      <w:r>
        <w:rPr>
          <w:sz w:val="22"/>
          <w:szCs w:val="22"/>
        </w:rPr>
        <w:t xml:space="preserve">Les déchets de la restauration collective, des marchés alimentaires et les biodéchets (déchets de cuisine et de table) des ménages pourront compléter le gisement à la marge mais </w:t>
      </w:r>
      <w:r>
        <w:rPr>
          <w:b/>
          <w:sz w:val="22"/>
          <w:szCs w:val="22"/>
        </w:rPr>
        <w:t>ne devront pas excéder 30% du plan d’approvisionnement</w:t>
      </w:r>
      <w:r>
        <w:rPr>
          <w:sz w:val="22"/>
          <w:szCs w:val="22"/>
        </w:rPr>
        <w:t>.</w:t>
      </w:r>
    </w:p>
    <w:p w14:paraId="00000091" w14:textId="77777777" w:rsidR="00EF5278" w:rsidRDefault="00EF5278">
      <w:pPr>
        <w:rPr>
          <w:sz w:val="22"/>
          <w:szCs w:val="22"/>
        </w:rPr>
      </w:pPr>
    </w:p>
    <w:p w14:paraId="00000092" w14:textId="77777777" w:rsidR="00EF5278" w:rsidRDefault="00CC0084">
      <w:pPr>
        <w:pStyle w:val="Titre2"/>
        <w:numPr>
          <w:ilvl w:val="1"/>
          <w:numId w:val="16"/>
        </w:numPr>
        <w:shd w:val="clear" w:color="auto" w:fill="002060"/>
      </w:pPr>
      <w:bookmarkStart w:id="10" w:name="_heading=h.4d34og8" w:colFirst="0" w:colLast="0"/>
      <w:bookmarkEnd w:id="10"/>
      <w:r>
        <w:t>Modalités de candidature</w:t>
      </w:r>
    </w:p>
    <w:p w14:paraId="00000093" w14:textId="77777777" w:rsidR="00EF5278" w:rsidRDefault="00EF5278"/>
    <w:p w14:paraId="00000094" w14:textId="77777777" w:rsidR="00EF5278" w:rsidRDefault="00CC0084">
      <w:pPr>
        <w:pStyle w:val="Titre3"/>
        <w:numPr>
          <w:ilvl w:val="2"/>
          <w:numId w:val="16"/>
        </w:numPr>
        <w:rPr>
          <w:color w:val="002060"/>
        </w:rPr>
      </w:pPr>
      <w:bookmarkStart w:id="11" w:name="_heading=h.2s8eyo1" w:colFirst="0" w:colLast="0"/>
      <w:bookmarkEnd w:id="11"/>
      <w:r>
        <w:rPr>
          <w:color w:val="002060"/>
        </w:rPr>
        <w:t>Dossier de demande de subvention</w:t>
      </w:r>
    </w:p>
    <w:p w14:paraId="00000095" w14:textId="77777777" w:rsidR="00EF5278" w:rsidRDefault="00CC0084">
      <w:pPr>
        <w:rPr>
          <w:color w:val="000000"/>
          <w:sz w:val="22"/>
          <w:szCs w:val="22"/>
        </w:rPr>
      </w:pPr>
      <w:r>
        <w:rPr>
          <w:color w:val="000000"/>
          <w:sz w:val="22"/>
          <w:szCs w:val="22"/>
        </w:rPr>
        <w:t xml:space="preserve">Les candidats devront déposer un </w:t>
      </w:r>
      <w:r>
        <w:rPr>
          <w:b/>
          <w:color w:val="000000"/>
          <w:sz w:val="22"/>
          <w:szCs w:val="22"/>
        </w:rPr>
        <w:t>dossier de demande de subvention</w:t>
      </w:r>
      <w:r>
        <w:rPr>
          <w:color w:val="000000"/>
          <w:sz w:val="22"/>
          <w:szCs w:val="22"/>
        </w:rPr>
        <w:t xml:space="preserve"> composé des éléments suivants :</w:t>
      </w:r>
    </w:p>
    <w:p w14:paraId="00000096" w14:textId="77777777" w:rsidR="00EF5278" w:rsidRDefault="00CC0084">
      <w:pPr>
        <w:spacing w:after="160" w:line="259" w:lineRule="auto"/>
        <w:jc w:val="left"/>
        <w:rPr>
          <w:color w:val="000000"/>
          <w:sz w:val="22"/>
          <w:szCs w:val="22"/>
        </w:rPr>
      </w:pPr>
      <w:r>
        <w:br w:type="page"/>
      </w:r>
    </w:p>
    <w:p w14:paraId="00000097" w14:textId="77777777" w:rsidR="00EF5278" w:rsidRDefault="00CC0084">
      <w:pPr>
        <w:rPr>
          <w:color w:val="000000"/>
          <w:sz w:val="22"/>
          <w:szCs w:val="22"/>
        </w:rPr>
      </w:pPr>
      <w:r>
        <w:rPr>
          <w:b/>
          <w:color w:val="000000"/>
          <w:sz w:val="28"/>
          <w:szCs w:val="28"/>
        </w:rPr>
        <w:t>Pour un dépôt en phase 1</w:t>
      </w:r>
      <w:r>
        <w:rPr>
          <w:color w:val="000000"/>
          <w:sz w:val="22"/>
          <w:szCs w:val="22"/>
        </w:rPr>
        <w:t> :</w:t>
      </w:r>
    </w:p>
    <w:p w14:paraId="00000098" w14:textId="77777777" w:rsidR="00EF5278" w:rsidRDefault="00CC0084">
      <w:pPr>
        <w:ind w:left="742"/>
        <w:rPr>
          <w:sz w:val="22"/>
          <w:szCs w:val="22"/>
        </w:rPr>
      </w:pPr>
      <w:r>
        <w:rPr>
          <w:sz w:val="22"/>
          <w:szCs w:val="22"/>
        </w:rPr>
        <w:t>⬜ Volet administratif directement disponible sur la page de candidature du site « agir pour la transition »</w:t>
      </w:r>
    </w:p>
    <w:p w14:paraId="00000099" w14:textId="77777777" w:rsidR="00EF5278" w:rsidRDefault="00CC0084">
      <w:pPr>
        <w:ind w:left="742"/>
        <w:rPr>
          <w:sz w:val="22"/>
          <w:szCs w:val="22"/>
        </w:rPr>
      </w:pPr>
      <w:r>
        <w:rPr>
          <w:sz w:val="22"/>
          <w:szCs w:val="22"/>
        </w:rPr>
        <w:t>⬜ Volet financier directement disponible sur la page de candidature du site « agir pour la transition »</w:t>
      </w:r>
    </w:p>
    <w:p w14:paraId="0000009A" w14:textId="3067CA18" w:rsidR="00EF5278" w:rsidRDefault="00CC0084">
      <w:pPr>
        <w:ind w:left="742"/>
        <w:rPr>
          <w:sz w:val="22"/>
          <w:szCs w:val="22"/>
        </w:rPr>
      </w:pPr>
      <w:r>
        <w:rPr>
          <w:sz w:val="22"/>
          <w:szCs w:val="22"/>
        </w:rPr>
        <w:t xml:space="preserve">⬜ Volet technique permettant d’apprécier la qualité du projet au regard des critères d’éligibilité et d’appréciation, </w:t>
      </w:r>
      <w:r>
        <w:rPr>
          <w:sz w:val="22"/>
          <w:szCs w:val="22"/>
          <w:u w:val="single"/>
        </w:rPr>
        <w:t>disponible au format Word</w:t>
      </w:r>
      <w:r>
        <w:rPr>
          <w:sz w:val="22"/>
          <w:szCs w:val="22"/>
        </w:rPr>
        <w:t xml:space="preserve"> sur la page d’accueil « agir pour la transition » relative au présent appel à projet</w:t>
      </w:r>
      <w:r w:rsidR="0099690B">
        <w:rPr>
          <w:sz w:val="22"/>
          <w:szCs w:val="22"/>
        </w:rPr>
        <w:t>s</w:t>
      </w:r>
      <w:r>
        <w:rPr>
          <w:sz w:val="22"/>
          <w:szCs w:val="22"/>
        </w:rPr>
        <w:t xml:space="preserve">, et à communiquer au même format en le téléchargeant lors de la candidature, </w:t>
      </w:r>
    </w:p>
    <w:p w14:paraId="2B950C10" w14:textId="5262B2DC" w:rsidR="008D5CC6" w:rsidRPr="008D5CC6" w:rsidRDefault="008D5CC6">
      <w:pPr>
        <w:ind w:left="742"/>
        <w:rPr>
          <w:rFonts w:asciiTheme="minorHAnsi" w:hAnsiTheme="minorHAnsi" w:cstheme="minorHAnsi"/>
          <w:sz w:val="22"/>
          <w:szCs w:val="22"/>
        </w:rPr>
      </w:pPr>
      <w:r>
        <w:rPr>
          <w:rFonts w:ascii="Segoe UI Emoji" w:hAnsi="Segoe UI Emoji" w:cs="Segoe UI Emoji"/>
          <w:sz w:val="22"/>
          <w:szCs w:val="22"/>
        </w:rPr>
        <w:t xml:space="preserve">⬜ </w:t>
      </w:r>
      <w:r w:rsidRPr="008D5CC6">
        <w:rPr>
          <w:rFonts w:asciiTheme="minorHAnsi" w:hAnsiTheme="minorHAnsi" w:cstheme="minorHAnsi"/>
          <w:sz w:val="22"/>
          <w:szCs w:val="22"/>
        </w:rPr>
        <w:t>L’attestation de santé financière</w:t>
      </w:r>
    </w:p>
    <w:p w14:paraId="0000009B" w14:textId="77777777" w:rsidR="00EF5278" w:rsidRPr="00E21B74" w:rsidRDefault="00CC0084">
      <w:pPr>
        <w:ind w:left="742"/>
        <w:rPr>
          <w:sz w:val="22"/>
          <w:szCs w:val="22"/>
        </w:rPr>
      </w:pPr>
      <w:r>
        <w:rPr>
          <w:sz w:val="22"/>
          <w:szCs w:val="22"/>
        </w:rPr>
        <w:t xml:space="preserve">⬜ Le projet de cahier des charges de « l’étude territoriale » au format Word </w:t>
      </w:r>
      <w:r>
        <w:rPr>
          <w:sz w:val="22"/>
          <w:szCs w:val="22"/>
          <w:u w:val="single"/>
        </w:rPr>
        <w:t>signé</w:t>
      </w:r>
      <w:r>
        <w:rPr>
          <w:sz w:val="22"/>
          <w:szCs w:val="22"/>
        </w:rPr>
        <w:t xml:space="preserve">, adapté au </w:t>
      </w:r>
      <w:r w:rsidRPr="00E21B74">
        <w:rPr>
          <w:sz w:val="22"/>
          <w:szCs w:val="22"/>
        </w:rPr>
        <w:t>contexte et au territoire du candidat.</w:t>
      </w:r>
    </w:p>
    <w:p w14:paraId="0000009C" w14:textId="1D19CC94" w:rsidR="00EF5278" w:rsidRPr="00E21B74" w:rsidRDefault="00CC0084">
      <w:pPr>
        <w:ind w:left="742"/>
        <w:rPr>
          <w:sz w:val="22"/>
          <w:szCs w:val="22"/>
        </w:rPr>
      </w:pPr>
      <w:r w:rsidRPr="00E21B74">
        <w:rPr>
          <w:sz w:val="22"/>
          <w:szCs w:val="22"/>
        </w:rPr>
        <w:t>⬜ La proposition technique et financière d’un bureau d’étude</w:t>
      </w:r>
      <w:r w:rsidR="0099690B" w:rsidRPr="00E21B74">
        <w:rPr>
          <w:sz w:val="22"/>
          <w:szCs w:val="22"/>
        </w:rPr>
        <w:t>s</w:t>
      </w:r>
      <w:r w:rsidRPr="00E21B74">
        <w:rPr>
          <w:sz w:val="22"/>
          <w:szCs w:val="22"/>
        </w:rPr>
        <w:t xml:space="preserve"> </w:t>
      </w:r>
      <w:r w:rsidRPr="00E21B74">
        <w:rPr>
          <w:sz w:val="22"/>
          <w:szCs w:val="22"/>
          <w:u w:val="single"/>
        </w:rPr>
        <w:t>non signée</w:t>
      </w:r>
      <w:r w:rsidRPr="00E21B74">
        <w:rPr>
          <w:sz w:val="22"/>
          <w:szCs w:val="22"/>
        </w:rPr>
        <w:t>, le cas échéant.</w:t>
      </w:r>
    </w:p>
    <w:p w14:paraId="0000009D" w14:textId="77777777" w:rsidR="00EF5278" w:rsidRDefault="00CC0084">
      <w:pPr>
        <w:ind w:left="742"/>
        <w:rPr>
          <w:sz w:val="22"/>
          <w:szCs w:val="22"/>
        </w:rPr>
      </w:pPr>
      <w:r w:rsidRPr="00E21B74">
        <w:rPr>
          <w:sz w:val="22"/>
          <w:szCs w:val="22"/>
        </w:rPr>
        <w:t>⬜ RIB et K-BIS du demandeur de l’aide</w:t>
      </w:r>
    </w:p>
    <w:p w14:paraId="0000009E" w14:textId="77777777" w:rsidR="00EF5278" w:rsidRDefault="00CC0084">
      <w:pPr>
        <w:ind w:left="742"/>
        <w:rPr>
          <w:sz w:val="22"/>
          <w:szCs w:val="22"/>
        </w:rPr>
      </w:pPr>
      <w:r>
        <w:rPr>
          <w:sz w:val="22"/>
          <w:szCs w:val="22"/>
        </w:rPr>
        <w:t>⬜ Un courrier d’intention et d’engagement sur le respect du présent règlement</w:t>
      </w:r>
    </w:p>
    <w:p w14:paraId="6C0B95BA" w14:textId="77777777" w:rsidR="00461E27" w:rsidRDefault="00461E27">
      <w:pPr>
        <w:ind w:left="742"/>
        <w:rPr>
          <w:sz w:val="22"/>
          <w:szCs w:val="22"/>
        </w:rPr>
      </w:pPr>
    </w:p>
    <w:p w14:paraId="0000009F" w14:textId="77777777" w:rsidR="00EF5278" w:rsidRDefault="00EF5278">
      <w:pPr>
        <w:spacing w:line="259" w:lineRule="auto"/>
        <w:ind w:left="360"/>
        <w:rPr>
          <w:color w:val="000000"/>
          <w:sz w:val="22"/>
          <w:szCs w:val="22"/>
        </w:rPr>
      </w:pPr>
    </w:p>
    <w:p w14:paraId="000000A0" w14:textId="77777777" w:rsidR="00EF5278" w:rsidRDefault="00CC0084">
      <w:pPr>
        <w:rPr>
          <w:b/>
          <w:color w:val="000000"/>
          <w:sz w:val="28"/>
          <w:szCs w:val="28"/>
        </w:rPr>
      </w:pPr>
      <w:r>
        <w:rPr>
          <w:b/>
          <w:color w:val="000000"/>
          <w:sz w:val="28"/>
          <w:szCs w:val="28"/>
        </w:rPr>
        <w:t>Pour un dépôt en phase 2 :</w:t>
      </w:r>
    </w:p>
    <w:p w14:paraId="000000A1" w14:textId="77777777" w:rsidR="00EF5278" w:rsidRDefault="00CC0084">
      <w:pPr>
        <w:ind w:left="742"/>
        <w:rPr>
          <w:sz w:val="22"/>
          <w:szCs w:val="22"/>
        </w:rPr>
      </w:pPr>
      <w:r>
        <w:rPr>
          <w:sz w:val="22"/>
          <w:szCs w:val="22"/>
        </w:rPr>
        <w:t>⬜ Volet administratif directement disponible sur la page de candidature du site « agir pour la transition »</w:t>
      </w:r>
    </w:p>
    <w:p w14:paraId="000000A2" w14:textId="1C1022A2" w:rsidR="00EF5278" w:rsidRDefault="00CC0084">
      <w:pPr>
        <w:ind w:left="742"/>
        <w:rPr>
          <w:sz w:val="22"/>
          <w:szCs w:val="22"/>
        </w:rPr>
      </w:pPr>
      <w:r>
        <w:rPr>
          <w:sz w:val="22"/>
          <w:szCs w:val="22"/>
        </w:rPr>
        <w:t>⬜ Volet financier</w:t>
      </w:r>
      <w:r w:rsidR="00310DED">
        <w:rPr>
          <w:sz w:val="22"/>
          <w:szCs w:val="22"/>
        </w:rPr>
        <w:t>, téléchargeable sur la page de cet appel à projets</w:t>
      </w:r>
    </w:p>
    <w:p w14:paraId="000000A3" w14:textId="77777777" w:rsidR="00EF5278" w:rsidRDefault="00CC0084">
      <w:pPr>
        <w:ind w:left="742"/>
        <w:rPr>
          <w:sz w:val="22"/>
          <w:szCs w:val="22"/>
        </w:rPr>
      </w:pPr>
      <w:r>
        <w:rPr>
          <w:sz w:val="22"/>
          <w:szCs w:val="22"/>
        </w:rPr>
        <w:t>⬜ Fichier excel des coûts du projet</w:t>
      </w:r>
    </w:p>
    <w:p w14:paraId="000000A4" w14:textId="398FBD08" w:rsidR="00EF5278" w:rsidRDefault="00CC0084">
      <w:pPr>
        <w:ind w:left="742"/>
        <w:rPr>
          <w:sz w:val="22"/>
          <w:szCs w:val="22"/>
        </w:rPr>
      </w:pPr>
      <w:r>
        <w:rPr>
          <w:sz w:val="22"/>
          <w:szCs w:val="22"/>
        </w:rPr>
        <w:t xml:space="preserve">⬜ Volet technique permettant d’apprécier la qualité du projet au regard des critères d’éligibilité et d’appréciation, </w:t>
      </w:r>
      <w:r>
        <w:rPr>
          <w:sz w:val="22"/>
          <w:szCs w:val="22"/>
          <w:u w:val="single"/>
        </w:rPr>
        <w:t>disponible au format Word</w:t>
      </w:r>
      <w:r>
        <w:rPr>
          <w:sz w:val="22"/>
          <w:szCs w:val="22"/>
        </w:rPr>
        <w:t xml:space="preserve"> sur la page d’accueil « agir pour la transition » relative au présent appel à projet</w:t>
      </w:r>
      <w:r w:rsidR="00DA1900">
        <w:rPr>
          <w:sz w:val="22"/>
          <w:szCs w:val="22"/>
        </w:rPr>
        <w:t>s</w:t>
      </w:r>
      <w:r>
        <w:rPr>
          <w:sz w:val="22"/>
          <w:szCs w:val="22"/>
        </w:rPr>
        <w:t>, et à communiquer au même format en le téléchargeant lors de la candidature</w:t>
      </w:r>
    </w:p>
    <w:p w14:paraId="0DAE69F7" w14:textId="3F2F0773" w:rsidR="008D5CC6" w:rsidRPr="008D5CC6" w:rsidRDefault="008D5CC6" w:rsidP="008D5CC6">
      <w:pPr>
        <w:ind w:left="742"/>
        <w:rPr>
          <w:rFonts w:asciiTheme="minorHAnsi" w:hAnsiTheme="minorHAnsi" w:cstheme="minorHAnsi"/>
          <w:sz w:val="22"/>
          <w:szCs w:val="22"/>
        </w:rPr>
      </w:pPr>
      <w:r>
        <w:rPr>
          <w:rFonts w:ascii="Segoe UI Emoji" w:hAnsi="Segoe UI Emoji" w:cs="Segoe UI Emoji"/>
          <w:sz w:val="22"/>
          <w:szCs w:val="22"/>
        </w:rPr>
        <w:t xml:space="preserve">⬜ </w:t>
      </w:r>
      <w:r w:rsidRPr="008D5CC6">
        <w:rPr>
          <w:rFonts w:asciiTheme="minorHAnsi" w:hAnsiTheme="minorHAnsi" w:cstheme="minorHAnsi"/>
          <w:sz w:val="22"/>
          <w:szCs w:val="22"/>
        </w:rPr>
        <w:t>L’attestation de santé financière</w:t>
      </w:r>
    </w:p>
    <w:p w14:paraId="000000A5" w14:textId="1BCF7D09" w:rsidR="00EF5278" w:rsidRDefault="00CC0084">
      <w:pPr>
        <w:ind w:left="742"/>
        <w:rPr>
          <w:sz w:val="22"/>
          <w:szCs w:val="22"/>
        </w:rPr>
      </w:pPr>
      <w:r>
        <w:rPr>
          <w:sz w:val="22"/>
          <w:szCs w:val="22"/>
        </w:rPr>
        <w:t>⬜ Les résultats de l’étude de faisabilité</w:t>
      </w:r>
    </w:p>
    <w:p w14:paraId="000000A6" w14:textId="77777777" w:rsidR="00EF5278" w:rsidRDefault="00CC0084">
      <w:pPr>
        <w:ind w:left="742"/>
        <w:rPr>
          <w:sz w:val="22"/>
          <w:szCs w:val="22"/>
        </w:rPr>
      </w:pPr>
      <w:r>
        <w:rPr>
          <w:sz w:val="22"/>
          <w:szCs w:val="22"/>
        </w:rPr>
        <w:t>⬜ RIB et K-BIS du demandeur de l’aide</w:t>
      </w:r>
    </w:p>
    <w:p w14:paraId="000000A7" w14:textId="554141D7" w:rsidR="00EF5278" w:rsidRDefault="00CC0084">
      <w:pPr>
        <w:ind w:left="742"/>
        <w:rPr>
          <w:sz w:val="22"/>
          <w:szCs w:val="22"/>
        </w:rPr>
      </w:pPr>
      <w:r>
        <w:rPr>
          <w:sz w:val="22"/>
          <w:szCs w:val="22"/>
        </w:rPr>
        <w:t xml:space="preserve">⬜ </w:t>
      </w:r>
      <w:r w:rsidR="004109E4">
        <w:rPr>
          <w:sz w:val="22"/>
          <w:szCs w:val="22"/>
        </w:rPr>
        <w:t xml:space="preserve">Les devis </w:t>
      </w:r>
      <w:r w:rsidR="004109E4" w:rsidRPr="004109E4">
        <w:rPr>
          <w:sz w:val="22"/>
          <w:szCs w:val="22"/>
          <w:u w:val="single"/>
        </w:rPr>
        <w:t>non signés</w:t>
      </w:r>
      <w:r w:rsidR="004109E4">
        <w:rPr>
          <w:sz w:val="22"/>
          <w:szCs w:val="22"/>
        </w:rPr>
        <w:t xml:space="preserve"> des équipements principaux</w:t>
      </w:r>
    </w:p>
    <w:p w14:paraId="7F7929BE" w14:textId="77777777" w:rsidR="004109E4" w:rsidRDefault="004109E4" w:rsidP="004109E4">
      <w:pPr>
        <w:ind w:left="742"/>
        <w:rPr>
          <w:sz w:val="22"/>
          <w:szCs w:val="22"/>
        </w:rPr>
      </w:pPr>
      <w:r>
        <w:rPr>
          <w:sz w:val="22"/>
          <w:szCs w:val="22"/>
        </w:rPr>
        <w:t>⬜ Un courrier d’intention et d’engagement sur le respect du présent règlement</w:t>
      </w:r>
    </w:p>
    <w:p w14:paraId="34451934" w14:textId="77777777" w:rsidR="004109E4" w:rsidRDefault="004109E4" w:rsidP="004109E4">
      <w:pPr>
        <w:rPr>
          <w:sz w:val="22"/>
          <w:szCs w:val="22"/>
        </w:rPr>
      </w:pPr>
    </w:p>
    <w:p w14:paraId="000000A8" w14:textId="77777777" w:rsidR="00EF5278" w:rsidRDefault="00EF5278">
      <w:pPr>
        <w:spacing w:line="259" w:lineRule="auto"/>
        <w:ind w:left="360"/>
        <w:rPr>
          <w:color w:val="000000"/>
          <w:sz w:val="22"/>
          <w:szCs w:val="22"/>
        </w:rPr>
      </w:pPr>
    </w:p>
    <w:p w14:paraId="000000A9" w14:textId="77777777" w:rsidR="00EF5278" w:rsidRDefault="00CC0084">
      <w:pPr>
        <w:pStyle w:val="Titre3"/>
        <w:numPr>
          <w:ilvl w:val="2"/>
          <w:numId w:val="16"/>
        </w:numPr>
      </w:pPr>
      <w:bookmarkStart w:id="12" w:name="_heading=h.17dp8vu" w:colFirst="0" w:colLast="0"/>
      <w:bookmarkEnd w:id="12"/>
      <w:r>
        <w:t>Eligibilité des dépenses</w:t>
      </w:r>
    </w:p>
    <w:p w14:paraId="000000AA" w14:textId="77777777" w:rsidR="00EF5278" w:rsidRDefault="00CC0084">
      <w:pPr>
        <w:pStyle w:val="Titre4"/>
        <w:numPr>
          <w:ilvl w:val="3"/>
          <w:numId w:val="16"/>
        </w:numPr>
      </w:pPr>
      <w:r>
        <w:t>Phase 1 : étude – aide à la décision</w:t>
      </w:r>
    </w:p>
    <w:p w14:paraId="000000AB" w14:textId="77777777" w:rsidR="00EF5278" w:rsidRDefault="00EF5278"/>
    <w:p w14:paraId="000000AC" w14:textId="528A3B2C" w:rsidR="00EF5278" w:rsidRDefault="00CC0084">
      <w:pPr>
        <w:pBdr>
          <w:top w:val="nil"/>
          <w:left w:val="nil"/>
          <w:bottom w:val="nil"/>
          <w:right w:val="nil"/>
          <w:between w:val="nil"/>
        </w:pBdr>
        <w:rPr>
          <w:b/>
          <w:color w:val="000000"/>
          <w:sz w:val="22"/>
          <w:szCs w:val="22"/>
        </w:rPr>
      </w:pPr>
      <w:r>
        <w:rPr>
          <w:color w:val="000000"/>
          <w:sz w:val="22"/>
          <w:szCs w:val="22"/>
        </w:rPr>
        <w:t xml:space="preserve">Les seules dépenses éligibles pour la phase 1 sont celles liées à la maitrise d’œuvre externe de l’étude, c’est-à-dire de </w:t>
      </w:r>
      <w:r>
        <w:rPr>
          <w:b/>
          <w:color w:val="000000"/>
          <w:sz w:val="22"/>
          <w:szCs w:val="22"/>
        </w:rPr>
        <w:t>la prestation externe</w:t>
      </w:r>
      <w:r>
        <w:rPr>
          <w:color w:val="000000"/>
          <w:sz w:val="22"/>
          <w:szCs w:val="22"/>
        </w:rPr>
        <w:t xml:space="preserve">. </w:t>
      </w:r>
      <w:r w:rsidR="00461E27">
        <w:rPr>
          <w:b/>
          <w:color w:val="000000"/>
          <w:sz w:val="22"/>
          <w:szCs w:val="22"/>
        </w:rPr>
        <w:t xml:space="preserve">Aucune aide ne sera attribuée au projet </w:t>
      </w:r>
      <w:r>
        <w:rPr>
          <w:b/>
          <w:color w:val="000000"/>
          <w:sz w:val="22"/>
          <w:szCs w:val="22"/>
        </w:rPr>
        <w:t xml:space="preserve">si l’étude est </w:t>
      </w:r>
      <w:r w:rsidR="00461E27">
        <w:rPr>
          <w:b/>
          <w:color w:val="000000"/>
          <w:sz w:val="22"/>
          <w:szCs w:val="22"/>
        </w:rPr>
        <w:t xml:space="preserve">réalisée </w:t>
      </w:r>
      <w:r>
        <w:rPr>
          <w:b/>
          <w:color w:val="000000"/>
          <w:sz w:val="22"/>
          <w:szCs w:val="22"/>
        </w:rPr>
        <w:t xml:space="preserve">en interne </w:t>
      </w:r>
      <w:r w:rsidR="00461E27">
        <w:rPr>
          <w:b/>
          <w:color w:val="000000"/>
          <w:sz w:val="22"/>
          <w:szCs w:val="22"/>
        </w:rPr>
        <w:t xml:space="preserve">par </w:t>
      </w:r>
      <w:r>
        <w:rPr>
          <w:b/>
          <w:color w:val="000000"/>
          <w:sz w:val="22"/>
          <w:szCs w:val="22"/>
        </w:rPr>
        <w:t>la structure porteuse du projet.</w:t>
      </w:r>
    </w:p>
    <w:p w14:paraId="000000AD" w14:textId="77777777" w:rsidR="00EF5278" w:rsidRDefault="00EF5278"/>
    <w:p w14:paraId="000000AE" w14:textId="77777777" w:rsidR="00EF5278" w:rsidRDefault="00CC0084">
      <w:pPr>
        <w:pStyle w:val="Titre4"/>
        <w:numPr>
          <w:ilvl w:val="3"/>
          <w:numId w:val="16"/>
        </w:numPr>
      </w:pPr>
      <w:r>
        <w:t>Phase 2 : investissement – aide à la réalisation</w:t>
      </w:r>
    </w:p>
    <w:p w14:paraId="000000AF" w14:textId="77777777" w:rsidR="00EF5278" w:rsidRDefault="00EF5278">
      <w:pPr>
        <w:rPr>
          <w:b/>
          <w:sz w:val="22"/>
          <w:szCs w:val="22"/>
        </w:rPr>
      </w:pPr>
    </w:p>
    <w:p w14:paraId="000000B0" w14:textId="77777777" w:rsidR="00EF5278" w:rsidRDefault="00CC0084">
      <w:pPr>
        <w:rPr>
          <w:b/>
          <w:sz w:val="22"/>
          <w:szCs w:val="22"/>
        </w:rPr>
      </w:pPr>
      <w:r>
        <w:rPr>
          <w:b/>
          <w:sz w:val="22"/>
          <w:szCs w:val="22"/>
        </w:rPr>
        <w:t>Les projets éligibles concernent uniquement les installations de déconditionnement et d’hygiénisation de biodéchets emballés à déconditionner.</w:t>
      </w:r>
    </w:p>
    <w:p w14:paraId="000000B1" w14:textId="77777777" w:rsidR="00EF5278" w:rsidRDefault="00CC0084">
      <w:pPr>
        <w:pBdr>
          <w:top w:val="nil"/>
          <w:left w:val="nil"/>
          <w:bottom w:val="nil"/>
          <w:right w:val="nil"/>
          <w:between w:val="nil"/>
        </w:pBdr>
        <w:ind w:left="284" w:hanging="284"/>
        <w:rPr>
          <w:color w:val="000000"/>
          <w:sz w:val="22"/>
          <w:szCs w:val="22"/>
        </w:rPr>
      </w:pPr>
      <w:r>
        <w:rPr>
          <w:color w:val="000000"/>
          <w:sz w:val="22"/>
          <w:szCs w:val="22"/>
        </w:rPr>
        <w:t>Plus précisément, les dépenses éligibles comprennent :</w:t>
      </w:r>
    </w:p>
    <w:p w14:paraId="000000B2" w14:textId="77777777" w:rsidR="00EF5278" w:rsidRDefault="00CC0084">
      <w:pPr>
        <w:numPr>
          <w:ilvl w:val="0"/>
          <w:numId w:val="14"/>
        </w:numPr>
        <w:pBdr>
          <w:top w:val="nil"/>
          <w:left w:val="nil"/>
          <w:bottom w:val="nil"/>
          <w:right w:val="nil"/>
          <w:between w:val="nil"/>
        </w:pBdr>
        <w:rPr>
          <w:color w:val="000000"/>
          <w:sz w:val="22"/>
          <w:szCs w:val="22"/>
        </w:rPr>
      </w:pPr>
      <w:r>
        <w:rPr>
          <w:color w:val="000000"/>
          <w:sz w:val="22"/>
          <w:szCs w:val="22"/>
        </w:rPr>
        <w:t>Les dépenses d’investissement (hors achat terrain) :</w:t>
      </w:r>
    </w:p>
    <w:p w14:paraId="000000B3" w14:textId="77777777" w:rsidR="00EF5278" w:rsidRDefault="00CC0084">
      <w:pPr>
        <w:numPr>
          <w:ilvl w:val="1"/>
          <w:numId w:val="14"/>
        </w:numPr>
        <w:pBdr>
          <w:top w:val="nil"/>
          <w:left w:val="nil"/>
          <w:bottom w:val="nil"/>
          <w:right w:val="nil"/>
          <w:between w:val="nil"/>
        </w:pBdr>
        <w:rPr>
          <w:color w:val="000000"/>
          <w:sz w:val="22"/>
          <w:szCs w:val="22"/>
        </w:rPr>
      </w:pPr>
      <w:r>
        <w:rPr>
          <w:color w:val="000000"/>
          <w:sz w:val="22"/>
          <w:szCs w:val="22"/>
        </w:rPr>
        <w:t xml:space="preserve">Fourniture et mise en place de l’équipement de déconditionnement, trémies de réception, systèmes de convoyage entre les différents éléments de la ligne de déconditionnement, liaison entre le déconditionneur et l’équipement d’hygiénisation, le cas échéant, </w:t>
      </w:r>
    </w:p>
    <w:p w14:paraId="000000B4" w14:textId="77777777" w:rsidR="00EF5278" w:rsidRDefault="00CC0084">
      <w:pPr>
        <w:numPr>
          <w:ilvl w:val="1"/>
          <w:numId w:val="14"/>
        </w:numPr>
        <w:pBdr>
          <w:top w:val="nil"/>
          <w:left w:val="nil"/>
          <w:bottom w:val="nil"/>
          <w:right w:val="nil"/>
          <w:between w:val="nil"/>
        </w:pBdr>
        <w:rPr>
          <w:color w:val="000000"/>
          <w:sz w:val="22"/>
          <w:szCs w:val="22"/>
        </w:rPr>
      </w:pPr>
      <w:r>
        <w:rPr>
          <w:color w:val="000000"/>
          <w:sz w:val="22"/>
          <w:szCs w:val="22"/>
        </w:rPr>
        <w:t>Équipement d’hygiénisation,</w:t>
      </w:r>
    </w:p>
    <w:p w14:paraId="000000B5" w14:textId="77777777" w:rsidR="00EF5278" w:rsidRDefault="00CC0084">
      <w:pPr>
        <w:numPr>
          <w:ilvl w:val="1"/>
          <w:numId w:val="14"/>
        </w:numPr>
        <w:pBdr>
          <w:top w:val="nil"/>
          <w:left w:val="nil"/>
          <w:bottom w:val="nil"/>
          <w:right w:val="nil"/>
          <w:between w:val="nil"/>
        </w:pBdr>
        <w:rPr>
          <w:color w:val="000000"/>
          <w:sz w:val="22"/>
          <w:szCs w:val="22"/>
        </w:rPr>
      </w:pPr>
      <w:r>
        <w:rPr>
          <w:color w:val="000000"/>
          <w:sz w:val="22"/>
          <w:szCs w:val="22"/>
        </w:rPr>
        <w:t>Stockage des intrants, stockage aval des produits sortants, fosses et réservoirs à incendie,</w:t>
      </w:r>
    </w:p>
    <w:p w14:paraId="000000B6" w14:textId="77777777" w:rsidR="00EF5278" w:rsidRDefault="00CC0084">
      <w:pPr>
        <w:numPr>
          <w:ilvl w:val="1"/>
          <w:numId w:val="14"/>
        </w:numPr>
        <w:pBdr>
          <w:top w:val="nil"/>
          <w:left w:val="nil"/>
          <w:bottom w:val="nil"/>
          <w:right w:val="nil"/>
          <w:between w:val="nil"/>
        </w:pBdr>
        <w:rPr>
          <w:color w:val="000000"/>
          <w:sz w:val="22"/>
          <w:szCs w:val="22"/>
        </w:rPr>
      </w:pPr>
      <w:r>
        <w:rPr>
          <w:color w:val="000000"/>
          <w:sz w:val="22"/>
          <w:szCs w:val="22"/>
        </w:rPr>
        <w:t>Cuve de réception de la pulpe organique avant traitement par méthanisation,</w:t>
      </w:r>
    </w:p>
    <w:p w14:paraId="000000B7" w14:textId="4FE04E35" w:rsidR="00EF5278" w:rsidRDefault="00E206FB">
      <w:pPr>
        <w:numPr>
          <w:ilvl w:val="1"/>
          <w:numId w:val="14"/>
        </w:numPr>
        <w:pBdr>
          <w:top w:val="nil"/>
          <w:left w:val="nil"/>
          <w:bottom w:val="nil"/>
          <w:right w:val="nil"/>
          <w:between w:val="nil"/>
        </w:pBdr>
        <w:rPr>
          <w:color w:val="000000"/>
          <w:sz w:val="22"/>
          <w:szCs w:val="22"/>
        </w:rPr>
      </w:pPr>
      <w:r>
        <w:rPr>
          <w:color w:val="000000"/>
          <w:sz w:val="22"/>
          <w:szCs w:val="22"/>
        </w:rPr>
        <w:t>Unité de lavage</w:t>
      </w:r>
      <w:r w:rsidR="00CC0084">
        <w:rPr>
          <w:color w:val="000000"/>
          <w:sz w:val="22"/>
          <w:szCs w:val="22"/>
        </w:rPr>
        <w:t>.</w:t>
      </w:r>
    </w:p>
    <w:p w14:paraId="000000B8" w14:textId="77777777" w:rsidR="00EF5278" w:rsidRDefault="00CC0084">
      <w:pPr>
        <w:numPr>
          <w:ilvl w:val="0"/>
          <w:numId w:val="14"/>
        </w:numPr>
        <w:pBdr>
          <w:top w:val="nil"/>
          <w:left w:val="nil"/>
          <w:bottom w:val="nil"/>
          <w:right w:val="nil"/>
          <w:between w:val="nil"/>
        </w:pBdr>
        <w:ind w:left="721"/>
        <w:rPr>
          <w:color w:val="000000"/>
          <w:sz w:val="22"/>
          <w:szCs w:val="22"/>
        </w:rPr>
      </w:pPr>
      <w:r>
        <w:rPr>
          <w:color w:val="000000"/>
          <w:sz w:val="22"/>
          <w:szCs w:val="22"/>
        </w:rPr>
        <w:t>La prestation pour les travaux de construction de l’installation (aucun aide ne sera attribuée pour des travaux effectués en interne),</w:t>
      </w:r>
    </w:p>
    <w:p w14:paraId="000000B9" w14:textId="77777777" w:rsidR="00EF5278" w:rsidRDefault="00CC0084">
      <w:pPr>
        <w:numPr>
          <w:ilvl w:val="0"/>
          <w:numId w:val="14"/>
        </w:numPr>
        <w:pBdr>
          <w:top w:val="nil"/>
          <w:left w:val="nil"/>
          <w:bottom w:val="nil"/>
          <w:right w:val="nil"/>
          <w:between w:val="nil"/>
        </w:pBdr>
        <w:ind w:left="721"/>
        <w:rPr>
          <w:color w:val="000000"/>
          <w:sz w:val="22"/>
          <w:szCs w:val="22"/>
        </w:rPr>
      </w:pPr>
      <w:r>
        <w:rPr>
          <w:color w:val="000000"/>
          <w:sz w:val="22"/>
          <w:szCs w:val="22"/>
        </w:rPr>
        <w:t>La maîtrise d’œuvre externe,</w:t>
      </w:r>
    </w:p>
    <w:p w14:paraId="000000BA" w14:textId="77777777" w:rsidR="00EF5278" w:rsidRDefault="00CC0084">
      <w:pPr>
        <w:numPr>
          <w:ilvl w:val="0"/>
          <w:numId w:val="14"/>
        </w:numPr>
        <w:pBdr>
          <w:top w:val="nil"/>
          <w:left w:val="nil"/>
          <w:bottom w:val="nil"/>
          <w:right w:val="nil"/>
          <w:between w:val="nil"/>
        </w:pBdr>
        <w:ind w:left="721"/>
        <w:rPr>
          <w:color w:val="000000"/>
          <w:sz w:val="22"/>
          <w:szCs w:val="22"/>
        </w:rPr>
      </w:pPr>
      <w:r>
        <w:rPr>
          <w:color w:val="000000"/>
          <w:sz w:val="22"/>
          <w:szCs w:val="22"/>
        </w:rPr>
        <w:t>La maîtrise d’œuvre interne (plafonnées à 10 % du coût total de l’opération),</w:t>
      </w:r>
    </w:p>
    <w:p w14:paraId="000000BB" w14:textId="77777777" w:rsidR="00EF5278" w:rsidRDefault="00CC0084">
      <w:pPr>
        <w:numPr>
          <w:ilvl w:val="0"/>
          <w:numId w:val="14"/>
        </w:numPr>
        <w:pBdr>
          <w:top w:val="nil"/>
          <w:left w:val="nil"/>
          <w:bottom w:val="nil"/>
          <w:right w:val="nil"/>
          <w:between w:val="nil"/>
        </w:pBdr>
        <w:ind w:left="721"/>
        <w:rPr>
          <w:color w:val="000000"/>
          <w:sz w:val="22"/>
          <w:szCs w:val="22"/>
        </w:rPr>
      </w:pPr>
      <w:r>
        <w:rPr>
          <w:color w:val="000000"/>
          <w:sz w:val="22"/>
          <w:szCs w:val="22"/>
        </w:rPr>
        <w:t>La prestation externe pour le suivi du fonctionnement de l’installation sur une durée de 3 ans (liste non exhaustive des indicateurs dans le paragraphe I.C.4 ci-dessous).</w:t>
      </w:r>
    </w:p>
    <w:p w14:paraId="000000BE" w14:textId="77777777" w:rsidR="00EF5278" w:rsidRDefault="00EF5278" w:rsidP="00DA1900">
      <w:pPr>
        <w:pBdr>
          <w:top w:val="nil"/>
          <w:left w:val="nil"/>
          <w:bottom w:val="nil"/>
          <w:right w:val="nil"/>
          <w:between w:val="nil"/>
        </w:pBdr>
        <w:rPr>
          <w:color w:val="000000"/>
          <w:sz w:val="22"/>
          <w:szCs w:val="22"/>
        </w:rPr>
      </w:pPr>
    </w:p>
    <w:p w14:paraId="000000BF" w14:textId="77777777" w:rsidR="00EF5278" w:rsidRDefault="00CC0084">
      <w:pPr>
        <w:pBdr>
          <w:top w:val="nil"/>
          <w:left w:val="nil"/>
          <w:bottom w:val="nil"/>
          <w:right w:val="nil"/>
          <w:between w:val="nil"/>
        </w:pBdr>
        <w:ind w:left="284" w:hanging="284"/>
        <w:rPr>
          <w:color w:val="000000"/>
          <w:sz w:val="22"/>
          <w:szCs w:val="22"/>
        </w:rPr>
      </w:pPr>
      <w:r>
        <w:rPr>
          <w:color w:val="000000"/>
          <w:sz w:val="22"/>
          <w:szCs w:val="22"/>
        </w:rPr>
        <w:t>Les dépenses non éligibles comprennent (liste non exhaustive) :</w:t>
      </w:r>
    </w:p>
    <w:p w14:paraId="000000C0" w14:textId="77777777" w:rsidR="00EF5278" w:rsidRDefault="00CC0084">
      <w:pPr>
        <w:numPr>
          <w:ilvl w:val="0"/>
          <w:numId w:val="14"/>
        </w:numPr>
        <w:pBdr>
          <w:top w:val="nil"/>
          <w:left w:val="nil"/>
          <w:bottom w:val="nil"/>
          <w:right w:val="nil"/>
          <w:between w:val="nil"/>
        </w:pBdr>
        <w:ind w:left="721"/>
        <w:rPr>
          <w:color w:val="000000"/>
          <w:sz w:val="22"/>
          <w:szCs w:val="22"/>
        </w:rPr>
      </w:pPr>
      <w:r>
        <w:rPr>
          <w:color w:val="000000"/>
          <w:sz w:val="22"/>
          <w:szCs w:val="22"/>
        </w:rPr>
        <w:t>Le terrain,</w:t>
      </w:r>
    </w:p>
    <w:p w14:paraId="08B5DB71" w14:textId="5757F182" w:rsidR="00E206FB" w:rsidRDefault="00E206FB">
      <w:pPr>
        <w:numPr>
          <w:ilvl w:val="0"/>
          <w:numId w:val="14"/>
        </w:numPr>
        <w:pBdr>
          <w:top w:val="nil"/>
          <w:left w:val="nil"/>
          <w:bottom w:val="nil"/>
          <w:right w:val="nil"/>
          <w:between w:val="nil"/>
        </w:pBdr>
        <w:ind w:left="721"/>
        <w:rPr>
          <w:color w:val="000000"/>
          <w:sz w:val="22"/>
          <w:szCs w:val="22"/>
        </w:rPr>
      </w:pPr>
      <w:r>
        <w:rPr>
          <w:color w:val="000000"/>
          <w:sz w:val="22"/>
          <w:szCs w:val="22"/>
        </w:rPr>
        <w:t>Les bâtiments abritant l’unité de déconditionnement,</w:t>
      </w:r>
    </w:p>
    <w:p w14:paraId="000000C1" w14:textId="77777777" w:rsidR="00EF5278" w:rsidRDefault="00CC0084">
      <w:pPr>
        <w:numPr>
          <w:ilvl w:val="0"/>
          <w:numId w:val="14"/>
        </w:numPr>
        <w:pBdr>
          <w:top w:val="nil"/>
          <w:left w:val="nil"/>
          <w:bottom w:val="nil"/>
          <w:right w:val="nil"/>
          <w:between w:val="nil"/>
        </w:pBdr>
        <w:ind w:left="721"/>
        <w:rPr>
          <w:color w:val="000000"/>
          <w:sz w:val="22"/>
          <w:szCs w:val="22"/>
        </w:rPr>
      </w:pPr>
      <w:r>
        <w:rPr>
          <w:color w:val="000000"/>
          <w:sz w:val="22"/>
          <w:szCs w:val="22"/>
        </w:rPr>
        <w:t>Les frais de structures et/ou de fonctionnement de l'activité ordinaire de la structure porteuse c'est-à-dire les frais généraux autres que ceux engagés pour la mise en œuvre du projet concerné, ainsi que les frais d’immeubles,</w:t>
      </w:r>
    </w:p>
    <w:p w14:paraId="000000C2" w14:textId="77777777" w:rsidR="00EF5278" w:rsidRDefault="00CC0084">
      <w:pPr>
        <w:numPr>
          <w:ilvl w:val="0"/>
          <w:numId w:val="14"/>
        </w:numPr>
        <w:pBdr>
          <w:top w:val="nil"/>
          <w:left w:val="nil"/>
          <w:bottom w:val="nil"/>
          <w:right w:val="nil"/>
          <w:between w:val="nil"/>
        </w:pBdr>
        <w:ind w:left="721"/>
        <w:rPr>
          <w:color w:val="000000"/>
          <w:sz w:val="22"/>
          <w:szCs w:val="22"/>
        </w:rPr>
      </w:pPr>
      <w:r>
        <w:rPr>
          <w:color w:val="000000"/>
          <w:sz w:val="22"/>
          <w:szCs w:val="22"/>
        </w:rPr>
        <w:t>Le quai de transfert,</w:t>
      </w:r>
    </w:p>
    <w:p w14:paraId="000000C3" w14:textId="77777777" w:rsidR="00EF5278" w:rsidRDefault="00CC0084">
      <w:pPr>
        <w:numPr>
          <w:ilvl w:val="0"/>
          <w:numId w:val="14"/>
        </w:numPr>
        <w:pBdr>
          <w:top w:val="nil"/>
          <w:left w:val="nil"/>
          <w:bottom w:val="nil"/>
          <w:right w:val="nil"/>
          <w:between w:val="nil"/>
        </w:pBdr>
        <w:ind w:left="721"/>
        <w:rPr>
          <w:color w:val="000000"/>
          <w:sz w:val="22"/>
          <w:szCs w:val="22"/>
        </w:rPr>
      </w:pPr>
      <w:r>
        <w:rPr>
          <w:color w:val="000000"/>
          <w:sz w:val="22"/>
          <w:szCs w:val="22"/>
        </w:rPr>
        <w:t>Les camions de collecte de biodéchets et de transport de la pulpe,</w:t>
      </w:r>
    </w:p>
    <w:p w14:paraId="000000C4" w14:textId="77777777" w:rsidR="00EF5278" w:rsidRDefault="00CC0084">
      <w:pPr>
        <w:numPr>
          <w:ilvl w:val="0"/>
          <w:numId w:val="14"/>
        </w:numPr>
        <w:pBdr>
          <w:top w:val="nil"/>
          <w:left w:val="nil"/>
          <w:bottom w:val="nil"/>
          <w:right w:val="nil"/>
          <w:between w:val="nil"/>
        </w:pBdr>
        <w:ind w:left="721"/>
        <w:rPr>
          <w:color w:val="000000"/>
          <w:sz w:val="22"/>
          <w:szCs w:val="22"/>
        </w:rPr>
      </w:pPr>
      <w:r>
        <w:rPr>
          <w:color w:val="000000"/>
          <w:sz w:val="22"/>
          <w:szCs w:val="22"/>
        </w:rPr>
        <w:t>Les dépenses prises en compte dans d’autres programmes d’aides.</w:t>
      </w:r>
    </w:p>
    <w:p w14:paraId="000000C5" w14:textId="77777777" w:rsidR="00EF5278" w:rsidRDefault="00EF5278"/>
    <w:p w14:paraId="000000C6" w14:textId="77777777" w:rsidR="00EF5278" w:rsidRDefault="00CC0084">
      <w:pPr>
        <w:pStyle w:val="Titre3"/>
        <w:numPr>
          <w:ilvl w:val="2"/>
          <w:numId w:val="16"/>
        </w:numPr>
      </w:pPr>
      <w:bookmarkStart w:id="13" w:name="_heading=h.3rdcrjn" w:colFirst="0" w:colLast="0"/>
      <w:bookmarkEnd w:id="13"/>
      <w:r>
        <w:t>Modalités d’aide</w:t>
      </w:r>
    </w:p>
    <w:p w14:paraId="000000C7" w14:textId="77777777" w:rsidR="00EF5278" w:rsidRDefault="00CC0084">
      <w:pPr>
        <w:rPr>
          <w:sz w:val="22"/>
          <w:szCs w:val="22"/>
        </w:rPr>
      </w:pPr>
      <w:r>
        <w:rPr>
          <w:sz w:val="22"/>
          <w:szCs w:val="22"/>
        </w:rPr>
        <w:t>Les aides octroyées seront conformes aux règles de l’encadrement communautaire. Les fonds des partenaires de l’appel à projets peuvent être mobilisés sur une même opération ou de façon alternative, ceux-ci intervenant dans le cadre de leur système d’aide respectif.</w:t>
      </w:r>
    </w:p>
    <w:p w14:paraId="000000C8" w14:textId="77777777" w:rsidR="00EF5278" w:rsidRDefault="00EF5278">
      <w:pPr>
        <w:rPr>
          <w:sz w:val="22"/>
          <w:szCs w:val="22"/>
        </w:rPr>
      </w:pPr>
    </w:p>
    <w:p w14:paraId="000000C9" w14:textId="77777777" w:rsidR="00EF5278" w:rsidRDefault="00CC0084">
      <w:pPr>
        <w:pStyle w:val="Titre4"/>
        <w:numPr>
          <w:ilvl w:val="3"/>
          <w:numId w:val="16"/>
        </w:numPr>
      </w:pPr>
      <w:r>
        <w:t>Phase 1 : étude</w:t>
      </w:r>
    </w:p>
    <w:p w14:paraId="000000CA" w14:textId="77777777" w:rsidR="00EF5278" w:rsidRDefault="00EF5278"/>
    <w:p w14:paraId="000000CB" w14:textId="3892DBB4" w:rsidR="00EF5278" w:rsidRDefault="00CC0084">
      <w:pPr>
        <w:numPr>
          <w:ilvl w:val="0"/>
          <w:numId w:val="11"/>
        </w:numPr>
        <w:pBdr>
          <w:top w:val="nil"/>
          <w:left w:val="nil"/>
          <w:bottom w:val="nil"/>
          <w:right w:val="nil"/>
          <w:between w:val="nil"/>
        </w:pBdr>
        <w:rPr>
          <w:color w:val="000000"/>
          <w:sz w:val="22"/>
          <w:szCs w:val="22"/>
        </w:rPr>
      </w:pPr>
      <w:r>
        <w:rPr>
          <w:color w:val="000000"/>
          <w:sz w:val="22"/>
          <w:szCs w:val="22"/>
        </w:rPr>
        <w:t xml:space="preserve">Taux d’aide : </w:t>
      </w:r>
      <w:r w:rsidR="009B3240" w:rsidRPr="009B3240">
        <w:rPr>
          <w:b/>
          <w:bCs/>
          <w:color w:val="000000"/>
          <w:sz w:val="22"/>
          <w:szCs w:val="22"/>
        </w:rPr>
        <w:t xml:space="preserve">60 à 80 </w:t>
      </w:r>
      <w:r w:rsidRPr="009B3240">
        <w:rPr>
          <w:b/>
          <w:bCs/>
          <w:color w:val="000000"/>
          <w:sz w:val="22"/>
          <w:szCs w:val="22"/>
        </w:rPr>
        <w:t>% maximum</w:t>
      </w:r>
      <w:r>
        <w:rPr>
          <w:color w:val="000000"/>
          <w:sz w:val="22"/>
          <w:szCs w:val="22"/>
        </w:rPr>
        <w:t xml:space="preserve"> </w:t>
      </w:r>
      <w:r w:rsidRPr="009B3240">
        <w:rPr>
          <w:b/>
          <w:bCs/>
          <w:color w:val="000000"/>
          <w:sz w:val="22"/>
          <w:szCs w:val="22"/>
        </w:rPr>
        <w:t>des dépenses éligibles</w:t>
      </w:r>
      <w:r>
        <w:rPr>
          <w:color w:val="000000"/>
          <w:sz w:val="22"/>
          <w:szCs w:val="22"/>
        </w:rPr>
        <w:t>,</w:t>
      </w:r>
      <w:r w:rsidR="009B3240">
        <w:rPr>
          <w:color w:val="000000"/>
          <w:sz w:val="22"/>
          <w:szCs w:val="22"/>
        </w:rPr>
        <w:t xml:space="preserve"> selon la taille de la structure porteuse</w:t>
      </w:r>
    </w:p>
    <w:p w14:paraId="000000CC" w14:textId="0CD13318" w:rsidR="00EF5278" w:rsidRDefault="00CC0084">
      <w:pPr>
        <w:numPr>
          <w:ilvl w:val="0"/>
          <w:numId w:val="11"/>
        </w:numPr>
        <w:pBdr>
          <w:top w:val="nil"/>
          <w:left w:val="nil"/>
          <w:bottom w:val="nil"/>
          <w:right w:val="nil"/>
          <w:between w:val="nil"/>
        </w:pBdr>
        <w:rPr>
          <w:color w:val="000000"/>
          <w:sz w:val="22"/>
          <w:szCs w:val="22"/>
        </w:rPr>
      </w:pPr>
      <w:r>
        <w:rPr>
          <w:color w:val="000000"/>
          <w:sz w:val="22"/>
          <w:szCs w:val="22"/>
        </w:rPr>
        <w:t xml:space="preserve">Plafond d’assiette de dépenses : </w:t>
      </w:r>
      <w:sdt>
        <w:sdtPr>
          <w:tag w:val="goog_rdk_3"/>
          <w:id w:val="-1811778715"/>
        </w:sdtPr>
        <w:sdtEndPr/>
        <w:sdtContent/>
      </w:sdt>
      <w:sdt>
        <w:sdtPr>
          <w:tag w:val="goog_rdk_4"/>
          <w:id w:val="1230736679"/>
        </w:sdtPr>
        <w:sdtEndPr/>
        <w:sdtContent/>
      </w:sdt>
      <w:r>
        <w:rPr>
          <w:color w:val="000000"/>
          <w:sz w:val="22"/>
          <w:szCs w:val="22"/>
        </w:rPr>
        <w:t xml:space="preserve">50 000 € de prestation externe (soit une aide maximale fixée à </w:t>
      </w:r>
      <w:r w:rsidR="009B3240">
        <w:rPr>
          <w:color w:val="000000"/>
          <w:sz w:val="22"/>
          <w:szCs w:val="22"/>
        </w:rPr>
        <w:t>40</w:t>
      </w:r>
      <w:r>
        <w:rPr>
          <w:color w:val="000000"/>
          <w:sz w:val="22"/>
          <w:szCs w:val="22"/>
        </w:rPr>
        <w:t xml:space="preserve"> 000€).</w:t>
      </w:r>
    </w:p>
    <w:p w14:paraId="000000CD" w14:textId="77777777" w:rsidR="00EF5278" w:rsidRDefault="00EF5278">
      <w:pPr>
        <w:rPr>
          <w:b/>
          <w:sz w:val="22"/>
          <w:szCs w:val="22"/>
        </w:rPr>
      </w:pPr>
    </w:p>
    <w:p w14:paraId="000000CE" w14:textId="77777777" w:rsidR="00EF5278" w:rsidRDefault="00CC0084">
      <w:pPr>
        <w:pStyle w:val="Titre4"/>
        <w:numPr>
          <w:ilvl w:val="3"/>
          <w:numId w:val="16"/>
        </w:numPr>
      </w:pPr>
      <w:r>
        <w:t>Phase 2 : aide à l’investissement</w:t>
      </w:r>
    </w:p>
    <w:p w14:paraId="000000CF" w14:textId="77777777" w:rsidR="00EF5278" w:rsidRDefault="00EF5278">
      <w:pPr>
        <w:ind w:firstLine="708"/>
        <w:rPr>
          <w:b/>
          <w:sz w:val="22"/>
          <w:szCs w:val="22"/>
        </w:rPr>
      </w:pPr>
    </w:p>
    <w:p w14:paraId="000000D0" w14:textId="3AE56B24" w:rsidR="00EF5278" w:rsidRDefault="00CC0084">
      <w:pPr>
        <w:numPr>
          <w:ilvl w:val="0"/>
          <w:numId w:val="15"/>
        </w:numPr>
        <w:pBdr>
          <w:top w:val="nil"/>
          <w:left w:val="nil"/>
          <w:bottom w:val="nil"/>
          <w:right w:val="nil"/>
          <w:between w:val="nil"/>
        </w:pBdr>
        <w:rPr>
          <w:color w:val="000000"/>
          <w:sz w:val="22"/>
          <w:szCs w:val="22"/>
        </w:rPr>
      </w:pPr>
      <w:r>
        <w:rPr>
          <w:color w:val="000000"/>
          <w:sz w:val="22"/>
          <w:szCs w:val="22"/>
        </w:rPr>
        <w:t>Taux d’aide </w:t>
      </w:r>
      <w:r w:rsidRPr="009B3240">
        <w:rPr>
          <w:b/>
          <w:bCs/>
          <w:color w:val="000000"/>
          <w:sz w:val="22"/>
          <w:szCs w:val="22"/>
        </w:rPr>
        <w:t xml:space="preserve">: </w:t>
      </w:r>
      <w:r w:rsidR="009B3240" w:rsidRPr="009B3240">
        <w:rPr>
          <w:b/>
          <w:bCs/>
          <w:color w:val="000000"/>
          <w:sz w:val="22"/>
          <w:szCs w:val="22"/>
        </w:rPr>
        <w:t>40</w:t>
      </w:r>
      <w:r w:rsidRPr="009B3240">
        <w:rPr>
          <w:b/>
          <w:bCs/>
          <w:color w:val="000000"/>
          <w:sz w:val="22"/>
          <w:szCs w:val="22"/>
        </w:rPr>
        <w:t xml:space="preserve"> à </w:t>
      </w:r>
      <w:r w:rsidR="009B3240" w:rsidRPr="009B3240">
        <w:rPr>
          <w:b/>
          <w:bCs/>
          <w:color w:val="000000"/>
          <w:sz w:val="22"/>
          <w:szCs w:val="22"/>
        </w:rPr>
        <w:t>60</w:t>
      </w:r>
      <w:r w:rsidRPr="009B3240">
        <w:rPr>
          <w:b/>
          <w:bCs/>
          <w:color w:val="000000"/>
          <w:sz w:val="22"/>
          <w:szCs w:val="22"/>
        </w:rPr>
        <w:t xml:space="preserve">% maximum des dépenses </w:t>
      </w:r>
      <w:r w:rsidR="009B3240">
        <w:rPr>
          <w:b/>
          <w:bCs/>
          <w:color w:val="000000"/>
          <w:sz w:val="22"/>
          <w:szCs w:val="22"/>
        </w:rPr>
        <w:t>admissible</w:t>
      </w:r>
      <w:r w:rsidRPr="009B3240">
        <w:rPr>
          <w:b/>
          <w:bCs/>
          <w:color w:val="000000"/>
          <w:sz w:val="22"/>
          <w:szCs w:val="22"/>
        </w:rPr>
        <w:t>s</w:t>
      </w:r>
      <w:r w:rsidR="009B3240">
        <w:rPr>
          <w:color w:val="000000"/>
          <w:sz w:val="22"/>
          <w:szCs w:val="22"/>
        </w:rPr>
        <w:t>,</w:t>
      </w:r>
      <w:r>
        <w:rPr>
          <w:color w:val="000000"/>
          <w:sz w:val="22"/>
          <w:szCs w:val="22"/>
        </w:rPr>
        <w:t xml:space="preserve"> selon la taille de la structure porteuse.</w:t>
      </w:r>
    </w:p>
    <w:p w14:paraId="000000D1" w14:textId="77777777" w:rsidR="00EF5278" w:rsidRDefault="00EF5278">
      <w:pPr>
        <w:spacing w:line="259" w:lineRule="auto"/>
        <w:rPr>
          <w:b/>
          <w:smallCaps/>
          <w:color w:val="000000"/>
          <w:u w:val="single"/>
        </w:rPr>
      </w:pPr>
    </w:p>
    <w:p w14:paraId="000000D2" w14:textId="77777777" w:rsidR="00EF5278" w:rsidRDefault="00CC0084">
      <w:pPr>
        <w:pStyle w:val="Titre3"/>
        <w:numPr>
          <w:ilvl w:val="2"/>
          <w:numId w:val="16"/>
        </w:numPr>
        <w:rPr>
          <w:color w:val="002060"/>
        </w:rPr>
      </w:pPr>
      <w:bookmarkStart w:id="14" w:name="_heading=h.26in1rg" w:colFirst="0" w:colLast="0"/>
      <w:bookmarkEnd w:id="14"/>
      <w:r>
        <w:rPr>
          <w:color w:val="002060"/>
        </w:rPr>
        <w:t>Engagement des différentes parties prenantes en cas de sélection du projet</w:t>
      </w:r>
    </w:p>
    <w:p w14:paraId="000000D3" w14:textId="77777777" w:rsidR="00EF5278" w:rsidRDefault="00CC0084">
      <w:pPr>
        <w:numPr>
          <w:ilvl w:val="0"/>
          <w:numId w:val="23"/>
        </w:numPr>
        <w:pBdr>
          <w:top w:val="nil"/>
          <w:left w:val="nil"/>
          <w:bottom w:val="nil"/>
          <w:right w:val="nil"/>
          <w:between w:val="nil"/>
        </w:pBdr>
        <w:rPr>
          <w:color w:val="000000"/>
          <w:sz w:val="22"/>
          <w:szCs w:val="22"/>
        </w:rPr>
      </w:pPr>
      <w:r>
        <w:rPr>
          <w:color w:val="000000"/>
          <w:sz w:val="22"/>
          <w:szCs w:val="22"/>
        </w:rPr>
        <w:t>Tout manquement du porteur de projet dans la justification de la réalisation de l’action entraînera la rupture du contrat de financement, ainsi que le reversement des subventions indûment perçues par le porteur.</w:t>
      </w:r>
    </w:p>
    <w:p w14:paraId="000000D4" w14:textId="77777777" w:rsidR="00EF5278" w:rsidRDefault="00CC0084">
      <w:pPr>
        <w:numPr>
          <w:ilvl w:val="0"/>
          <w:numId w:val="23"/>
        </w:numPr>
        <w:pBdr>
          <w:top w:val="nil"/>
          <w:left w:val="nil"/>
          <w:bottom w:val="nil"/>
          <w:right w:val="nil"/>
          <w:between w:val="nil"/>
        </w:pBdr>
        <w:rPr>
          <w:color w:val="000000"/>
          <w:sz w:val="22"/>
          <w:szCs w:val="22"/>
        </w:rPr>
      </w:pPr>
      <w:r>
        <w:rPr>
          <w:color w:val="000000"/>
          <w:sz w:val="22"/>
          <w:szCs w:val="22"/>
        </w:rPr>
        <w:t xml:space="preserve">Durant la réalisation du projet et l’accompagnement financier, le bénéficiaire est tenu de fournir un compte-rendu de suivi de l’exécution du projet et un bilan financier final. </w:t>
      </w:r>
      <w:r w:rsidRPr="009B3240">
        <w:rPr>
          <w:b/>
          <w:bCs/>
          <w:color w:val="000000"/>
          <w:sz w:val="22"/>
          <w:szCs w:val="22"/>
        </w:rPr>
        <w:t>Pour ce faire, le bénéficiaire devra s’engager à réaliser un suivi de l’opération concernant les éléments techniques des équipements installés et les coûts sur une période de 2 ans et à transmettre des informations non confidentielles utilisables par les partenaires</w:t>
      </w:r>
      <w:r>
        <w:rPr>
          <w:color w:val="000000"/>
          <w:sz w:val="22"/>
          <w:szCs w:val="22"/>
        </w:rPr>
        <w:t xml:space="preserve"> (facteurs de réussite, difficultés rencontrées, bilan matière et performances, coûts, supports et résultats des opérations de communication, sensibilisation, formation, etc.). Cette tâche pourra être réalisée par un prestataire extérieur choisi par le maître d’ouvrage. Les financeurs transmettront une trame de rapport dans lequel figureront au</w:t>
      </w:r>
      <w:r>
        <w:rPr>
          <w:i/>
          <w:color w:val="000000"/>
          <w:sz w:val="22"/>
          <w:szCs w:val="22"/>
        </w:rPr>
        <w:t xml:space="preserve"> </w:t>
      </w:r>
      <w:r>
        <w:rPr>
          <w:color w:val="000000"/>
          <w:sz w:val="22"/>
          <w:szCs w:val="22"/>
        </w:rPr>
        <w:t>minimum les indicateurs suivants (liste à titre indicatif) :</w:t>
      </w:r>
    </w:p>
    <w:p w14:paraId="000000D5" w14:textId="77777777" w:rsidR="00EF5278" w:rsidRDefault="00CC0084">
      <w:pPr>
        <w:numPr>
          <w:ilvl w:val="1"/>
          <w:numId w:val="23"/>
        </w:numPr>
        <w:pBdr>
          <w:top w:val="nil"/>
          <w:left w:val="nil"/>
          <w:bottom w:val="nil"/>
          <w:right w:val="nil"/>
          <w:between w:val="nil"/>
        </w:pBdr>
        <w:rPr>
          <w:color w:val="000000"/>
          <w:sz w:val="22"/>
          <w:szCs w:val="22"/>
        </w:rPr>
      </w:pPr>
      <w:r>
        <w:rPr>
          <w:color w:val="000000"/>
          <w:sz w:val="22"/>
          <w:szCs w:val="22"/>
        </w:rPr>
        <w:t>Capacités de traitement nominale et réelle de l’unité (en t/h, t/an)</w:t>
      </w:r>
    </w:p>
    <w:p w14:paraId="000000D6" w14:textId="77777777" w:rsidR="00EF5278" w:rsidRDefault="00CC0084">
      <w:pPr>
        <w:numPr>
          <w:ilvl w:val="1"/>
          <w:numId w:val="23"/>
        </w:numPr>
        <w:pBdr>
          <w:top w:val="nil"/>
          <w:left w:val="nil"/>
          <w:bottom w:val="nil"/>
          <w:right w:val="nil"/>
          <w:between w:val="nil"/>
        </w:pBdr>
        <w:rPr>
          <w:color w:val="000000"/>
          <w:sz w:val="22"/>
          <w:szCs w:val="22"/>
        </w:rPr>
      </w:pPr>
      <w:r>
        <w:rPr>
          <w:color w:val="000000"/>
          <w:sz w:val="22"/>
          <w:szCs w:val="22"/>
        </w:rPr>
        <w:t>Taux d’indésirables en entrée et aux différentes étapes de déconditionnement / hygiénisation,</w:t>
      </w:r>
    </w:p>
    <w:p w14:paraId="000000D7" w14:textId="77777777" w:rsidR="00EF5278" w:rsidRDefault="00CC0084">
      <w:pPr>
        <w:numPr>
          <w:ilvl w:val="1"/>
          <w:numId w:val="23"/>
        </w:numPr>
        <w:pBdr>
          <w:top w:val="nil"/>
          <w:left w:val="nil"/>
          <w:bottom w:val="nil"/>
          <w:right w:val="nil"/>
          <w:between w:val="nil"/>
        </w:pBdr>
        <w:rPr>
          <w:color w:val="000000"/>
          <w:sz w:val="22"/>
          <w:szCs w:val="22"/>
        </w:rPr>
      </w:pPr>
      <w:r>
        <w:rPr>
          <w:color w:val="000000"/>
          <w:sz w:val="22"/>
          <w:szCs w:val="22"/>
        </w:rPr>
        <w:t>Part de matière organique et d’inertes indésirables dans les refus (&gt; 2 mm),</w:t>
      </w:r>
    </w:p>
    <w:p w14:paraId="000000D8" w14:textId="77777777" w:rsidR="00EF5278" w:rsidRDefault="00CC0084">
      <w:pPr>
        <w:numPr>
          <w:ilvl w:val="1"/>
          <w:numId w:val="23"/>
        </w:numPr>
        <w:pBdr>
          <w:top w:val="nil"/>
          <w:left w:val="nil"/>
          <w:bottom w:val="nil"/>
          <w:right w:val="nil"/>
          <w:between w:val="nil"/>
        </w:pBdr>
        <w:rPr>
          <w:color w:val="000000"/>
          <w:sz w:val="22"/>
          <w:szCs w:val="22"/>
        </w:rPr>
      </w:pPr>
      <w:r>
        <w:rPr>
          <w:color w:val="000000"/>
          <w:sz w:val="22"/>
          <w:szCs w:val="22"/>
        </w:rPr>
        <w:t>Part de matière organique et d’inertes indésirables dans la pulpe avant méthanisation (&gt; 2 mm),</w:t>
      </w:r>
    </w:p>
    <w:p w14:paraId="000000D9" w14:textId="77777777" w:rsidR="00EF5278" w:rsidRDefault="00CC0084">
      <w:pPr>
        <w:numPr>
          <w:ilvl w:val="1"/>
          <w:numId w:val="23"/>
        </w:numPr>
        <w:pBdr>
          <w:top w:val="nil"/>
          <w:left w:val="nil"/>
          <w:bottom w:val="nil"/>
          <w:right w:val="nil"/>
          <w:between w:val="nil"/>
        </w:pBdr>
        <w:rPr>
          <w:color w:val="000000"/>
          <w:sz w:val="22"/>
          <w:szCs w:val="22"/>
        </w:rPr>
      </w:pPr>
      <w:r>
        <w:rPr>
          <w:color w:val="000000"/>
          <w:sz w:val="22"/>
          <w:szCs w:val="22"/>
        </w:rPr>
        <w:t>Évaluation de la performance de séparation, notamment le taux de captation de la matière organique</w:t>
      </w:r>
    </w:p>
    <w:p w14:paraId="000000DA" w14:textId="77777777" w:rsidR="00EF5278" w:rsidRDefault="00CC0084">
      <w:pPr>
        <w:numPr>
          <w:ilvl w:val="1"/>
          <w:numId w:val="23"/>
        </w:numPr>
        <w:pBdr>
          <w:top w:val="nil"/>
          <w:left w:val="nil"/>
          <w:bottom w:val="nil"/>
          <w:right w:val="nil"/>
          <w:between w:val="nil"/>
        </w:pBdr>
        <w:rPr>
          <w:color w:val="000000"/>
          <w:sz w:val="22"/>
          <w:szCs w:val="22"/>
        </w:rPr>
      </w:pPr>
      <w:r>
        <w:rPr>
          <w:color w:val="000000"/>
          <w:sz w:val="22"/>
          <w:szCs w:val="22"/>
        </w:rPr>
        <w:t>Consommation électrique de la chaîne de traitement</w:t>
      </w:r>
    </w:p>
    <w:p w14:paraId="000000DB" w14:textId="77777777" w:rsidR="00EF5278" w:rsidRDefault="00CC0084">
      <w:pPr>
        <w:numPr>
          <w:ilvl w:val="1"/>
          <w:numId w:val="23"/>
        </w:numPr>
        <w:pBdr>
          <w:top w:val="nil"/>
          <w:left w:val="nil"/>
          <w:bottom w:val="nil"/>
          <w:right w:val="nil"/>
          <w:between w:val="nil"/>
        </w:pBdr>
        <w:rPr>
          <w:color w:val="000000"/>
          <w:sz w:val="22"/>
          <w:szCs w:val="22"/>
        </w:rPr>
      </w:pPr>
      <w:r>
        <w:rPr>
          <w:color w:val="000000"/>
          <w:sz w:val="22"/>
          <w:szCs w:val="22"/>
        </w:rPr>
        <w:t>Quantité d’eau utilisée par le process,</w:t>
      </w:r>
    </w:p>
    <w:p w14:paraId="000000DC" w14:textId="77777777" w:rsidR="00EF5278" w:rsidRDefault="00CC0084">
      <w:pPr>
        <w:numPr>
          <w:ilvl w:val="1"/>
          <w:numId w:val="23"/>
        </w:numPr>
        <w:pBdr>
          <w:top w:val="nil"/>
          <w:left w:val="nil"/>
          <w:bottom w:val="nil"/>
          <w:right w:val="nil"/>
          <w:between w:val="nil"/>
        </w:pBdr>
        <w:rPr>
          <w:color w:val="000000"/>
          <w:sz w:val="22"/>
          <w:szCs w:val="22"/>
        </w:rPr>
      </w:pPr>
      <w:r>
        <w:rPr>
          <w:color w:val="000000"/>
          <w:sz w:val="22"/>
          <w:szCs w:val="22"/>
        </w:rPr>
        <w:t>Quantité de biodéchets « propres » ou de pulpe à faire recirculer en tête de process pour assurer le bon fonctionnement de l’équipement,</w:t>
      </w:r>
    </w:p>
    <w:p w14:paraId="000000DD" w14:textId="77777777" w:rsidR="00EF5278" w:rsidRDefault="00CC0084">
      <w:pPr>
        <w:numPr>
          <w:ilvl w:val="1"/>
          <w:numId w:val="23"/>
        </w:numPr>
        <w:pBdr>
          <w:top w:val="nil"/>
          <w:left w:val="nil"/>
          <w:bottom w:val="nil"/>
          <w:right w:val="nil"/>
          <w:between w:val="nil"/>
        </w:pBdr>
        <w:rPr>
          <w:color w:val="000000"/>
          <w:sz w:val="22"/>
          <w:szCs w:val="22"/>
        </w:rPr>
      </w:pPr>
      <w:r>
        <w:rPr>
          <w:color w:val="000000"/>
          <w:sz w:val="22"/>
          <w:szCs w:val="22"/>
        </w:rPr>
        <w:t>Coût de fonctionnement de l’unité (en €/an, en €/t entrante) en indiquant les données de base concernant les durées d’amortissement utilisée dans les calculs,</w:t>
      </w:r>
    </w:p>
    <w:p w14:paraId="000000DE" w14:textId="77777777" w:rsidR="00EF5278" w:rsidRDefault="00CC0084">
      <w:pPr>
        <w:numPr>
          <w:ilvl w:val="1"/>
          <w:numId w:val="23"/>
        </w:numPr>
        <w:pBdr>
          <w:top w:val="nil"/>
          <w:left w:val="nil"/>
          <w:bottom w:val="nil"/>
          <w:right w:val="nil"/>
          <w:between w:val="nil"/>
        </w:pBdr>
        <w:rPr>
          <w:color w:val="000000"/>
          <w:sz w:val="22"/>
          <w:szCs w:val="22"/>
        </w:rPr>
      </w:pPr>
      <w:r>
        <w:rPr>
          <w:color w:val="000000"/>
          <w:sz w:val="22"/>
          <w:szCs w:val="22"/>
        </w:rPr>
        <w:t>Coût de traitement des refus (en €/t, €/an).</w:t>
      </w:r>
    </w:p>
    <w:p w14:paraId="000000DF" w14:textId="4559AA5D" w:rsidR="00EF5278" w:rsidRDefault="00CC0084">
      <w:pPr>
        <w:numPr>
          <w:ilvl w:val="1"/>
          <w:numId w:val="23"/>
        </w:numPr>
        <w:pBdr>
          <w:top w:val="nil"/>
          <w:left w:val="nil"/>
          <w:bottom w:val="nil"/>
          <w:right w:val="nil"/>
          <w:between w:val="nil"/>
        </w:pBdr>
        <w:rPr>
          <w:color w:val="000000"/>
          <w:sz w:val="22"/>
          <w:szCs w:val="22"/>
        </w:rPr>
      </w:pPr>
      <w:r>
        <w:rPr>
          <w:color w:val="000000"/>
          <w:sz w:val="22"/>
          <w:szCs w:val="22"/>
        </w:rPr>
        <w:t>Mode de valorisation des refus sortants, respectant la hiérarchie de traitement des déchets</w:t>
      </w:r>
      <w:r w:rsidR="006253AA">
        <w:rPr>
          <w:color w:val="000000"/>
          <w:sz w:val="22"/>
          <w:szCs w:val="22"/>
        </w:rPr>
        <w:t>.</w:t>
      </w:r>
    </w:p>
    <w:p w14:paraId="000000E0" w14:textId="77777777" w:rsidR="00EF5278" w:rsidRDefault="00CC0084">
      <w:pPr>
        <w:numPr>
          <w:ilvl w:val="0"/>
          <w:numId w:val="23"/>
        </w:numPr>
        <w:pBdr>
          <w:top w:val="nil"/>
          <w:left w:val="nil"/>
          <w:bottom w:val="nil"/>
          <w:right w:val="nil"/>
          <w:between w:val="nil"/>
        </w:pBdr>
        <w:rPr>
          <w:color w:val="000000"/>
          <w:sz w:val="22"/>
          <w:szCs w:val="22"/>
        </w:rPr>
      </w:pPr>
      <w:r>
        <w:rPr>
          <w:color w:val="000000"/>
          <w:sz w:val="22"/>
          <w:szCs w:val="22"/>
        </w:rPr>
        <w:t>Les financeurs souhaitent bénéficier des informations relatives aux performances des installations de déconditionnement aidées. Le futur maître d’ouvrage bénéficiaire donne son accord pour que les financeurs exploitent les données de l’installation de déconditionnement aidée (données de localisation, description technique, données de base concernant le maître d’ouvrage, montant des aides, données techniques et économiques de fonctionnement). Ces données pourront notamment être récupérées dans le cadre d’une mission de suivi de ces unités pilotée par les financeurs. Ces données pourront ensuite faire l’objet d’un traitement informatique. Leur exploitation sera réalisée à la discrétion des financeurs, suivant des modalités et conditions qu’ils définiront librement, pour leurs besoins internes et externes. Il convient de relever que l’exploitation pour des besoins externes pourra comprendre la communication à des tiers et/ou la publication (site internet, lettres, revues techniques…).</w:t>
      </w:r>
    </w:p>
    <w:p w14:paraId="000000E1" w14:textId="77777777" w:rsidR="00EF5278" w:rsidRDefault="00EF5278">
      <w:pPr>
        <w:spacing w:line="360" w:lineRule="auto"/>
        <w:rPr>
          <w:color w:val="000000"/>
        </w:rPr>
      </w:pPr>
    </w:p>
    <w:p w14:paraId="000000E2" w14:textId="77777777" w:rsidR="00EF5278" w:rsidRDefault="00CC0084">
      <w:pPr>
        <w:pStyle w:val="Titre2"/>
        <w:numPr>
          <w:ilvl w:val="1"/>
          <w:numId w:val="16"/>
        </w:numPr>
        <w:shd w:val="clear" w:color="auto" w:fill="002060"/>
      </w:pPr>
      <w:bookmarkStart w:id="15" w:name="_heading=h.lnxbz9" w:colFirst="0" w:colLast="0"/>
      <w:bookmarkEnd w:id="15"/>
      <w:r>
        <w:t>Principe de sélection et accompagnement du ou des lauréats</w:t>
      </w:r>
    </w:p>
    <w:p w14:paraId="000000E3" w14:textId="77777777" w:rsidR="00EF5278" w:rsidRDefault="00EF5278">
      <w:pPr>
        <w:spacing w:line="259" w:lineRule="auto"/>
      </w:pPr>
    </w:p>
    <w:p w14:paraId="000000E4" w14:textId="20A770FE" w:rsidR="00EF5278" w:rsidRDefault="00CC0084">
      <w:pPr>
        <w:pStyle w:val="Titre3"/>
        <w:numPr>
          <w:ilvl w:val="2"/>
          <w:numId w:val="16"/>
        </w:numPr>
      </w:pPr>
      <w:bookmarkStart w:id="16" w:name="_heading=h.35nkun2" w:colFirst="0" w:colLast="0"/>
      <w:bookmarkEnd w:id="16"/>
      <w:r>
        <w:t>Phase 1 : phase</w:t>
      </w:r>
      <w:r w:rsidR="00835406">
        <w:t xml:space="preserve"> étude -</w:t>
      </w:r>
      <w:r>
        <w:t xml:space="preserve"> pré opérationnelle</w:t>
      </w:r>
    </w:p>
    <w:p w14:paraId="000000E5" w14:textId="77777777" w:rsidR="00EF5278" w:rsidRDefault="00CC0084">
      <w:pPr>
        <w:pStyle w:val="Titre4"/>
        <w:numPr>
          <w:ilvl w:val="3"/>
          <w:numId w:val="16"/>
        </w:numPr>
      </w:pPr>
      <w:r>
        <w:t>Critères d’éligibilité</w:t>
      </w:r>
    </w:p>
    <w:p w14:paraId="000000E6" w14:textId="30F76A50" w:rsidR="00EF5278" w:rsidRDefault="00EF5278">
      <w:pPr>
        <w:rPr>
          <w:sz w:val="22"/>
          <w:szCs w:val="22"/>
        </w:rPr>
      </w:pPr>
    </w:p>
    <w:p w14:paraId="000000E7" w14:textId="2B6EE3C8" w:rsidR="00EF5278" w:rsidRDefault="00CC0084">
      <w:pPr>
        <w:numPr>
          <w:ilvl w:val="0"/>
          <w:numId w:val="19"/>
        </w:numPr>
        <w:pBdr>
          <w:top w:val="nil"/>
          <w:left w:val="nil"/>
          <w:bottom w:val="nil"/>
          <w:right w:val="nil"/>
          <w:between w:val="nil"/>
        </w:pBdr>
        <w:rPr>
          <w:color w:val="000000"/>
          <w:sz w:val="22"/>
          <w:szCs w:val="22"/>
        </w:rPr>
      </w:pPr>
      <w:r>
        <w:rPr>
          <w:color w:val="000000"/>
          <w:sz w:val="22"/>
          <w:szCs w:val="22"/>
        </w:rPr>
        <w:t>Fourniture dans le dossier de candidature des pièces énumérées au C.1 du présent règlement,</w:t>
      </w:r>
    </w:p>
    <w:p w14:paraId="000000E8" w14:textId="4A268A57" w:rsidR="00EF5278" w:rsidRDefault="00CC0084">
      <w:pPr>
        <w:numPr>
          <w:ilvl w:val="0"/>
          <w:numId w:val="19"/>
        </w:numPr>
        <w:pBdr>
          <w:top w:val="nil"/>
          <w:left w:val="nil"/>
          <w:bottom w:val="nil"/>
          <w:right w:val="nil"/>
          <w:between w:val="nil"/>
        </w:pBdr>
        <w:rPr>
          <w:color w:val="000000"/>
          <w:sz w:val="22"/>
          <w:szCs w:val="22"/>
        </w:rPr>
      </w:pPr>
      <w:r>
        <w:rPr>
          <w:color w:val="000000"/>
          <w:sz w:val="22"/>
          <w:szCs w:val="22"/>
        </w:rPr>
        <w:t>Respect, appropriation et adaptation du cahier des charges de l’étude au territoire concerné.</w:t>
      </w:r>
    </w:p>
    <w:p w14:paraId="000000E9" w14:textId="65680B70" w:rsidR="00EF5278" w:rsidRDefault="00EF5278"/>
    <w:p w14:paraId="000000EA" w14:textId="49C1F6FC" w:rsidR="00EF5278" w:rsidRDefault="0080686C">
      <w:pPr>
        <w:pBdr>
          <w:top w:val="nil"/>
          <w:left w:val="nil"/>
          <w:bottom w:val="nil"/>
          <w:right w:val="nil"/>
          <w:between w:val="nil"/>
        </w:pBdr>
        <w:ind w:left="720"/>
        <w:rPr>
          <w:color w:val="000000"/>
        </w:rPr>
      </w:pPr>
      <w:r>
        <w:rPr>
          <w:noProof/>
        </w:rPr>
        <mc:AlternateContent>
          <mc:Choice Requires="wps">
            <w:drawing>
              <wp:anchor distT="0" distB="0" distL="114300" distR="114300" simplePos="0" relativeHeight="251664384" behindDoc="0" locked="0" layoutInCell="1" hidden="0" allowOverlap="1" wp14:anchorId="658AD9CC" wp14:editId="24BBDC8E">
                <wp:simplePos x="0" y="0"/>
                <wp:positionH relativeFrom="margin">
                  <wp:posOffset>-39370</wp:posOffset>
                </wp:positionH>
                <wp:positionV relativeFrom="paragraph">
                  <wp:posOffset>31750</wp:posOffset>
                </wp:positionV>
                <wp:extent cx="6048375" cy="990600"/>
                <wp:effectExtent l="19050" t="19050" r="28575" b="19050"/>
                <wp:wrapNone/>
                <wp:docPr id="13" name="Rectangle 13"/>
                <wp:cNvGraphicFramePr/>
                <a:graphic xmlns:a="http://schemas.openxmlformats.org/drawingml/2006/main">
                  <a:graphicData uri="http://schemas.microsoft.com/office/word/2010/wordprocessingShape">
                    <wps:wsp>
                      <wps:cNvSpPr/>
                      <wps:spPr>
                        <a:xfrm>
                          <a:off x="0" y="0"/>
                          <a:ext cx="6048375" cy="990600"/>
                        </a:xfrm>
                        <a:prstGeom prst="rect">
                          <a:avLst/>
                        </a:prstGeom>
                        <a:noFill/>
                        <a:ln w="28575" cap="flat" cmpd="sng">
                          <a:solidFill>
                            <a:schemeClr val="tx1"/>
                          </a:solidFill>
                          <a:prstDash val="solid"/>
                          <a:miter lim="800000"/>
                          <a:headEnd type="none" w="sm" len="sm"/>
                          <a:tailEnd type="none" w="sm" len="sm"/>
                        </a:ln>
                      </wps:spPr>
                      <wps:txbx>
                        <w:txbxContent>
                          <w:p w14:paraId="181DB4C0" w14:textId="77777777" w:rsidR="00EF5278" w:rsidRDefault="00EF5278">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58AD9CC" id="Rectangle 13" o:spid="_x0000_s1029" style="position:absolute;left:0;text-align:left;margin-left:-3.1pt;margin-top:2.5pt;width:476.25pt;height:78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" filled="f" strokecolor="black [3213]" strokeweight="2.25pt">
                <v:stroke startarrowwidth="narrow" startarrowlength="short" endarrowwidth="narrow" endarrowlength="short"/>
                <v:textbox inset="2.53958mm,2.53958mm,2.53958mm,2.53958mm">
                  <w:txbxContent>
                    <w:p w14:paraId="181DB4C0" w14:textId="77777777" w:rsidR="00EF5278" w:rsidRDefault="00EF5278">
                      <w:pPr>
                        <w:jc w:val="left"/>
                        <w:textDirection w:val="btLr"/>
                      </w:pPr>
                    </w:p>
                  </w:txbxContent>
                </v:textbox>
                <w10:wrap anchorx="margin"/>
              </v:rect>
            </w:pict>
          </mc:Fallback>
        </mc:AlternateContent>
      </w:r>
    </w:p>
    <w:p w14:paraId="000000EB" w14:textId="78114938" w:rsidR="00EF5278" w:rsidRPr="0080686C" w:rsidRDefault="00CC0084">
      <w:pPr>
        <w:jc w:val="center"/>
        <w:rPr>
          <w:b/>
          <w:sz w:val="22"/>
          <w:szCs w:val="22"/>
        </w:rPr>
      </w:pPr>
      <w:r w:rsidRPr="0080686C">
        <w:rPr>
          <w:b/>
          <w:sz w:val="22"/>
          <w:szCs w:val="22"/>
        </w:rPr>
        <w:t>Au regard du nombre de projets en cours et en fonctionnement dans le Morbihan, il n’est pas possible de candidater en phase 1 pour une étude située dans ce département.</w:t>
      </w:r>
    </w:p>
    <w:p w14:paraId="000000EC" w14:textId="7993AD51" w:rsidR="00EF5278" w:rsidRDefault="00CC0084">
      <w:pPr>
        <w:rPr>
          <w:sz w:val="22"/>
          <w:szCs w:val="22"/>
        </w:rPr>
      </w:pPr>
      <w:r w:rsidRPr="0080686C">
        <w:rPr>
          <w:sz w:val="22"/>
          <w:szCs w:val="22"/>
        </w:rPr>
        <w:t>Pour les autres départements bretons, le porteur de projet devra démontrer a priori que son étude s’inscrit dans une cohérence territoriale et ne vient pas se placer en concurrence des projets existants.</w:t>
      </w:r>
    </w:p>
    <w:p w14:paraId="000000ED" w14:textId="3BB2D966" w:rsidR="00EF5278" w:rsidRDefault="00EF5278">
      <w:pPr>
        <w:pBdr>
          <w:top w:val="nil"/>
          <w:left w:val="nil"/>
          <w:bottom w:val="nil"/>
          <w:right w:val="nil"/>
          <w:between w:val="nil"/>
        </w:pBdr>
        <w:ind w:left="720"/>
        <w:rPr>
          <w:color w:val="000000"/>
        </w:rPr>
      </w:pPr>
    </w:p>
    <w:p w14:paraId="000000EE" w14:textId="77777777" w:rsidR="00EF5278" w:rsidRDefault="00EF5278">
      <w:pPr>
        <w:pBdr>
          <w:top w:val="nil"/>
          <w:left w:val="nil"/>
          <w:bottom w:val="nil"/>
          <w:right w:val="nil"/>
          <w:between w:val="nil"/>
        </w:pBdr>
        <w:ind w:left="720"/>
        <w:rPr>
          <w:color w:val="000000"/>
        </w:rPr>
      </w:pPr>
    </w:p>
    <w:p w14:paraId="000000EF" w14:textId="63BF06B8" w:rsidR="00EF5278" w:rsidRDefault="00CC0084">
      <w:pPr>
        <w:pStyle w:val="Titre4"/>
        <w:numPr>
          <w:ilvl w:val="3"/>
          <w:numId w:val="16"/>
        </w:numPr>
      </w:pPr>
      <w:r>
        <w:t>Critères d’appréciation</w:t>
      </w:r>
    </w:p>
    <w:p w14:paraId="000000F0" w14:textId="63AB710C" w:rsidR="00EF5278" w:rsidRDefault="00EF5278">
      <w:pPr>
        <w:rPr>
          <w:b/>
          <w:sz w:val="22"/>
          <w:szCs w:val="22"/>
        </w:rPr>
      </w:pPr>
    </w:p>
    <w:p w14:paraId="000000F1" w14:textId="7D13F6A3" w:rsidR="00EF5278" w:rsidRDefault="00CC0084">
      <w:pPr>
        <w:rPr>
          <w:b/>
          <w:sz w:val="22"/>
          <w:szCs w:val="22"/>
        </w:rPr>
      </w:pPr>
      <w:r>
        <w:rPr>
          <w:b/>
          <w:sz w:val="22"/>
          <w:szCs w:val="22"/>
        </w:rPr>
        <w:t>Afin de sélectionner les différents projets, les membres du jury, constitué du Conseil régional de Bretagne, de l’association AILE et de l’ADEME Bretagne s’appuieront sur les éléments suivants :</w:t>
      </w:r>
    </w:p>
    <w:p w14:paraId="000000F2" w14:textId="77777777" w:rsidR="00EF5278" w:rsidRDefault="00EF5278">
      <w:pPr>
        <w:rPr>
          <w:b/>
          <w:sz w:val="22"/>
          <w:szCs w:val="22"/>
        </w:rPr>
      </w:pPr>
    </w:p>
    <w:p w14:paraId="000000F3" w14:textId="77777777" w:rsidR="00EF5278" w:rsidRDefault="00CC0084">
      <w:pPr>
        <w:numPr>
          <w:ilvl w:val="0"/>
          <w:numId w:val="19"/>
        </w:numPr>
        <w:pBdr>
          <w:top w:val="nil"/>
          <w:left w:val="nil"/>
          <w:bottom w:val="nil"/>
          <w:right w:val="nil"/>
          <w:between w:val="nil"/>
        </w:pBdr>
        <w:rPr>
          <w:color w:val="000000"/>
          <w:sz w:val="22"/>
          <w:szCs w:val="22"/>
        </w:rPr>
      </w:pPr>
      <w:r>
        <w:rPr>
          <w:color w:val="000000"/>
          <w:sz w:val="22"/>
          <w:szCs w:val="22"/>
        </w:rPr>
        <w:t>Le porteur de projet a déjà identifié des potentiels partenaires avec lesquels travailler et élaborer le projet de déconditionneur / hygiénisateur :</w:t>
      </w:r>
    </w:p>
    <w:p w14:paraId="000000F4" w14:textId="77777777" w:rsidR="00EF5278" w:rsidRDefault="00CC0084">
      <w:pPr>
        <w:numPr>
          <w:ilvl w:val="1"/>
          <w:numId w:val="19"/>
        </w:numPr>
        <w:pBdr>
          <w:top w:val="nil"/>
          <w:left w:val="nil"/>
          <w:bottom w:val="nil"/>
          <w:right w:val="nil"/>
          <w:between w:val="nil"/>
        </w:pBdr>
        <w:rPr>
          <w:color w:val="000000"/>
          <w:sz w:val="22"/>
          <w:szCs w:val="22"/>
        </w:rPr>
      </w:pPr>
      <w:r>
        <w:rPr>
          <w:color w:val="000000"/>
          <w:sz w:val="22"/>
          <w:szCs w:val="22"/>
        </w:rPr>
        <w:t xml:space="preserve">Acteurs publics du territoire : collectivité, syndicat d’énergie (via leur SEM) ou de traitement de déchets, </w:t>
      </w:r>
    </w:p>
    <w:p w14:paraId="000000F5" w14:textId="77777777" w:rsidR="00EF5278" w:rsidRDefault="00CC0084">
      <w:pPr>
        <w:numPr>
          <w:ilvl w:val="1"/>
          <w:numId w:val="19"/>
        </w:numPr>
        <w:pBdr>
          <w:top w:val="nil"/>
          <w:left w:val="nil"/>
          <w:bottom w:val="nil"/>
          <w:right w:val="nil"/>
          <w:between w:val="nil"/>
        </w:pBdr>
        <w:rPr>
          <w:color w:val="000000"/>
          <w:sz w:val="22"/>
          <w:szCs w:val="22"/>
        </w:rPr>
      </w:pPr>
      <w:r>
        <w:rPr>
          <w:color w:val="000000"/>
          <w:sz w:val="22"/>
          <w:szCs w:val="22"/>
        </w:rPr>
        <w:t>Opérateurs de collecte et/ou de traitement de déchets</w:t>
      </w:r>
    </w:p>
    <w:p w14:paraId="000000F6" w14:textId="77777777" w:rsidR="00EF5278" w:rsidRDefault="00CC0084">
      <w:pPr>
        <w:numPr>
          <w:ilvl w:val="1"/>
          <w:numId w:val="19"/>
        </w:numPr>
        <w:pBdr>
          <w:top w:val="nil"/>
          <w:left w:val="nil"/>
          <w:bottom w:val="nil"/>
          <w:right w:val="nil"/>
          <w:between w:val="nil"/>
        </w:pBdr>
        <w:rPr>
          <w:color w:val="000000"/>
          <w:sz w:val="22"/>
          <w:szCs w:val="22"/>
        </w:rPr>
      </w:pPr>
      <w:r>
        <w:rPr>
          <w:color w:val="000000"/>
          <w:sz w:val="22"/>
          <w:szCs w:val="22"/>
        </w:rPr>
        <w:t>Producteurs de biodéchets conditionnés : GMS, IAA,</w:t>
      </w:r>
    </w:p>
    <w:p w14:paraId="000000F7" w14:textId="77777777" w:rsidR="00EF5278" w:rsidRDefault="00CC0084">
      <w:pPr>
        <w:numPr>
          <w:ilvl w:val="1"/>
          <w:numId w:val="19"/>
        </w:numPr>
        <w:pBdr>
          <w:top w:val="nil"/>
          <w:left w:val="nil"/>
          <w:bottom w:val="nil"/>
          <w:right w:val="nil"/>
          <w:between w:val="nil"/>
        </w:pBdr>
        <w:rPr>
          <w:color w:val="000000"/>
          <w:sz w:val="22"/>
          <w:szCs w:val="22"/>
        </w:rPr>
      </w:pPr>
      <w:r>
        <w:rPr>
          <w:color w:val="000000"/>
          <w:sz w:val="22"/>
          <w:szCs w:val="22"/>
        </w:rPr>
        <w:t>Exploitants méthaniseurs, dont méthaniseurs agricoles.</w:t>
      </w:r>
    </w:p>
    <w:p w14:paraId="000000F8" w14:textId="77777777" w:rsidR="00EF5278" w:rsidRDefault="00CC0084">
      <w:pPr>
        <w:numPr>
          <w:ilvl w:val="0"/>
          <w:numId w:val="19"/>
        </w:numPr>
        <w:pBdr>
          <w:top w:val="nil"/>
          <w:left w:val="nil"/>
          <w:bottom w:val="nil"/>
          <w:right w:val="nil"/>
          <w:between w:val="nil"/>
        </w:pBdr>
        <w:rPr>
          <w:color w:val="000000"/>
          <w:sz w:val="22"/>
          <w:szCs w:val="22"/>
        </w:rPr>
      </w:pPr>
      <w:r>
        <w:rPr>
          <w:color w:val="000000"/>
          <w:sz w:val="22"/>
          <w:szCs w:val="22"/>
        </w:rPr>
        <w:t>L’étude s’inscrit dans une politique globale du territoire en faveur de la prévention et de la gestion des déchets organiques et du développement des énergies renouvelables. A titre d’exemple :</w:t>
      </w:r>
    </w:p>
    <w:p w14:paraId="000000F9" w14:textId="77777777" w:rsidR="00EF5278" w:rsidRDefault="00CC0084">
      <w:pPr>
        <w:numPr>
          <w:ilvl w:val="1"/>
          <w:numId w:val="19"/>
        </w:numPr>
        <w:pBdr>
          <w:top w:val="nil"/>
          <w:left w:val="nil"/>
          <w:bottom w:val="nil"/>
          <w:right w:val="nil"/>
          <w:between w:val="nil"/>
        </w:pBdr>
        <w:rPr>
          <w:color w:val="000000"/>
          <w:sz w:val="22"/>
          <w:szCs w:val="22"/>
        </w:rPr>
      </w:pPr>
      <w:r>
        <w:rPr>
          <w:color w:val="000000"/>
          <w:sz w:val="22"/>
          <w:szCs w:val="22"/>
        </w:rPr>
        <w:t>La collectivité a mis en place ou prévoit de mettre en place une collecte séparée des biodéchets des ménages et/ou des gros producteurs,</w:t>
      </w:r>
    </w:p>
    <w:p w14:paraId="000000FA" w14:textId="77777777" w:rsidR="00EF5278" w:rsidRDefault="00CC0084">
      <w:pPr>
        <w:numPr>
          <w:ilvl w:val="1"/>
          <w:numId w:val="19"/>
        </w:numPr>
        <w:pBdr>
          <w:top w:val="nil"/>
          <w:left w:val="nil"/>
          <w:bottom w:val="nil"/>
          <w:right w:val="nil"/>
          <w:between w:val="nil"/>
        </w:pBdr>
        <w:rPr>
          <w:color w:val="000000"/>
          <w:sz w:val="22"/>
          <w:szCs w:val="22"/>
        </w:rPr>
      </w:pPr>
      <w:r>
        <w:rPr>
          <w:color w:val="000000"/>
          <w:sz w:val="22"/>
          <w:szCs w:val="22"/>
        </w:rPr>
        <w:t>Des démarches concertées entre les différents acteurs concernés par la matière organiques (collectivités, exploitants agricoles, opérateurs privés, associations, autres, …) sont déjà mises en place ou pourraient se mettre en place,</w:t>
      </w:r>
    </w:p>
    <w:p w14:paraId="000000FB" w14:textId="77777777" w:rsidR="00EF5278" w:rsidRDefault="00CC0084">
      <w:pPr>
        <w:numPr>
          <w:ilvl w:val="1"/>
          <w:numId w:val="19"/>
        </w:numPr>
        <w:pBdr>
          <w:top w:val="nil"/>
          <w:left w:val="nil"/>
          <w:bottom w:val="nil"/>
          <w:right w:val="nil"/>
          <w:between w:val="nil"/>
        </w:pBdr>
        <w:rPr>
          <w:color w:val="000000"/>
          <w:sz w:val="22"/>
          <w:szCs w:val="22"/>
        </w:rPr>
      </w:pPr>
      <w:r>
        <w:rPr>
          <w:color w:val="000000"/>
          <w:sz w:val="22"/>
          <w:szCs w:val="22"/>
        </w:rPr>
        <w:t>Le territoire mène des actions en faveur du développement de la méthanisation notamment dans le cadre son Plan Climat Air Energie Territorial.</w:t>
      </w:r>
    </w:p>
    <w:p w14:paraId="000000FC" w14:textId="77777777" w:rsidR="00EF5278" w:rsidRDefault="00EF5278">
      <w:pPr>
        <w:rPr>
          <w:sz w:val="22"/>
          <w:szCs w:val="22"/>
        </w:rPr>
      </w:pPr>
    </w:p>
    <w:p w14:paraId="000000FD" w14:textId="77777777" w:rsidR="00EF5278" w:rsidRDefault="00CC0084">
      <w:pPr>
        <w:pStyle w:val="Titre3"/>
        <w:numPr>
          <w:ilvl w:val="2"/>
          <w:numId w:val="16"/>
        </w:numPr>
      </w:pPr>
      <w:bookmarkStart w:id="17" w:name="_heading=h.1ksv4uv" w:colFirst="0" w:colLast="0"/>
      <w:bookmarkEnd w:id="17"/>
      <w:r>
        <w:t>Phase 2 : phase investissement</w:t>
      </w:r>
    </w:p>
    <w:p w14:paraId="000000FE" w14:textId="656DA7BA" w:rsidR="00EF5278" w:rsidRDefault="00CC0084">
      <w:pPr>
        <w:pStyle w:val="Titre4"/>
        <w:numPr>
          <w:ilvl w:val="3"/>
          <w:numId w:val="16"/>
        </w:numPr>
      </w:pPr>
      <w:r>
        <w:t>Critères d’éligibilité</w:t>
      </w:r>
    </w:p>
    <w:p w14:paraId="65819BA9" w14:textId="72DDDD9A" w:rsidR="007B0457" w:rsidRPr="007B0457" w:rsidRDefault="007B0457" w:rsidP="007B0457"/>
    <w:p w14:paraId="00000102" w14:textId="448B56A1" w:rsidR="00EF5278" w:rsidRPr="0080686C" w:rsidRDefault="007B0457" w:rsidP="007B0457">
      <w:pPr>
        <w:jc w:val="center"/>
        <w:rPr>
          <w:sz w:val="22"/>
          <w:szCs w:val="22"/>
        </w:rPr>
      </w:pPr>
      <w:r>
        <w:rPr>
          <w:noProof/>
        </w:rPr>
        <mc:AlternateContent>
          <mc:Choice Requires="wps">
            <w:drawing>
              <wp:anchor distT="0" distB="0" distL="114300" distR="114300" simplePos="0" relativeHeight="251666432" behindDoc="0" locked="0" layoutInCell="1" hidden="0" allowOverlap="1" wp14:anchorId="52C05F34" wp14:editId="3A254445">
                <wp:simplePos x="0" y="0"/>
                <wp:positionH relativeFrom="margin">
                  <wp:align>left</wp:align>
                </wp:positionH>
                <wp:positionV relativeFrom="paragraph">
                  <wp:posOffset>33656</wp:posOffset>
                </wp:positionV>
                <wp:extent cx="6048375" cy="74295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6048375" cy="742950"/>
                        </a:xfrm>
                        <a:prstGeom prst="rect">
                          <a:avLst/>
                        </a:prstGeom>
                        <a:noFill/>
                        <a:ln w="28575" cap="flat" cmpd="sng">
                          <a:solidFill>
                            <a:schemeClr val="tx1"/>
                          </a:solidFill>
                          <a:prstDash val="solid"/>
                          <a:miter lim="800000"/>
                          <a:headEnd type="none" w="sm" len="sm"/>
                          <a:tailEnd type="none" w="sm" len="sm"/>
                        </a:ln>
                      </wps:spPr>
                      <wps:txbx>
                        <w:txbxContent>
                          <w:p w14:paraId="7EF2008B" w14:textId="77777777" w:rsidR="007B0457" w:rsidRDefault="007B0457" w:rsidP="007B0457">
                            <w:pPr>
                              <w:jc w:val="left"/>
                              <w:textDirection w:val="btLr"/>
                            </w:pPr>
                          </w:p>
                          <w:p w14:paraId="3FDD9A1E" w14:textId="77777777" w:rsidR="0080686C" w:rsidRDefault="0080686C"/>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52C05F34" id="Rectangle 1" o:spid="_x0000_s1030" style="position:absolute;left:0;text-align:left;margin-left:0;margin-top:2.65pt;width:476.25pt;height:58.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" filled="f" strokecolor="black [3213]" strokeweight="2.25pt">
                <v:stroke startarrowwidth="narrow" startarrowlength="short" endarrowwidth="narrow" endarrowlength="short"/>
                <v:textbox inset="2.53958mm,2.53958mm,2.53958mm,2.53958mm">
                  <w:txbxContent>
                    <w:p w14:paraId="7EF2008B" w14:textId="77777777" w:rsidR="007B0457" w:rsidRDefault="007B0457" w:rsidP="007B0457">
                      <w:pPr>
                        <w:jc w:val="left"/>
                        <w:textDirection w:val="btLr"/>
                      </w:pPr>
                    </w:p>
                    <w:p w14:paraId="3FDD9A1E" w14:textId="77777777" w:rsidR="0080686C" w:rsidRDefault="0080686C"/>
                  </w:txbxContent>
                </v:textbox>
                <w10:wrap anchorx="margin"/>
              </v:rect>
            </w:pict>
          </mc:Fallback>
        </mc:AlternateContent>
      </w:r>
      <w:sdt>
        <w:sdtPr>
          <w:tag w:val="goog_rdk_7"/>
          <w:id w:val="-115527260"/>
        </w:sdtPr>
        <w:sdtEndPr/>
        <w:sdtContent>
          <w:sdt>
            <w:sdtPr>
              <w:tag w:val="goog_rdk_6"/>
              <w:id w:val="-1923638793"/>
              <w:showingPlcHdr/>
            </w:sdtPr>
            <w:sdtEndPr/>
            <w:sdtContent>
              <w:r w:rsidRPr="0080686C">
                <w:t xml:space="preserve">     </w:t>
              </w:r>
            </w:sdtContent>
          </w:sdt>
        </w:sdtContent>
      </w:sdt>
    </w:p>
    <w:p w14:paraId="00000103" w14:textId="5E4452DD" w:rsidR="00EF5278" w:rsidRDefault="00CC0084" w:rsidP="007B0457">
      <w:pPr>
        <w:jc w:val="center"/>
        <w:rPr>
          <w:b/>
          <w:sz w:val="22"/>
          <w:szCs w:val="22"/>
        </w:rPr>
      </w:pPr>
      <w:r w:rsidRPr="0080686C">
        <w:rPr>
          <w:b/>
          <w:sz w:val="22"/>
          <w:szCs w:val="22"/>
        </w:rPr>
        <w:t xml:space="preserve">Avant tout dépôt de candidature, il est indispensable de </w:t>
      </w:r>
      <w:sdt>
        <w:sdtPr>
          <w:tag w:val="goog_rdk_17"/>
          <w:id w:val="1392079780"/>
        </w:sdtPr>
        <w:sdtEndPr/>
        <w:sdtContent/>
      </w:sdt>
      <w:sdt>
        <w:sdtPr>
          <w:tag w:val="goog_rdk_18"/>
          <w:id w:val="-1117604097"/>
        </w:sdtPr>
        <w:sdtEndPr/>
        <w:sdtContent/>
      </w:sdt>
      <w:r w:rsidRPr="0080686C">
        <w:rPr>
          <w:b/>
          <w:sz w:val="22"/>
          <w:szCs w:val="22"/>
        </w:rPr>
        <w:t xml:space="preserve">contacter </w:t>
      </w:r>
      <w:r w:rsidR="007B0457" w:rsidRPr="0080686C">
        <w:rPr>
          <w:b/>
          <w:sz w:val="22"/>
          <w:szCs w:val="22"/>
        </w:rPr>
        <w:t>AILE (gary.lucarelli@aile.asso.fr)</w:t>
      </w:r>
      <w:r w:rsidRPr="0080686C">
        <w:rPr>
          <w:b/>
          <w:sz w:val="22"/>
          <w:szCs w:val="22"/>
        </w:rPr>
        <w:t xml:space="preserve"> </w:t>
      </w:r>
      <w:r w:rsidR="007B0457" w:rsidRPr="0080686C">
        <w:rPr>
          <w:b/>
          <w:sz w:val="22"/>
          <w:szCs w:val="22"/>
        </w:rPr>
        <w:t>pour échanger sur la</w:t>
      </w:r>
      <w:r w:rsidRPr="0080686C">
        <w:rPr>
          <w:b/>
          <w:sz w:val="22"/>
          <w:szCs w:val="22"/>
        </w:rPr>
        <w:t xml:space="preserve"> cohérence territoriale </w:t>
      </w:r>
      <w:r w:rsidR="007B0457" w:rsidRPr="0080686C">
        <w:rPr>
          <w:b/>
          <w:sz w:val="22"/>
          <w:szCs w:val="22"/>
        </w:rPr>
        <w:t xml:space="preserve">du projet </w:t>
      </w:r>
      <w:r w:rsidRPr="0080686C">
        <w:rPr>
          <w:b/>
          <w:sz w:val="22"/>
          <w:szCs w:val="22"/>
        </w:rPr>
        <w:t>au regard des éventuel</w:t>
      </w:r>
      <w:r w:rsidR="007B0457" w:rsidRPr="0080686C">
        <w:rPr>
          <w:b/>
          <w:sz w:val="22"/>
          <w:szCs w:val="22"/>
        </w:rPr>
        <w:t>le</w:t>
      </w:r>
      <w:r w:rsidRPr="0080686C">
        <w:rPr>
          <w:b/>
          <w:sz w:val="22"/>
          <w:szCs w:val="22"/>
        </w:rPr>
        <w:t xml:space="preserve">s autres </w:t>
      </w:r>
      <w:r w:rsidR="007B0457" w:rsidRPr="0080686C">
        <w:rPr>
          <w:b/>
          <w:sz w:val="22"/>
          <w:szCs w:val="22"/>
        </w:rPr>
        <w:t>initiatives</w:t>
      </w:r>
      <w:r w:rsidRPr="0080686C">
        <w:rPr>
          <w:b/>
          <w:sz w:val="22"/>
          <w:szCs w:val="22"/>
        </w:rPr>
        <w:t xml:space="preserve"> en cours sur le territoire.</w:t>
      </w:r>
    </w:p>
    <w:p w14:paraId="00000104" w14:textId="77777777" w:rsidR="00EF5278" w:rsidRDefault="00EF5278">
      <w:pPr>
        <w:rPr>
          <w:sz w:val="22"/>
          <w:szCs w:val="22"/>
        </w:rPr>
      </w:pPr>
    </w:p>
    <w:p w14:paraId="00000105" w14:textId="66714F33" w:rsidR="00EF5278" w:rsidRDefault="00CC0084">
      <w:pPr>
        <w:numPr>
          <w:ilvl w:val="0"/>
          <w:numId w:val="7"/>
        </w:numPr>
        <w:pBdr>
          <w:top w:val="nil"/>
          <w:left w:val="nil"/>
          <w:bottom w:val="nil"/>
          <w:right w:val="nil"/>
          <w:between w:val="nil"/>
        </w:pBdr>
        <w:rPr>
          <w:color w:val="000000"/>
          <w:sz w:val="22"/>
          <w:szCs w:val="22"/>
        </w:rPr>
      </w:pPr>
      <w:r>
        <w:rPr>
          <w:color w:val="000000"/>
          <w:sz w:val="22"/>
          <w:szCs w:val="22"/>
        </w:rPr>
        <w:t xml:space="preserve">Fourniture dans le dossier de candidature des pièces énumérées au C.1 du présent règlement, y </w:t>
      </w:r>
      <w:r>
        <w:rPr>
          <w:b/>
          <w:color w:val="000000"/>
          <w:sz w:val="22"/>
          <w:szCs w:val="22"/>
        </w:rPr>
        <w:t>compris l’étude de faisabilité</w:t>
      </w:r>
      <w:r>
        <w:rPr>
          <w:color w:val="000000"/>
          <w:sz w:val="22"/>
          <w:szCs w:val="22"/>
        </w:rPr>
        <w:t>. L’étude de faisabilité devra donc avoir déterminé :</w:t>
      </w:r>
    </w:p>
    <w:p w14:paraId="00000106" w14:textId="77777777" w:rsidR="00EF5278" w:rsidRDefault="00CC0084">
      <w:pPr>
        <w:numPr>
          <w:ilvl w:val="0"/>
          <w:numId w:val="2"/>
        </w:numPr>
        <w:rPr>
          <w:sz w:val="22"/>
          <w:szCs w:val="22"/>
        </w:rPr>
      </w:pPr>
      <w:r>
        <w:rPr>
          <w:b/>
          <w:sz w:val="22"/>
          <w:szCs w:val="22"/>
        </w:rPr>
        <w:t>Le périmètre géographique concerné</w:t>
      </w:r>
      <w:r>
        <w:rPr>
          <w:sz w:val="22"/>
          <w:szCs w:val="22"/>
        </w:rPr>
        <w:t xml:space="preserve"> et les compétences de la collectivité associée à ce périmètre,</w:t>
      </w:r>
    </w:p>
    <w:p w14:paraId="00000107" w14:textId="77777777" w:rsidR="00EF5278" w:rsidRDefault="00CC0084">
      <w:pPr>
        <w:numPr>
          <w:ilvl w:val="0"/>
          <w:numId w:val="2"/>
        </w:numPr>
        <w:rPr>
          <w:sz w:val="22"/>
          <w:szCs w:val="22"/>
        </w:rPr>
      </w:pPr>
      <w:r>
        <w:rPr>
          <w:b/>
          <w:sz w:val="22"/>
          <w:szCs w:val="22"/>
        </w:rPr>
        <w:t>Les gisements collectés</w:t>
      </w:r>
      <w:r>
        <w:rPr>
          <w:sz w:val="22"/>
          <w:szCs w:val="22"/>
        </w:rPr>
        <w:t> :</w:t>
      </w:r>
    </w:p>
    <w:p w14:paraId="00000108" w14:textId="77777777" w:rsidR="00EF5278" w:rsidRDefault="00CC0084">
      <w:pPr>
        <w:numPr>
          <w:ilvl w:val="0"/>
          <w:numId w:val="1"/>
        </w:numPr>
        <w:rPr>
          <w:sz w:val="22"/>
          <w:szCs w:val="22"/>
        </w:rPr>
      </w:pPr>
      <w:r>
        <w:rPr>
          <w:sz w:val="22"/>
          <w:szCs w:val="22"/>
        </w:rPr>
        <w:t xml:space="preserve">Nature et types d’établissements collectés, </w:t>
      </w:r>
    </w:p>
    <w:p w14:paraId="00000109" w14:textId="77777777" w:rsidR="00EF5278" w:rsidRDefault="00CC0084">
      <w:pPr>
        <w:numPr>
          <w:ilvl w:val="0"/>
          <w:numId w:val="1"/>
        </w:numPr>
        <w:rPr>
          <w:sz w:val="22"/>
          <w:szCs w:val="22"/>
        </w:rPr>
      </w:pPr>
      <w:r>
        <w:rPr>
          <w:sz w:val="22"/>
          <w:szCs w:val="22"/>
        </w:rPr>
        <w:t>Tonnages, avec évolution dans le temps,</w:t>
      </w:r>
    </w:p>
    <w:p w14:paraId="1783C4CC" w14:textId="60E3037D" w:rsidR="009B3240" w:rsidRDefault="009B3240">
      <w:pPr>
        <w:numPr>
          <w:ilvl w:val="0"/>
          <w:numId w:val="1"/>
        </w:numPr>
        <w:rPr>
          <w:sz w:val="22"/>
          <w:szCs w:val="22"/>
        </w:rPr>
      </w:pPr>
      <w:r>
        <w:rPr>
          <w:sz w:val="22"/>
          <w:szCs w:val="22"/>
        </w:rPr>
        <w:t>% de déchets d’activités économiques et % de déchets emballés,</w:t>
      </w:r>
    </w:p>
    <w:p w14:paraId="0000010A" w14:textId="0009ADD4" w:rsidR="00EF5278" w:rsidRDefault="00CC0084">
      <w:pPr>
        <w:numPr>
          <w:ilvl w:val="0"/>
          <w:numId w:val="1"/>
        </w:numPr>
        <w:rPr>
          <w:sz w:val="22"/>
          <w:szCs w:val="22"/>
        </w:rPr>
      </w:pPr>
      <w:r>
        <w:rPr>
          <w:sz w:val="22"/>
          <w:szCs w:val="22"/>
        </w:rPr>
        <w:t>Rayon d’approvisionnement</w:t>
      </w:r>
      <w:r w:rsidR="009B3240">
        <w:rPr>
          <w:sz w:val="22"/>
          <w:szCs w:val="22"/>
        </w:rPr>
        <w:t>,</w:t>
      </w:r>
    </w:p>
    <w:p w14:paraId="0000010B" w14:textId="77777777" w:rsidR="00EF5278" w:rsidRDefault="00CC0084">
      <w:pPr>
        <w:numPr>
          <w:ilvl w:val="0"/>
          <w:numId w:val="1"/>
        </w:numPr>
        <w:rPr>
          <w:sz w:val="22"/>
          <w:szCs w:val="22"/>
        </w:rPr>
      </w:pPr>
      <w:r>
        <w:rPr>
          <w:sz w:val="22"/>
          <w:szCs w:val="22"/>
        </w:rPr>
        <w:t xml:space="preserve">Modalités de collecte et de transport des biodéchets </w:t>
      </w:r>
    </w:p>
    <w:p w14:paraId="0000010C" w14:textId="77777777" w:rsidR="00EF5278" w:rsidRDefault="00EF5278">
      <w:pPr>
        <w:rPr>
          <w:sz w:val="22"/>
          <w:szCs w:val="22"/>
        </w:rPr>
      </w:pPr>
    </w:p>
    <w:p w14:paraId="0000010D" w14:textId="77777777" w:rsidR="00EF5278" w:rsidRDefault="00CC0084">
      <w:pPr>
        <w:numPr>
          <w:ilvl w:val="0"/>
          <w:numId w:val="2"/>
        </w:numPr>
        <w:rPr>
          <w:b/>
          <w:sz w:val="22"/>
          <w:szCs w:val="22"/>
        </w:rPr>
      </w:pPr>
      <w:r>
        <w:rPr>
          <w:b/>
          <w:sz w:val="22"/>
          <w:szCs w:val="22"/>
        </w:rPr>
        <w:t>L’implantation géographique de l’outil de déconditionnement </w:t>
      </w:r>
      <w:r>
        <w:rPr>
          <w:sz w:val="22"/>
          <w:szCs w:val="22"/>
        </w:rPr>
        <w:t>:</w:t>
      </w:r>
    </w:p>
    <w:p w14:paraId="0000010E" w14:textId="77777777" w:rsidR="00EF5278" w:rsidRDefault="00CC0084">
      <w:pPr>
        <w:numPr>
          <w:ilvl w:val="0"/>
          <w:numId w:val="1"/>
        </w:numPr>
        <w:rPr>
          <w:sz w:val="22"/>
          <w:szCs w:val="22"/>
        </w:rPr>
      </w:pPr>
      <w:r>
        <w:rPr>
          <w:sz w:val="22"/>
          <w:szCs w:val="22"/>
        </w:rPr>
        <w:t>Site retenu,</w:t>
      </w:r>
    </w:p>
    <w:p w14:paraId="0000010F" w14:textId="77777777" w:rsidR="00EF5278" w:rsidRDefault="00CC0084">
      <w:pPr>
        <w:numPr>
          <w:ilvl w:val="0"/>
          <w:numId w:val="1"/>
        </w:numPr>
        <w:rPr>
          <w:sz w:val="22"/>
          <w:szCs w:val="22"/>
        </w:rPr>
      </w:pPr>
      <w:r>
        <w:rPr>
          <w:sz w:val="22"/>
          <w:szCs w:val="22"/>
        </w:rPr>
        <w:t>Autres activités à proximité du site,</w:t>
      </w:r>
    </w:p>
    <w:p w14:paraId="00000110" w14:textId="77777777" w:rsidR="00EF5278" w:rsidRDefault="00CC0084">
      <w:pPr>
        <w:numPr>
          <w:ilvl w:val="0"/>
          <w:numId w:val="1"/>
        </w:numPr>
        <w:rPr>
          <w:sz w:val="22"/>
          <w:szCs w:val="22"/>
        </w:rPr>
      </w:pPr>
      <w:r>
        <w:rPr>
          <w:sz w:val="22"/>
          <w:szCs w:val="22"/>
        </w:rPr>
        <w:t>Facilités de transport (axes routiers) pour l’apport et l’évacuation de matière</w:t>
      </w:r>
    </w:p>
    <w:p w14:paraId="00000111" w14:textId="77777777" w:rsidR="00EF5278" w:rsidRDefault="00CC0084">
      <w:pPr>
        <w:numPr>
          <w:ilvl w:val="0"/>
          <w:numId w:val="1"/>
        </w:numPr>
        <w:rPr>
          <w:sz w:val="22"/>
          <w:szCs w:val="22"/>
        </w:rPr>
      </w:pPr>
      <w:r>
        <w:rPr>
          <w:sz w:val="22"/>
          <w:szCs w:val="22"/>
        </w:rPr>
        <w:t>Contraintes environnementales à proximité (cours d’eau, point de captage, zone humide, zone protégée, ...)</w:t>
      </w:r>
    </w:p>
    <w:p w14:paraId="00000112" w14:textId="77777777" w:rsidR="00EF5278" w:rsidRDefault="00CC0084">
      <w:pPr>
        <w:numPr>
          <w:ilvl w:val="0"/>
          <w:numId w:val="2"/>
        </w:numPr>
        <w:rPr>
          <w:b/>
          <w:sz w:val="22"/>
          <w:szCs w:val="22"/>
        </w:rPr>
      </w:pPr>
      <w:r>
        <w:rPr>
          <w:b/>
          <w:sz w:val="22"/>
          <w:szCs w:val="22"/>
        </w:rPr>
        <w:t>Les modalités de fonctionnement de l’unité de déconditionnement</w:t>
      </w:r>
    </w:p>
    <w:p w14:paraId="00000113" w14:textId="77777777" w:rsidR="00EF5278" w:rsidRDefault="00CC0084">
      <w:pPr>
        <w:numPr>
          <w:ilvl w:val="0"/>
          <w:numId w:val="1"/>
        </w:numPr>
        <w:rPr>
          <w:sz w:val="22"/>
          <w:szCs w:val="22"/>
        </w:rPr>
      </w:pPr>
      <w:r>
        <w:rPr>
          <w:sz w:val="22"/>
          <w:szCs w:val="22"/>
        </w:rPr>
        <w:t>Equipement de déconditionnement retenu, avec fourniture de devis et appréciation qualitative de l’offre</w:t>
      </w:r>
      <w:r>
        <w:rPr>
          <w:sz w:val="22"/>
          <w:szCs w:val="22"/>
          <w:vertAlign w:val="superscript"/>
        </w:rPr>
        <w:footnoteReference w:id="3"/>
      </w:r>
      <w:r>
        <w:rPr>
          <w:sz w:val="22"/>
          <w:szCs w:val="22"/>
        </w:rPr>
        <w:t>.,</w:t>
      </w:r>
    </w:p>
    <w:p w14:paraId="00000114" w14:textId="77777777" w:rsidR="00EF5278" w:rsidRDefault="00CC0084">
      <w:pPr>
        <w:numPr>
          <w:ilvl w:val="0"/>
          <w:numId w:val="1"/>
        </w:numPr>
        <w:rPr>
          <w:sz w:val="22"/>
          <w:szCs w:val="22"/>
        </w:rPr>
      </w:pPr>
      <w:r>
        <w:rPr>
          <w:sz w:val="22"/>
          <w:szCs w:val="22"/>
        </w:rPr>
        <w:t>Dimensionnement de l’outil de déconditionnement,</w:t>
      </w:r>
    </w:p>
    <w:p w14:paraId="00000115" w14:textId="77777777" w:rsidR="00EF5278" w:rsidRDefault="00CC0084">
      <w:pPr>
        <w:numPr>
          <w:ilvl w:val="0"/>
          <w:numId w:val="1"/>
        </w:numPr>
        <w:rPr>
          <w:sz w:val="22"/>
          <w:szCs w:val="22"/>
        </w:rPr>
      </w:pPr>
      <w:r>
        <w:rPr>
          <w:sz w:val="22"/>
          <w:szCs w:val="22"/>
        </w:rPr>
        <w:t xml:space="preserve">Bilans matières des intrants et des sortants, </w:t>
      </w:r>
    </w:p>
    <w:p w14:paraId="00000116" w14:textId="77777777" w:rsidR="00EF5278" w:rsidRDefault="00CC0084">
      <w:pPr>
        <w:numPr>
          <w:ilvl w:val="0"/>
          <w:numId w:val="1"/>
        </w:numPr>
        <w:rPr>
          <w:sz w:val="22"/>
          <w:szCs w:val="22"/>
        </w:rPr>
      </w:pPr>
      <w:r>
        <w:rPr>
          <w:sz w:val="22"/>
          <w:szCs w:val="22"/>
        </w:rPr>
        <w:t>Exutoires pour la soupe, dont méthaniseurs agricoles, et disponibilités d’épandage associées,</w:t>
      </w:r>
    </w:p>
    <w:p w14:paraId="00000117" w14:textId="77777777" w:rsidR="00EF5278" w:rsidRDefault="00CC0084">
      <w:pPr>
        <w:numPr>
          <w:ilvl w:val="0"/>
          <w:numId w:val="1"/>
        </w:numPr>
        <w:rPr>
          <w:sz w:val="22"/>
          <w:szCs w:val="22"/>
        </w:rPr>
      </w:pPr>
      <w:r>
        <w:rPr>
          <w:sz w:val="22"/>
          <w:szCs w:val="22"/>
        </w:rPr>
        <w:t>Exutoires pour les refus,</w:t>
      </w:r>
    </w:p>
    <w:p w14:paraId="00000118" w14:textId="77777777" w:rsidR="00EF5278" w:rsidRDefault="00CC0084">
      <w:pPr>
        <w:numPr>
          <w:ilvl w:val="0"/>
          <w:numId w:val="1"/>
        </w:numPr>
        <w:rPr>
          <w:sz w:val="22"/>
          <w:szCs w:val="22"/>
        </w:rPr>
      </w:pPr>
      <w:r>
        <w:rPr>
          <w:sz w:val="22"/>
          <w:szCs w:val="22"/>
        </w:rPr>
        <w:t>Société responsable de l’exploitation de l’outil.</w:t>
      </w:r>
    </w:p>
    <w:p w14:paraId="00000119" w14:textId="77777777" w:rsidR="00EF5278" w:rsidRDefault="00CC0084">
      <w:pPr>
        <w:numPr>
          <w:ilvl w:val="0"/>
          <w:numId w:val="2"/>
        </w:numPr>
        <w:rPr>
          <w:b/>
          <w:sz w:val="22"/>
          <w:szCs w:val="22"/>
        </w:rPr>
      </w:pPr>
      <w:r>
        <w:rPr>
          <w:b/>
          <w:sz w:val="22"/>
          <w:szCs w:val="22"/>
        </w:rPr>
        <w:t>La gouvernance et le portage juridique du projet</w:t>
      </w:r>
    </w:p>
    <w:p w14:paraId="0000011A" w14:textId="77777777" w:rsidR="00EF5278" w:rsidRDefault="00CC0084">
      <w:pPr>
        <w:numPr>
          <w:ilvl w:val="0"/>
          <w:numId w:val="2"/>
        </w:numPr>
        <w:rPr>
          <w:b/>
          <w:sz w:val="22"/>
          <w:szCs w:val="22"/>
        </w:rPr>
      </w:pPr>
      <w:r>
        <w:rPr>
          <w:b/>
          <w:sz w:val="22"/>
          <w:szCs w:val="22"/>
        </w:rPr>
        <w:t>La communication</w:t>
      </w:r>
    </w:p>
    <w:p w14:paraId="0000011B" w14:textId="77777777" w:rsidR="00EF5278" w:rsidRDefault="00CC0084">
      <w:pPr>
        <w:numPr>
          <w:ilvl w:val="0"/>
          <w:numId w:val="1"/>
        </w:numPr>
        <w:rPr>
          <w:sz w:val="22"/>
          <w:szCs w:val="22"/>
        </w:rPr>
      </w:pPr>
      <w:r>
        <w:rPr>
          <w:sz w:val="22"/>
          <w:szCs w:val="22"/>
        </w:rPr>
        <w:t>Description des moyens de communication envisagés pour les riverains et les élus.</w:t>
      </w:r>
    </w:p>
    <w:p w14:paraId="5346A1FF" w14:textId="77777777" w:rsidR="009B3240" w:rsidRDefault="009B3240" w:rsidP="009B3240">
      <w:pPr>
        <w:ind w:left="1776"/>
        <w:rPr>
          <w:sz w:val="22"/>
          <w:szCs w:val="22"/>
        </w:rPr>
      </w:pPr>
    </w:p>
    <w:p w14:paraId="0000011C" w14:textId="77777777" w:rsidR="00EF5278" w:rsidRDefault="00CC0084">
      <w:pPr>
        <w:numPr>
          <w:ilvl w:val="0"/>
          <w:numId w:val="2"/>
        </w:numPr>
        <w:rPr>
          <w:b/>
          <w:sz w:val="22"/>
          <w:szCs w:val="22"/>
        </w:rPr>
      </w:pPr>
      <w:r>
        <w:rPr>
          <w:b/>
          <w:sz w:val="22"/>
          <w:szCs w:val="22"/>
        </w:rPr>
        <w:t>L’économie du projet (volet financier joint)</w:t>
      </w:r>
    </w:p>
    <w:p w14:paraId="0000011D" w14:textId="5626BE56" w:rsidR="00EF5278" w:rsidRDefault="00CC0084">
      <w:pPr>
        <w:numPr>
          <w:ilvl w:val="0"/>
          <w:numId w:val="1"/>
        </w:numPr>
        <w:rPr>
          <w:sz w:val="22"/>
          <w:szCs w:val="22"/>
        </w:rPr>
      </w:pPr>
      <w:r>
        <w:rPr>
          <w:sz w:val="22"/>
          <w:szCs w:val="22"/>
        </w:rPr>
        <w:t>Business plan sur 5 ans,</w:t>
      </w:r>
      <w:r w:rsidR="009B3240">
        <w:rPr>
          <w:sz w:val="22"/>
          <w:szCs w:val="22"/>
        </w:rPr>
        <w:t xml:space="preserve"> avec notamment le compte prévisionnel d’exploitation,</w:t>
      </w:r>
    </w:p>
    <w:p w14:paraId="49284BC5" w14:textId="6F5E6327" w:rsidR="009B3240" w:rsidRDefault="009B3240">
      <w:pPr>
        <w:numPr>
          <w:ilvl w:val="0"/>
          <w:numId w:val="1"/>
        </w:numPr>
        <w:rPr>
          <w:sz w:val="22"/>
          <w:szCs w:val="22"/>
        </w:rPr>
      </w:pPr>
      <w:r>
        <w:rPr>
          <w:sz w:val="22"/>
          <w:szCs w:val="22"/>
        </w:rPr>
        <w:t>Durée d’amortissement des process et du bâtiment,</w:t>
      </w:r>
    </w:p>
    <w:p w14:paraId="0000011E" w14:textId="77777777" w:rsidR="00EF5278" w:rsidRDefault="00CC0084">
      <w:pPr>
        <w:numPr>
          <w:ilvl w:val="0"/>
          <w:numId w:val="1"/>
        </w:numPr>
        <w:rPr>
          <w:sz w:val="22"/>
          <w:szCs w:val="22"/>
        </w:rPr>
      </w:pPr>
      <w:r>
        <w:rPr>
          <w:sz w:val="22"/>
          <w:szCs w:val="22"/>
        </w:rPr>
        <w:t>Coûts d’investissement par poste de dépenses,</w:t>
      </w:r>
    </w:p>
    <w:p w14:paraId="0000011F" w14:textId="77777777" w:rsidR="00EF5278" w:rsidRDefault="00CC0084">
      <w:pPr>
        <w:numPr>
          <w:ilvl w:val="0"/>
          <w:numId w:val="1"/>
        </w:numPr>
        <w:rPr>
          <w:sz w:val="22"/>
          <w:szCs w:val="22"/>
        </w:rPr>
      </w:pPr>
      <w:r>
        <w:rPr>
          <w:sz w:val="22"/>
          <w:szCs w:val="22"/>
        </w:rPr>
        <w:t>Coûts de fonctionnement,</w:t>
      </w:r>
    </w:p>
    <w:p w14:paraId="00000120" w14:textId="77777777" w:rsidR="00EF5278" w:rsidRDefault="00CC0084">
      <w:pPr>
        <w:numPr>
          <w:ilvl w:val="0"/>
          <w:numId w:val="1"/>
        </w:numPr>
        <w:rPr>
          <w:sz w:val="22"/>
          <w:szCs w:val="22"/>
        </w:rPr>
      </w:pPr>
      <w:r>
        <w:rPr>
          <w:sz w:val="22"/>
          <w:szCs w:val="22"/>
        </w:rPr>
        <w:t>Nombre d’emplois créés.</w:t>
      </w:r>
    </w:p>
    <w:p w14:paraId="00000121" w14:textId="77777777" w:rsidR="00EF5278" w:rsidRDefault="00CC0084">
      <w:pPr>
        <w:numPr>
          <w:ilvl w:val="0"/>
          <w:numId w:val="7"/>
        </w:numPr>
        <w:pBdr>
          <w:top w:val="nil"/>
          <w:left w:val="nil"/>
          <w:bottom w:val="nil"/>
          <w:right w:val="nil"/>
          <w:between w:val="nil"/>
        </w:pBdr>
        <w:rPr>
          <w:color w:val="000000"/>
        </w:rPr>
      </w:pPr>
      <w:r>
        <w:rPr>
          <w:color w:val="000000"/>
          <w:sz w:val="22"/>
          <w:szCs w:val="22"/>
        </w:rPr>
        <w:t>L’installation s’inscrit dans une démarche ouverte sur l’amont et l’aval du projet de déconditionneur / hygiénisateur. Ce projet peut permettre d’impliquer au minimum :</w:t>
      </w:r>
    </w:p>
    <w:p w14:paraId="00000122" w14:textId="77777777" w:rsidR="00EF5278" w:rsidRDefault="00CC0084">
      <w:pPr>
        <w:numPr>
          <w:ilvl w:val="1"/>
          <w:numId w:val="21"/>
        </w:numPr>
        <w:pBdr>
          <w:top w:val="nil"/>
          <w:left w:val="nil"/>
          <w:bottom w:val="nil"/>
          <w:right w:val="nil"/>
          <w:between w:val="nil"/>
        </w:pBdr>
        <w:rPr>
          <w:color w:val="000000"/>
        </w:rPr>
      </w:pPr>
      <w:r>
        <w:rPr>
          <w:color w:val="000000"/>
          <w:sz w:val="22"/>
          <w:szCs w:val="22"/>
        </w:rPr>
        <w:t xml:space="preserve">Pour l’amont (gisements entrants) : </w:t>
      </w:r>
    </w:p>
    <w:p w14:paraId="00000123" w14:textId="77777777" w:rsidR="00EF5278" w:rsidRDefault="00CC0084">
      <w:pPr>
        <w:numPr>
          <w:ilvl w:val="2"/>
          <w:numId w:val="21"/>
        </w:numPr>
        <w:pBdr>
          <w:top w:val="nil"/>
          <w:left w:val="nil"/>
          <w:bottom w:val="nil"/>
          <w:right w:val="nil"/>
          <w:between w:val="nil"/>
        </w:pBdr>
        <w:rPr>
          <w:color w:val="000000"/>
        </w:rPr>
      </w:pPr>
      <w:r>
        <w:rPr>
          <w:color w:val="000000"/>
          <w:sz w:val="22"/>
          <w:szCs w:val="22"/>
        </w:rPr>
        <w:t>Des acteurs publics du territoire : collectivité ou syndicat de traitement de déchets,</w:t>
      </w:r>
    </w:p>
    <w:p w14:paraId="00000124" w14:textId="77777777" w:rsidR="00EF5278" w:rsidRDefault="00CC0084">
      <w:pPr>
        <w:numPr>
          <w:ilvl w:val="2"/>
          <w:numId w:val="21"/>
        </w:numPr>
        <w:pBdr>
          <w:top w:val="nil"/>
          <w:left w:val="nil"/>
          <w:bottom w:val="nil"/>
          <w:right w:val="nil"/>
          <w:between w:val="nil"/>
        </w:pBdr>
        <w:rPr>
          <w:color w:val="000000"/>
        </w:rPr>
      </w:pPr>
      <w:r>
        <w:rPr>
          <w:color w:val="000000"/>
          <w:sz w:val="22"/>
          <w:szCs w:val="22"/>
        </w:rPr>
        <w:t>Un ou des opérateur(s) de collecte et/ou de traitement de déchets,</w:t>
      </w:r>
    </w:p>
    <w:p w14:paraId="51C9CCBB" w14:textId="77777777" w:rsidR="007B05B2" w:rsidRPr="008D5CC6" w:rsidRDefault="00CC0084">
      <w:pPr>
        <w:numPr>
          <w:ilvl w:val="1"/>
          <w:numId w:val="21"/>
        </w:numPr>
        <w:pBdr>
          <w:top w:val="nil"/>
          <w:left w:val="nil"/>
          <w:bottom w:val="nil"/>
          <w:right w:val="nil"/>
          <w:between w:val="nil"/>
        </w:pBdr>
        <w:rPr>
          <w:color w:val="000000"/>
        </w:rPr>
      </w:pPr>
      <w:r>
        <w:rPr>
          <w:color w:val="000000"/>
          <w:sz w:val="22"/>
          <w:szCs w:val="22"/>
        </w:rPr>
        <w:t xml:space="preserve">Pour l’aval </w:t>
      </w:r>
    </w:p>
    <w:p w14:paraId="00000125" w14:textId="57B640C7" w:rsidR="00EF5278" w:rsidRPr="008D5CC6" w:rsidRDefault="007B05B2" w:rsidP="007B05B2">
      <w:pPr>
        <w:numPr>
          <w:ilvl w:val="2"/>
          <w:numId w:val="21"/>
        </w:numPr>
        <w:pBdr>
          <w:top w:val="nil"/>
          <w:left w:val="nil"/>
          <w:bottom w:val="nil"/>
          <w:right w:val="nil"/>
          <w:between w:val="nil"/>
        </w:pBdr>
        <w:rPr>
          <w:color w:val="000000"/>
        </w:rPr>
      </w:pPr>
      <w:r>
        <w:rPr>
          <w:color w:val="000000"/>
          <w:sz w:val="22"/>
          <w:szCs w:val="22"/>
        </w:rPr>
        <w:t>T</w:t>
      </w:r>
      <w:r w:rsidR="00CC0084">
        <w:rPr>
          <w:color w:val="000000"/>
          <w:sz w:val="22"/>
          <w:szCs w:val="22"/>
        </w:rPr>
        <w:t>raitement de la soupe : Au moins deux exploitants d’unités de méthanisation (n’appartenant pas à la même société mère) sont partenaires/impliqués dans le projet, dont une issue du monde agricole.</w:t>
      </w:r>
    </w:p>
    <w:p w14:paraId="45BF7F68" w14:textId="4BEB7273" w:rsidR="007B05B2" w:rsidRPr="008D5CC6" w:rsidRDefault="007B05B2" w:rsidP="008D5CC6">
      <w:pPr>
        <w:numPr>
          <w:ilvl w:val="2"/>
          <w:numId w:val="21"/>
        </w:numPr>
        <w:pBdr>
          <w:top w:val="nil"/>
          <w:left w:val="nil"/>
          <w:bottom w:val="nil"/>
          <w:right w:val="nil"/>
          <w:between w:val="nil"/>
        </w:pBdr>
        <w:rPr>
          <w:color w:val="000000"/>
        </w:rPr>
      </w:pPr>
      <w:r>
        <w:rPr>
          <w:color w:val="000000"/>
          <w:sz w:val="22"/>
          <w:szCs w:val="22"/>
        </w:rPr>
        <w:t xml:space="preserve">Traitement des autres matières sortantes : Le porteur de projet indiquera comment sont gérés les autres matériaux produits sortants (métaux ferreux, non ferreux, plastiques, autres, refus ultimes) en précisant leur destination. Un regard </w:t>
      </w:r>
      <w:r w:rsidRPr="008D5CC6">
        <w:rPr>
          <w:color w:val="000000"/>
          <w:sz w:val="22"/>
          <w:szCs w:val="22"/>
        </w:rPr>
        <w:t>particulier sera porté pour les projets privilégiant le recyclage à l’élimination par valorisation énergétique ou enfouissement.</w:t>
      </w:r>
    </w:p>
    <w:p w14:paraId="00000126" w14:textId="118976CD" w:rsidR="00EF5278" w:rsidRPr="008D5CC6" w:rsidRDefault="00CC0084">
      <w:pPr>
        <w:numPr>
          <w:ilvl w:val="0"/>
          <w:numId w:val="7"/>
        </w:numPr>
        <w:pBdr>
          <w:top w:val="nil"/>
          <w:left w:val="nil"/>
          <w:bottom w:val="nil"/>
          <w:right w:val="nil"/>
          <w:between w:val="nil"/>
        </w:pBdr>
        <w:rPr>
          <w:color w:val="000000"/>
        </w:rPr>
      </w:pPr>
      <w:r w:rsidRPr="008D5CC6">
        <w:rPr>
          <w:color w:val="000000"/>
          <w:sz w:val="22"/>
          <w:szCs w:val="22"/>
        </w:rPr>
        <w:t>Les démarches réglementaires liées au projet sont déjà avancées et les documents suivants ont été ou sont sur le point d’être déposés auprès des services instructeurs concernés :</w:t>
      </w:r>
    </w:p>
    <w:p w14:paraId="00000127" w14:textId="77777777" w:rsidR="00EF5278" w:rsidRPr="008D5CC6" w:rsidRDefault="00CC0084">
      <w:pPr>
        <w:numPr>
          <w:ilvl w:val="1"/>
          <w:numId w:val="21"/>
        </w:numPr>
        <w:pBdr>
          <w:top w:val="nil"/>
          <w:left w:val="nil"/>
          <w:bottom w:val="nil"/>
          <w:right w:val="nil"/>
          <w:between w:val="nil"/>
        </w:pBdr>
        <w:rPr>
          <w:color w:val="000000"/>
          <w:sz w:val="22"/>
          <w:szCs w:val="22"/>
        </w:rPr>
      </w:pPr>
      <w:r w:rsidRPr="008D5CC6">
        <w:rPr>
          <w:color w:val="000000"/>
          <w:sz w:val="22"/>
          <w:szCs w:val="22"/>
        </w:rPr>
        <w:t>Permis de construire,</w:t>
      </w:r>
    </w:p>
    <w:p w14:paraId="00000128" w14:textId="77777777" w:rsidR="00EF5278" w:rsidRPr="008D5CC6" w:rsidRDefault="00CC0084">
      <w:pPr>
        <w:numPr>
          <w:ilvl w:val="1"/>
          <w:numId w:val="21"/>
        </w:numPr>
        <w:pBdr>
          <w:top w:val="nil"/>
          <w:left w:val="nil"/>
          <w:bottom w:val="nil"/>
          <w:right w:val="nil"/>
          <w:between w:val="nil"/>
        </w:pBdr>
        <w:rPr>
          <w:color w:val="000000"/>
          <w:sz w:val="22"/>
          <w:szCs w:val="22"/>
        </w:rPr>
      </w:pPr>
      <w:r w:rsidRPr="008D5CC6">
        <w:rPr>
          <w:color w:val="000000"/>
          <w:sz w:val="22"/>
          <w:szCs w:val="22"/>
        </w:rPr>
        <w:t>Dossier ICPE en rubrique 2783,</w:t>
      </w:r>
    </w:p>
    <w:p w14:paraId="00000129" w14:textId="77777777" w:rsidR="00EF5278" w:rsidRPr="008D5CC6" w:rsidRDefault="00CC0084">
      <w:pPr>
        <w:numPr>
          <w:ilvl w:val="1"/>
          <w:numId w:val="21"/>
        </w:numPr>
        <w:pBdr>
          <w:top w:val="nil"/>
          <w:left w:val="nil"/>
          <w:bottom w:val="nil"/>
          <w:right w:val="nil"/>
          <w:between w:val="nil"/>
        </w:pBdr>
        <w:rPr>
          <w:color w:val="000000"/>
          <w:sz w:val="22"/>
          <w:szCs w:val="22"/>
        </w:rPr>
      </w:pPr>
      <w:r w:rsidRPr="008D5CC6">
        <w:rPr>
          <w:color w:val="000000"/>
          <w:sz w:val="22"/>
          <w:szCs w:val="22"/>
        </w:rPr>
        <w:t>Demande d’agrément sanitaire pour traiter des sous-produits animaux de catégorie 3.</w:t>
      </w:r>
    </w:p>
    <w:p w14:paraId="0000012A" w14:textId="77777777" w:rsidR="00EF5278" w:rsidRDefault="00CC0084">
      <w:pPr>
        <w:numPr>
          <w:ilvl w:val="0"/>
          <w:numId w:val="7"/>
        </w:numPr>
        <w:pBdr>
          <w:top w:val="nil"/>
          <w:left w:val="nil"/>
          <w:bottom w:val="nil"/>
          <w:right w:val="nil"/>
          <w:between w:val="nil"/>
        </w:pBdr>
        <w:rPr>
          <w:color w:val="000000"/>
          <w:sz w:val="22"/>
          <w:szCs w:val="22"/>
        </w:rPr>
      </w:pPr>
      <w:r>
        <w:rPr>
          <w:color w:val="000000"/>
          <w:sz w:val="22"/>
          <w:szCs w:val="22"/>
        </w:rPr>
        <w:t>L’installation est prévue pour accueillir une diversité d’origine de flux de déchets cités au paragraphe I.B.4,</w:t>
      </w:r>
    </w:p>
    <w:p w14:paraId="0000012B" w14:textId="77777777" w:rsidR="00EF5278" w:rsidRDefault="00CC0084">
      <w:pPr>
        <w:numPr>
          <w:ilvl w:val="0"/>
          <w:numId w:val="7"/>
        </w:numPr>
        <w:pBdr>
          <w:top w:val="nil"/>
          <w:left w:val="nil"/>
          <w:bottom w:val="nil"/>
          <w:right w:val="nil"/>
          <w:between w:val="nil"/>
        </w:pBdr>
        <w:rPr>
          <w:color w:val="000000"/>
          <w:sz w:val="22"/>
          <w:szCs w:val="22"/>
        </w:rPr>
      </w:pPr>
      <w:r>
        <w:rPr>
          <w:color w:val="000000"/>
          <w:sz w:val="22"/>
          <w:szCs w:val="22"/>
        </w:rPr>
        <w:t>L’installation prévoit un stockage couvert de ses intrants et de ses sortants,</w:t>
      </w:r>
    </w:p>
    <w:p w14:paraId="0000012C" w14:textId="77777777" w:rsidR="00EF5278" w:rsidRDefault="00CC0084">
      <w:pPr>
        <w:numPr>
          <w:ilvl w:val="0"/>
          <w:numId w:val="7"/>
        </w:numPr>
        <w:pBdr>
          <w:top w:val="nil"/>
          <w:left w:val="nil"/>
          <w:bottom w:val="nil"/>
          <w:right w:val="nil"/>
          <w:between w:val="nil"/>
        </w:pBdr>
        <w:rPr>
          <w:color w:val="000000"/>
          <w:sz w:val="22"/>
          <w:szCs w:val="22"/>
        </w:rPr>
      </w:pPr>
      <w:r>
        <w:rPr>
          <w:color w:val="000000"/>
          <w:sz w:val="22"/>
          <w:szCs w:val="22"/>
        </w:rPr>
        <w:t>L’installation est prévue pour accueillir prioritairement et majoritairement des déchets produits sur le territoire breton,</w:t>
      </w:r>
    </w:p>
    <w:p w14:paraId="0000012D" w14:textId="77777777" w:rsidR="00EF5278" w:rsidRDefault="00CC0084">
      <w:pPr>
        <w:numPr>
          <w:ilvl w:val="0"/>
          <w:numId w:val="7"/>
        </w:numPr>
        <w:pBdr>
          <w:top w:val="nil"/>
          <w:left w:val="nil"/>
          <w:bottom w:val="nil"/>
          <w:right w:val="nil"/>
          <w:between w:val="nil"/>
        </w:pBdr>
        <w:rPr>
          <w:b/>
          <w:color w:val="000000"/>
          <w:sz w:val="22"/>
          <w:szCs w:val="22"/>
        </w:rPr>
      </w:pPr>
      <w:r>
        <w:rPr>
          <w:color w:val="000000"/>
          <w:sz w:val="22"/>
          <w:szCs w:val="22"/>
        </w:rPr>
        <w:t>Le projet est conforme avec le Plan Régional de Prévention et de Gestion des Déchets de Bretagne.</w:t>
      </w:r>
    </w:p>
    <w:p w14:paraId="0000012E" w14:textId="77777777" w:rsidR="00EF5278" w:rsidRDefault="00EF5278">
      <w:pPr>
        <w:jc w:val="left"/>
        <w:rPr>
          <w:b/>
          <w:sz w:val="22"/>
          <w:szCs w:val="22"/>
        </w:rPr>
      </w:pPr>
    </w:p>
    <w:p w14:paraId="0000012F" w14:textId="77777777" w:rsidR="00EF5278" w:rsidRDefault="00CC0084">
      <w:pPr>
        <w:pStyle w:val="Titre4"/>
        <w:numPr>
          <w:ilvl w:val="3"/>
          <w:numId w:val="16"/>
        </w:numPr>
      </w:pPr>
      <w:r>
        <w:t>Critères d’appréciation</w:t>
      </w:r>
    </w:p>
    <w:p w14:paraId="00000130" w14:textId="77777777" w:rsidR="00EF5278" w:rsidRDefault="00EF5278">
      <w:pPr>
        <w:rPr>
          <w:b/>
          <w:sz w:val="22"/>
          <w:szCs w:val="22"/>
        </w:rPr>
      </w:pPr>
    </w:p>
    <w:p w14:paraId="00000131" w14:textId="77777777" w:rsidR="00EF5278" w:rsidRDefault="00CC0084">
      <w:pPr>
        <w:rPr>
          <w:b/>
          <w:sz w:val="22"/>
          <w:szCs w:val="22"/>
        </w:rPr>
      </w:pPr>
      <w:r>
        <w:rPr>
          <w:b/>
          <w:sz w:val="22"/>
          <w:szCs w:val="22"/>
        </w:rPr>
        <w:t>Afin de sélectionner les différents projets, les membres du jury constitué du Conseil régional de Bretagne, de l’association AILE et de l’ADEME Bretagne s’appuieront sur les éléments suivants :</w:t>
      </w:r>
    </w:p>
    <w:p w14:paraId="00000132" w14:textId="77777777" w:rsidR="00EF5278" w:rsidRDefault="00CC0084">
      <w:pPr>
        <w:numPr>
          <w:ilvl w:val="0"/>
          <w:numId w:val="21"/>
        </w:numPr>
        <w:pBdr>
          <w:top w:val="nil"/>
          <w:left w:val="nil"/>
          <w:bottom w:val="nil"/>
          <w:right w:val="nil"/>
          <w:between w:val="nil"/>
        </w:pBdr>
        <w:rPr>
          <w:color w:val="000000"/>
          <w:sz w:val="22"/>
          <w:szCs w:val="22"/>
        </w:rPr>
      </w:pPr>
      <w:r>
        <w:rPr>
          <w:color w:val="000000"/>
          <w:sz w:val="22"/>
          <w:szCs w:val="22"/>
        </w:rPr>
        <w:t>Nombre de méthaniseurs agricoles et non agricoles impliqués dans le projet</w:t>
      </w:r>
    </w:p>
    <w:p w14:paraId="00000133" w14:textId="77777777" w:rsidR="00EF5278" w:rsidRDefault="00CC0084">
      <w:pPr>
        <w:numPr>
          <w:ilvl w:val="0"/>
          <w:numId w:val="21"/>
        </w:numPr>
        <w:pBdr>
          <w:top w:val="nil"/>
          <w:left w:val="nil"/>
          <w:bottom w:val="nil"/>
          <w:right w:val="nil"/>
          <w:between w:val="nil"/>
        </w:pBdr>
        <w:rPr>
          <w:color w:val="000000"/>
          <w:sz w:val="22"/>
          <w:szCs w:val="22"/>
        </w:rPr>
      </w:pPr>
      <w:r>
        <w:rPr>
          <w:color w:val="000000"/>
          <w:sz w:val="22"/>
          <w:szCs w:val="22"/>
        </w:rPr>
        <w:t>Les méthodes et moyens de communication engagés par le porteur autour de la future installation de déconditionnement/hygiénisation, auprès des riverains proches d’une part, et auprès des élus concernés d’autre part.</w:t>
      </w:r>
    </w:p>
    <w:p w14:paraId="00000134" w14:textId="77777777" w:rsidR="00EF5278" w:rsidRDefault="00CC0084">
      <w:pPr>
        <w:numPr>
          <w:ilvl w:val="0"/>
          <w:numId w:val="18"/>
        </w:numPr>
        <w:pBdr>
          <w:top w:val="nil"/>
          <w:left w:val="nil"/>
          <w:bottom w:val="nil"/>
          <w:right w:val="nil"/>
          <w:between w:val="nil"/>
        </w:pBdr>
        <w:rPr>
          <w:color w:val="000000"/>
          <w:sz w:val="22"/>
          <w:szCs w:val="22"/>
        </w:rPr>
      </w:pPr>
      <w:r>
        <w:rPr>
          <w:color w:val="000000"/>
          <w:sz w:val="22"/>
          <w:szCs w:val="22"/>
        </w:rPr>
        <w:t>L’inscription de l’installation de déconditionnement/hygiénisation de biodéchets conditionnés dans un programme plus vaste de prévention et de gestion de la matière organique sur le territoire concerné. Par exemple :</w:t>
      </w:r>
    </w:p>
    <w:p w14:paraId="00000135" w14:textId="77777777" w:rsidR="00EF5278" w:rsidRDefault="00CC0084">
      <w:pPr>
        <w:numPr>
          <w:ilvl w:val="1"/>
          <w:numId w:val="18"/>
        </w:numPr>
        <w:pBdr>
          <w:top w:val="nil"/>
          <w:left w:val="nil"/>
          <w:bottom w:val="nil"/>
          <w:right w:val="nil"/>
          <w:between w:val="nil"/>
        </w:pBdr>
        <w:rPr>
          <w:color w:val="000000"/>
          <w:sz w:val="22"/>
          <w:szCs w:val="22"/>
        </w:rPr>
      </w:pPr>
      <w:r>
        <w:rPr>
          <w:color w:val="000000"/>
          <w:sz w:val="22"/>
          <w:szCs w:val="22"/>
        </w:rPr>
        <w:t>Les collectivités ont mis en place ou prévoit de mettre en place une collecte séparée des biodéchets des ménages et/ou des gros producteurs.</w:t>
      </w:r>
    </w:p>
    <w:p w14:paraId="00000136" w14:textId="77777777" w:rsidR="00EF5278" w:rsidRDefault="00CC0084">
      <w:pPr>
        <w:numPr>
          <w:ilvl w:val="1"/>
          <w:numId w:val="18"/>
        </w:numPr>
        <w:pBdr>
          <w:top w:val="nil"/>
          <w:left w:val="nil"/>
          <w:bottom w:val="nil"/>
          <w:right w:val="nil"/>
          <w:between w:val="nil"/>
        </w:pBdr>
        <w:rPr>
          <w:color w:val="000000"/>
          <w:sz w:val="22"/>
          <w:szCs w:val="22"/>
        </w:rPr>
      </w:pPr>
      <w:r>
        <w:rPr>
          <w:color w:val="000000"/>
          <w:sz w:val="22"/>
          <w:szCs w:val="22"/>
        </w:rPr>
        <w:t>Des démarches concertées entre les différents acteurs concernés par la matière organiques (collectivités, exploitants agricoles, opérateurs privés, associations, autres, …) sont déjà mises en place ou pourraient se mettre en place,</w:t>
      </w:r>
    </w:p>
    <w:p w14:paraId="00000137" w14:textId="77777777" w:rsidR="00EF5278" w:rsidRDefault="00CC0084">
      <w:pPr>
        <w:numPr>
          <w:ilvl w:val="1"/>
          <w:numId w:val="18"/>
        </w:numPr>
        <w:pBdr>
          <w:top w:val="nil"/>
          <w:left w:val="nil"/>
          <w:bottom w:val="nil"/>
          <w:right w:val="nil"/>
          <w:between w:val="nil"/>
        </w:pBdr>
        <w:rPr>
          <w:color w:val="000000"/>
          <w:sz w:val="22"/>
          <w:szCs w:val="22"/>
        </w:rPr>
      </w:pPr>
      <w:r>
        <w:rPr>
          <w:color w:val="000000"/>
          <w:sz w:val="22"/>
          <w:szCs w:val="22"/>
        </w:rPr>
        <w:t>Le territoire mène des actions en faveur du développement de la filière méthanisation.</w:t>
      </w:r>
    </w:p>
    <w:p w14:paraId="00000138" w14:textId="77777777" w:rsidR="00EF5278" w:rsidRDefault="00CC0084">
      <w:pPr>
        <w:numPr>
          <w:ilvl w:val="0"/>
          <w:numId w:val="18"/>
        </w:numPr>
        <w:pBdr>
          <w:top w:val="nil"/>
          <w:left w:val="nil"/>
          <w:bottom w:val="nil"/>
          <w:right w:val="nil"/>
          <w:between w:val="nil"/>
        </w:pBdr>
        <w:rPr>
          <w:color w:val="000000"/>
          <w:sz w:val="22"/>
          <w:szCs w:val="22"/>
        </w:rPr>
      </w:pPr>
      <w:r>
        <w:rPr>
          <w:color w:val="000000"/>
          <w:sz w:val="22"/>
          <w:szCs w:val="22"/>
        </w:rPr>
        <w:t>La pertinence de l’implantation sur le territoire afin de créer, avec les installations existantes, un maillage départemental et régional équilibré et optimisé.</w:t>
      </w:r>
    </w:p>
    <w:p w14:paraId="00000139" w14:textId="77777777" w:rsidR="00EF5278" w:rsidRDefault="00CC0084">
      <w:pPr>
        <w:spacing w:line="259" w:lineRule="auto"/>
        <w:ind w:left="1080"/>
      </w:pPr>
      <w:r>
        <w:rPr>
          <w:sz w:val="22"/>
          <w:szCs w:val="22"/>
        </w:rPr>
        <w:t xml:space="preserve">  </w:t>
      </w:r>
    </w:p>
    <w:p w14:paraId="0000013A" w14:textId="77777777" w:rsidR="00EF5278" w:rsidRDefault="00CC0084">
      <w:pPr>
        <w:rPr>
          <w:sz w:val="22"/>
          <w:szCs w:val="22"/>
        </w:rPr>
      </w:pPr>
      <w:r>
        <w:rPr>
          <w:sz w:val="22"/>
          <w:szCs w:val="22"/>
        </w:rPr>
        <w:t>Durant la phase d’instruction des candidatures, les partenaires de l’appel à projets se réservent la possibilité d’engager avec le pétitionnaire un dialogue permettant de recadrer le périmètre et/ou le contenu du projet.</w:t>
      </w:r>
    </w:p>
    <w:p w14:paraId="0000013B" w14:textId="77777777" w:rsidR="00EF5278" w:rsidRDefault="00EF5278">
      <w:pPr>
        <w:jc w:val="left"/>
        <w:rPr>
          <w:sz w:val="22"/>
          <w:szCs w:val="22"/>
        </w:rPr>
      </w:pPr>
    </w:p>
    <w:p w14:paraId="0000013C" w14:textId="77777777" w:rsidR="00EF5278" w:rsidRDefault="00CC0084">
      <w:pPr>
        <w:pBdr>
          <w:top w:val="single" w:sz="4" w:space="1" w:color="000000"/>
          <w:left w:val="single" w:sz="4" w:space="4" w:color="000000"/>
          <w:bottom w:val="single" w:sz="4" w:space="1" w:color="000000"/>
          <w:right w:val="single" w:sz="4" w:space="4" w:color="000000"/>
        </w:pBdr>
        <w:jc w:val="center"/>
        <w:rPr>
          <w:b/>
          <w:sz w:val="22"/>
          <w:szCs w:val="22"/>
        </w:rPr>
      </w:pPr>
      <w:r>
        <w:rPr>
          <w:b/>
          <w:sz w:val="22"/>
          <w:szCs w:val="22"/>
        </w:rPr>
        <w:t>Le nombre de candidats sélectionnés sera défini selon les budgets disponibles en date de la sélection.</w:t>
      </w:r>
    </w:p>
    <w:p w14:paraId="67B6A9FE" w14:textId="77777777" w:rsidR="0099690B" w:rsidRDefault="0099690B">
      <w:pPr>
        <w:spacing w:line="360" w:lineRule="auto"/>
        <w:rPr>
          <w:color w:val="000000"/>
        </w:rPr>
      </w:pPr>
    </w:p>
    <w:p w14:paraId="03A0DA3E" w14:textId="6DCFF0A2" w:rsidR="0099690B" w:rsidRDefault="0099690B">
      <w:pPr>
        <w:spacing w:line="360" w:lineRule="auto"/>
        <w:rPr>
          <w:color w:val="000000"/>
        </w:rPr>
      </w:pPr>
      <w:r w:rsidRPr="008D5CC6">
        <w:rPr>
          <w:sz w:val="22"/>
          <w:szCs w:val="22"/>
        </w:rPr>
        <w:t>Par ailleurs, « l’ADEME se réserve le droit de clore l’appel à projets avant la date indiquée sur ce présent document, notamment en raison du niveau de consommation de l’enveloppe allouée, ou d’une évolution du cadre légal et réglementaire applicable au présent appel à projets. Les modalités d’aides devront être conformes aux régimes d’aides en vigueur à cette échéance ; l’ADEME se réserve donc la possibilité d’apporter toute modification rendue nécessaire au regard de l’évolution des encadrements communautaires ou des régimes d’aides applicables. Les informations actualisées seront publiées sur le site de l’AAP. »</w:t>
      </w:r>
      <w:bookmarkStart w:id="18" w:name="_heading=h.44sinio" w:colFirst="0" w:colLast="0"/>
      <w:bookmarkEnd w:id="18"/>
      <w:r w:rsidR="00DA1900">
        <w:rPr>
          <w:color w:val="000000"/>
        </w:rPr>
        <w:t>.</w:t>
      </w:r>
    </w:p>
    <w:p w14:paraId="4C048C5A" w14:textId="77777777" w:rsidR="00DA1900" w:rsidRDefault="00DA1900">
      <w:pPr>
        <w:spacing w:line="360" w:lineRule="auto"/>
        <w:rPr>
          <w:color w:val="000000"/>
        </w:rPr>
      </w:pPr>
    </w:p>
    <w:p w14:paraId="0000013E" w14:textId="4CD91A6E" w:rsidR="00EF5278" w:rsidRDefault="00CC0084">
      <w:pPr>
        <w:pStyle w:val="Titre2"/>
        <w:numPr>
          <w:ilvl w:val="1"/>
          <w:numId w:val="16"/>
        </w:numPr>
        <w:shd w:val="clear" w:color="auto" w:fill="002060"/>
      </w:pPr>
      <w:r>
        <w:t xml:space="preserve">Vos contacts </w:t>
      </w:r>
      <w:sdt>
        <w:sdtPr>
          <w:tag w:val="goog_rdk_21"/>
          <w:id w:val="596217930"/>
        </w:sdtPr>
        <w:sdtEndPr/>
        <w:sdtContent/>
      </w:sdt>
      <w:sdt>
        <w:sdtPr>
          <w:tag w:val="goog_rdk_22"/>
          <w:id w:val="-1024244460"/>
        </w:sdtPr>
        <w:sdtEndPr/>
        <w:sdtContent/>
      </w:sdt>
      <w:r>
        <w:t xml:space="preserve">à </w:t>
      </w:r>
      <w:r w:rsidR="007B0457">
        <w:t xml:space="preserve">AILE, </w:t>
      </w:r>
      <w:r>
        <w:t>l’ADEME</w:t>
      </w:r>
      <w:r w:rsidR="007B0457">
        <w:t>, la DREAL</w:t>
      </w:r>
      <w:r>
        <w:t xml:space="preserve"> et à la Région Bretagne </w:t>
      </w:r>
    </w:p>
    <w:p w14:paraId="0000013F" w14:textId="77777777" w:rsidR="00EF5278" w:rsidRDefault="00EF5278">
      <w:pPr>
        <w:spacing w:line="360" w:lineRule="auto"/>
        <w:rPr>
          <w:color w:val="000000"/>
        </w:rPr>
      </w:pPr>
    </w:p>
    <w:p w14:paraId="00000140" w14:textId="77777777" w:rsidR="00EF5278" w:rsidRDefault="00CC0084">
      <w:pPr>
        <w:numPr>
          <w:ilvl w:val="0"/>
          <w:numId w:val="20"/>
        </w:numPr>
        <w:pBdr>
          <w:top w:val="nil"/>
          <w:left w:val="nil"/>
          <w:bottom w:val="nil"/>
          <w:right w:val="nil"/>
          <w:between w:val="nil"/>
        </w:pBdr>
        <w:spacing w:line="360" w:lineRule="auto"/>
        <w:rPr>
          <w:b/>
          <w:color w:val="000000"/>
          <w:sz w:val="22"/>
          <w:szCs w:val="22"/>
        </w:rPr>
      </w:pPr>
      <w:r>
        <w:rPr>
          <w:b/>
          <w:color w:val="000000"/>
          <w:sz w:val="22"/>
          <w:szCs w:val="22"/>
        </w:rPr>
        <w:t>Pour AILE :</w:t>
      </w:r>
    </w:p>
    <w:p w14:paraId="00000141" w14:textId="77777777" w:rsidR="00EF5278" w:rsidRPr="0096501F" w:rsidRDefault="00CC0084">
      <w:pPr>
        <w:numPr>
          <w:ilvl w:val="1"/>
          <w:numId w:val="20"/>
        </w:numPr>
        <w:pBdr>
          <w:top w:val="nil"/>
          <w:left w:val="nil"/>
          <w:bottom w:val="nil"/>
          <w:right w:val="nil"/>
          <w:between w:val="nil"/>
        </w:pBdr>
        <w:spacing w:line="360" w:lineRule="auto"/>
        <w:rPr>
          <w:color w:val="000000"/>
          <w:sz w:val="22"/>
          <w:szCs w:val="22"/>
          <w:lang w:val="en-GB"/>
        </w:rPr>
      </w:pPr>
      <w:r w:rsidRPr="0096501F">
        <w:rPr>
          <w:color w:val="000000"/>
          <w:sz w:val="22"/>
          <w:szCs w:val="22"/>
          <w:lang w:val="en-GB"/>
        </w:rPr>
        <w:t xml:space="preserve">Gary LUCARELLI / </w:t>
      </w:r>
      <w:hyperlink r:id="rId15">
        <w:r w:rsidRPr="0096501F">
          <w:rPr>
            <w:color w:val="0563C1"/>
            <w:sz w:val="22"/>
            <w:szCs w:val="22"/>
            <w:u w:val="single"/>
            <w:lang w:val="en-GB"/>
          </w:rPr>
          <w:t>gary.lucarelli@aile.asso.fr</w:t>
        </w:r>
      </w:hyperlink>
      <w:r w:rsidRPr="0096501F">
        <w:rPr>
          <w:color w:val="000000"/>
          <w:sz w:val="22"/>
          <w:szCs w:val="22"/>
          <w:lang w:val="en-GB"/>
        </w:rPr>
        <w:t xml:space="preserve"> / 02 99 54 63 23</w:t>
      </w:r>
    </w:p>
    <w:p w14:paraId="00000142" w14:textId="77777777" w:rsidR="00EF5278" w:rsidRPr="0096501F" w:rsidRDefault="00EF5278">
      <w:pPr>
        <w:pBdr>
          <w:top w:val="nil"/>
          <w:left w:val="nil"/>
          <w:bottom w:val="nil"/>
          <w:right w:val="nil"/>
          <w:between w:val="nil"/>
        </w:pBdr>
        <w:spacing w:line="360" w:lineRule="auto"/>
        <w:ind w:left="1440"/>
        <w:rPr>
          <w:color w:val="000000"/>
          <w:sz w:val="22"/>
          <w:szCs w:val="22"/>
          <w:lang w:val="en-GB"/>
        </w:rPr>
      </w:pPr>
    </w:p>
    <w:p w14:paraId="00000143" w14:textId="77777777" w:rsidR="00EF5278" w:rsidRDefault="00CC0084">
      <w:pPr>
        <w:numPr>
          <w:ilvl w:val="0"/>
          <w:numId w:val="20"/>
        </w:numPr>
        <w:pBdr>
          <w:top w:val="nil"/>
          <w:left w:val="nil"/>
          <w:bottom w:val="nil"/>
          <w:right w:val="nil"/>
          <w:between w:val="nil"/>
        </w:pBdr>
        <w:spacing w:line="360" w:lineRule="auto"/>
        <w:rPr>
          <w:b/>
          <w:color w:val="000000"/>
          <w:sz w:val="22"/>
          <w:szCs w:val="22"/>
        </w:rPr>
      </w:pPr>
      <w:r>
        <w:rPr>
          <w:b/>
          <w:color w:val="000000"/>
          <w:sz w:val="22"/>
          <w:szCs w:val="22"/>
        </w:rPr>
        <w:t>Pour l’ADEME :</w:t>
      </w:r>
    </w:p>
    <w:p w14:paraId="00000144" w14:textId="77777777" w:rsidR="00EF5278" w:rsidRDefault="00CC0084">
      <w:pPr>
        <w:numPr>
          <w:ilvl w:val="1"/>
          <w:numId w:val="20"/>
        </w:numPr>
        <w:pBdr>
          <w:top w:val="nil"/>
          <w:left w:val="nil"/>
          <w:bottom w:val="nil"/>
          <w:right w:val="nil"/>
          <w:between w:val="nil"/>
        </w:pBdr>
        <w:spacing w:line="360" w:lineRule="auto"/>
        <w:rPr>
          <w:b/>
          <w:color w:val="000000"/>
          <w:sz w:val="22"/>
          <w:szCs w:val="22"/>
        </w:rPr>
      </w:pPr>
      <w:r>
        <w:rPr>
          <w:color w:val="000000"/>
          <w:sz w:val="22"/>
          <w:szCs w:val="22"/>
        </w:rPr>
        <w:t xml:space="preserve">Marie-Emilie MOLLARET / </w:t>
      </w:r>
      <w:hyperlink r:id="rId16">
        <w:r>
          <w:rPr>
            <w:color w:val="0563C1"/>
            <w:sz w:val="22"/>
            <w:szCs w:val="22"/>
            <w:u w:val="single"/>
          </w:rPr>
          <w:t>marie-emilie.mollaret@ademe.fr</w:t>
        </w:r>
      </w:hyperlink>
      <w:r>
        <w:rPr>
          <w:color w:val="000000"/>
          <w:sz w:val="22"/>
          <w:szCs w:val="22"/>
        </w:rPr>
        <w:t xml:space="preserve"> / 02 99 85 87 12</w:t>
      </w:r>
    </w:p>
    <w:p w14:paraId="21BCB024" w14:textId="77777777" w:rsidR="007B0457" w:rsidRDefault="007B0457" w:rsidP="0099690B">
      <w:pPr>
        <w:pBdr>
          <w:top w:val="nil"/>
          <w:left w:val="nil"/>
          <w:bottom w:val="nil"/>
          <w:right w:val="nil"/>
          <w:between w:val="nil"/>
        </w:pBdr>
        <w:spacing w:line="360" w:lineRule="auto"/>
        <w:rPr>
          <w:b/>
          <w:color w:val="000000"/>
          <w:sz w:val="22"/>
          <w:szCs w:val="22"/>
        </w:rPr>
      </w:pPr>
    </w:p>
    <w:p w14:paraId="00000146" w14:textId="77777777" w:rsidR="00EF5278" w:rsidRDefault="00CC0084">
      <w:pPr>
        <w:numPr>
          <w:ilvl w:val="0"/>
          <w:numId w:val="20"/>
        </w:numPr>
        <w:pBdr>
          <w:top w:val="nil"/>
          <w:left w:val="nil"/>
          <w:bottom w:val="nil"/>
          <w:right w:val="nil"/>
          <w:between w:val="nil"/>
        </w:pBdr>
        <w:spacing w:line="360" w:lineRule="auto"/>
        <w:rPr>
          <w:b/>
          <w:color w:val="000000"/>
          <w:sz w:val="22"/>
          <w:szCs w:val="22"/>
        </w:rPr>
      </w:pPr>
      <w:r>
        <w:rPr>
          <w:b/>
          <w:color w:val="000000"/>
          <w:sz w:val="22"/>
          <w:szCs w:val="22"/>
        </w:rPr>
        <w:t>Pour le Conseil régional :</w:t>
      </w:r>
    </w:p>
    <w:p w14:paraId="00000147" w14:textId="77777777" w:rsidR="00EF5278" w:rsidRDefault="00CC0084">
      <w:pPr>
        <w:numPr>
          <w:ilvl w:val="0"/>
          <w:numId w:val="8"/>
        </w:numPr>
        <w:pBdr>
          <w:top w:val="nil"/>
          <w:left w:val="nil"/>
          <w:bottom w:val="nil"/>
          <w:right w:val="nil"/>
          <w:between w:val="nil"/>
        </w:pBdr>
        <w:spacing w:line="360" w:lineRule="auto"/>
        <w:rPr>
          <w:color w:val="000000"/>
          <w:sz w:val="22"/>
          <w:szCs w:val="22"/>
        </w:rPr>
      </w:pPr>
      <w:r>
        <w:rPr>
          <w:color w:val="000000"/>
          <w:sz w:val="22"/>
          <w:szCs w:val="22"/>
        </w:rPr>
        <w:t xml:space="preserve">Guy CROUIGNEAU / </w:t>
      </w:r>
      <w:hyperlink r:id="rId17">
        <w:r>
          <w:rPr>
            <w:color w:val="0563C1"/>
            <w:sz w:val="22"/>
            <w:szCs w:val="22"/>
            <w:u w:val="single"/>
          </w:rPr>
          <w:t>guy.crouigneau@bretagne.bzh</w:t>
        </w:r>
      </w:hyperlink>
      <w:r>
        <w:rPr>
          <w:color w:val="000000"/>
          <w:sz w:val="22"/>
          <w:szCs w:val="22"/>
        </w:rPr>
        <w:t xml:space="preserve">  / 02 99 87 43 91 </w:t>
      </w:r>
    </w:p>
    <w:p w14:paraId="00000148" w14:textId="77777777" w:rsidR="00EF5278" w:rsidRDefault="00EF5278">
      <w:pPr>
        <w:spacing w:line="360" w:lineRule="auto"/>
        <w:rPr>
          <w:color w:val="000000"/>
          <w:sz w:val="22"/>
          <w:szCs w:val="22"/>
        </w:rPr>
      </w:pPr>
    </w:p>
    <w:p w14:paraId="00000149" w14:textId="77777777" w:rsidR="00EF5278" w:rsidRDefault="00EF5278">
      <w:pPr>
        <w:spacing w:line="360" w:lineRule="auto"/>
        <w:rPr>
          <w:color w:val="000000"/>
          <w:sz w:val="22"/>
          <w:szCs w:val="22"/>
        </w:rPr>
      </w:pPr>
    </w:p>
    <w:p w14:paraId="0000014A" w14:textId="77777777" w:rsidR="00EF5278" w:rsidRDefault="00EF5278">
      <w:pPr>
        <w:rPr>
          <w:color w:val="000000"/>
          <w:sz w:val="22"/>
          <w:szCs w:val="22"/>
        </w:rPr>
      </w:pPr>
    </w:p>
    <w:p w14:paraId="0000014B" w14:textId="77777777" w:rsidR="00EF5278" w:rsidRDefault="00EF5278">
      <w:pPr>
        <w:rPr>
          <w:color w:val="000000"/>
        </w:rPr>
      </w:pPr>
    </w:p>
    <w:p w14:paraId="0000014C" w14:textId="77777777" w:rsidR="00EF5278" w:rsidRDefault="00CC0084">
      <w:pPr>
        <w:spacing w:after="160" w:line="259" w:lineRule="auto"/>
        <w:jc w:val="left"/>
        <w:rPr>
          <w:color w:val="000000"/>
        </w:rPr>
      </w:pPr>
      <w:r>
        <w:br w:type="page"/>
      </w:r>
    </w:p>
    <w:p w14:paraId="0000014D" w14:textId="77777777" w:rsidR="00EF5278" w:rsidRDefault="00CC0084">
      <w:pPr>
        <w:pStyle w:val="Titre1"/>
        <w:spacing w:before="0"/>
        <w:jc w:val="center"/>
      </w:pPr>
      <w:bookmarkStart w:id="19" w:name="_heading=h.2jxsxqh" w:colFirst="0" w:colLast="0"/>
      <w:bookmarkEnd w:id="19"/>
      <w:r>
        <w:t>ANNEXE 1 : DEFINITIONS – ELEMENTS REGLEMENTAIRES</w:t>
      </w:r>
    </w:p>
    <w:p w14:paraId="0000014E" w14:textId="77777777" w:rsidR="00EF5278" w:rsidRDefault="00EF5278"/>
    <w:p w14:paraId="0000014F" w14:textId="77777777" w:rsidR="00EF5278" w:rsidRDefault="00CC0084">
      <w:pPr>
        <w:pStyle w:val="Titre2"/>
        <w:numPr>
          <w:ilvl w:val="1"/>
          <w:numId w:val="22"/>
        </w:numPr>
      </w:pPr>
      <w:bookmarkStart w:id="20" w:name="_heading=h.z337ya" w:colFirst="0" w:colLast="0"/>
      <w:bookmarkEnd w:id="20"/>
      <w:r>
        <w:t>Définitions</w:t>
      </w:r>
    </w:p>
    <w:p w14:paraId="00000150" w14:textId="77777777" w:rsidR="00EF5278" w:rsidRDefault="00EF5278">
      <w:pPr>
        <w:rPr>
          <w:sz w:val="22"/>
          <w:szCs w:val="22"/>
        </w:rPr>
      </w:pPr>
    </w:p>
    <w:p w14:paraId="00000151" w14:textId="77777777" w:rsidR="00EF5278" w:rsidRDefault="00CC0084">
      <w:pPr>
        <w:pStyle w:val="Titre3"/>
        <w:numPr>
          <w:ilvl w:val="2"/>
          <w:numId w:val="22"/>
        </w:numPr>
      </w:pPr>
      <w:bookmarkStart w:id="21" w:name="_heading=h.3j2qqm3" w:colFirst="0" w:colLast="0"/>
      <w:bookmarkEnd w:id="21"/>
      <w:r>
        <w:t xml:space="preserve">Biodéchets </w:t>
      </w:r>
    </w:p>
    <w:p w14:paraId="00000152" w14:textId="77777777" w:rsidR="00EF5278" w:rsidRDefault="00CC0084">
      <w:pPr>
        <w:rPr>
          <w:sz w:val="22"/>
          <w:szCs w:val="22"/>
        </w:rPr>
      </w:pPr>
      <w:r>
        <w:rPr>
          <w:sz w:val="22"/>
          <w:szCs w:val="22"/>
        </w:rPr>
        <w:t xml:space="preserve">Les biodéchets sont définis par l’article R541-8 du Code de l’Environnement comme : « tout déchet non dangereux biodégradable de jardin ou de parc, tout déchet non dangereux alimentaire ou de cuisine issu notamment des ménages, des restaurants, des traiteurs ou des magasins de vente au détail, ainsi que tout déchet comparable provenant des établissements de production ou de transformation de denrées alimentaires. ». </w:t>
      </w:r>
    </w:p>
    <w:p w14:paraId="00000153" w14:textId="77777777" w:rsidR="00EF5278" w:rsidRDefault="00CC0084">
      <w:pPr>
        <w:rPr>
          <w:sz w:val="22"/>
          <w:szCs w:val="22"/>
        </w:rPr>
      </w:pPr>
      <w:r>
        <w:rPr>
          <w:sz w:val="22"/>
          <w:szCs w:val="22"/>
        </w:rPr>
        <w:t xml:space="preserve">Comme le précise la circulaire du 10 janvier 2012 relative aux modalités d’application de l’obligation de tri à la source des biodéchets, ceux-ci peuvent être collectés dans leur emballage. Ils doivent donc passer par une étape de déconditionnement pour que la partie organique de ce flux de déchets soit effectivement valorisée. </w:t>
      </w:r>
    </w:p>
    <w:p w14:paraId="00000154" w14:textId="77777777" w:rsidR="00EF5278" w:rsidRDefault="00CC0084">
      <w:pPr>
        <w:rPr>
          <w:sz w:val="22"/>
          <w:szCs w:val="22"/>
        </w:rPr>
      </w:pPr>
      <w:r>
        <w:rPr>
          <w:sz w:val="22"/>
          <w:szCs w:val="22"/>
        </w:rPr>
        <w:t xml:space="preserve">Les biodéchets emballés proviennent principalement : </w:t>
      </w:r>
    </w:p>
    <w:p w14:paraId="00000155" w14:textId="77777777" w:rsidR="00EF5278" w:rsidRDefault="00CC0084">
      <w:pPr>
        <w:numPr>
          <w:ilvl w:val="0"/>
          <w:numId w:val="3"/>
        </w:numPr>
        <w:pBdr>
          <w:top w:val="nil"/>
          <w:left w:val="nil"/>
          <w:bottom w:val="nil"/>
          <w:right w:val="nil"/>
          <w:between w:val="nil"/>
        </w:pBdr>
        <w:rPr>
          <w:color w:val="000000"/>
          <w:sz w:val="22"/>
          <w:szCs w:val="22"/>
        </w:rPr>
      </w:pPr>
      <w:r>
        <w:rPr>
          <w:color w:val="000000"/>
          <w:sz w:val="22"/>
          <w:szCs w:val="22"/>
        </w:rPr>
        <w:t xml:space="preserve">De la grande distribution alimentaire, des industries agroalimentaires, des grossistes et autres intermédiaires de l’expédition des denrées alimentaires, de certains restaurants collectifs ou commerciaux pour ceux collectés hors service public de gestion des déchets (SPGD) ; </w:t>
      </w:r>
    </w:p>
    <w:p w14:paraId="00000156" w14:textId="77777777" w:rsidR="00EF5278" w:rsidRDefault="00CC0084">
      <w:pPr>
        <w:numPr>
          <w:ilvl w:val="0"/>
          <w:numId w:val="3"/>
        </w:numPr>
        <w:pBdr>
          <w:top w:val="nil"/>
          <w:left w:val="nil"/>
          <w:bottom w:val="nil"/>
          <w:right w:val="nil"/>
          <w:between w:val="nil"/>
        </w:pBdr>
        <w:rPr>
          <w:color w:val="000000"/>
          <w:sz w:val="22"/>
          <w:szCs w:val="22"/>
        </w:rPr>
      </w:pPr>
      <w:r>
        <w:rPr>
          <w:color w:val="000000"/>
          <w:sz w:val="22"/>
          <w:szCs w:val="22"/>
        </w:rPr>
        <w:t xml:space="preserve">Pour ceux pris en charge par le SPGD, des commerces alimentaires, dont ceux des marchés alimentaires, de certains restaurants collectifs ou commerciaux et, dans une moindre mesure, des ménages. </w:t>
      </w:r>
    </w:p>
    <w:p w14:paraId="00000157" w14:textId="77777777" w:rsidR="00EF5278" w:rsidRDefault="00CC0084">
      <w:pPr>
        <w:rPr>
          <w:sz w:val="22"/>
          <w:szCs w:val="22"/>
        </w:rPr>
      </w:pPr>
      <w:r>
        <w:rPr>
          <w:sz w:val="22"/>
          <w:szCs w:val="22"/>
        </w:rPr>
        <w:t>Par conséquent, les biodéchets sont parfois des sous-produits animaux de catégorie 3, soumis à une réglementation particulière.</w:t>
      </w:r>
    </w:p>
    <w:p w14:paraId="00000158" w14:textId="77777777" w:rsidR="00EF5278" w:rsidRDefault="00EF5278">
      <w:pPr>
        <w:pBdr>
          <w:top w:val="nil"/>
          <w:left w:val="nil"/>
          <w:bottom w:val="nil"/>
          <w:right w:val="nil"/>
          <w:between w:val="nil"/>
        </w:pBdr>
        <w:ind w:left="720"/>
        <w:rPr>
          <w:color w:val="000000"/>
          <w:sz w:val="22"/>
          <w:szCs w:val="22"/>
        </w:rPr>
      </w:pPr>
    </w:p>
    <w:p w14:paraId="00000159" w14:textId="77777777" w:rsidR="00EF5278" w:rsidRDefault="00CC0084">
      <w:pPr>
        <w:pStyle w:val="Titre3"/>
        <w:numPr>
          <w:ilvl w:val="2"/>
          <w:numId w:val="22"/>
        </w:numPr>
      </w:pPr>
      <w:bookmarkStart w:id="22" w:name="_heading=h.1y810tw" w:colFirst="0" w:colLast="0"/>
      <w:bookmarkEnd w:id="22"/>
      <w:r>
        <w:t>Sous-produits animaux de catégorie 3</w:t>
      </w:r>
      <w:r>
        <w:rPr>
          <w:vertAlign w:val="superscript"/>
        </w:rPr>
        <w:footnoteReference w:id="4"/>
      </w:r>
    </w:p>
    <w:p w14:paraId="0000015A" w14:textId="77777777" w:rsidR="00EF5278" w:rsidRDefault="00CC0084">
      <w:pPr>
        <w:rPr>
          <w:sz w:val="22"/>
          <w:szCs w:val="22"/>
        </w:rPr>
      </w:pPr>
      <w:r>
        <w:rPr>
          <w:sz w:val="22"/>
          <w:szCs w:val="22"/>
        </w:rPr>
        <w:t>Les sous-produits animaux (SPAn) sont définis par le règlement sanitaire européen (CE) n°1069/2009 du 21 octobre 2009 applicable aux différentes catégories de sous-produits animaux non destinés à la consommation humaine, pouvant faire l’objet de valorisation ou d’élimination, comme « les cadavres entiers ou parties d’animaux, les produits d’origine animale ou d’autres produits obtenus à partir d’animaux, qui ne sont pas destinés à la consommation humaine… » (article 3). Leurs produits dérivés (« produits à base de » : œuf, lait, viande, etc.) sont également dans le champ.</w:t>
      </w:r>
    </w:p>
    <w:p w14:paraId="0000015B" w14:textId="77777777" w:rsidR="00EF5278" w:rsidRDefault="00CC0084">
      <w:pPr>
        <w:rPr>
          <w:sz w:val="22"/>
          <w:szCs w:val="22"/>
        </w:rPr>
      </w:pPr>
      <w:r>
        <w:rPr>
          <w:sz w:val="22"/>
          <w:szCs w:val="22"/>
        </w:rPr>
        <w:t>En ce qui concerne la « Catégorie 3 », SPAn 3, ces matières ne présentent pas de risque sanitaire pour la santé animale ou publique. Elles comprennent notamment des parties d’animaux abattus et jugés propres à la consommation humaine, mais que la chaîne alimentaire humaine ne valorise pas, ainsi que les denrées alimentaires d’origine animale non destinées à l’alimentation humaine pour des raisons commerciales.</w:t>
      </w:r>
    </w:p>
    <w:p w14:paraId="0000015C" w14:textId="77777777" w:rsidR="00EF5278" w:rsidRDefault="00CC0084">
      <w:pPr>
        <w:rPr>
          <w:sz w:val="22"/>
          <w:szCs w:val="22"/>
        </w:rPr>
      </w:pPr>
      <w:r>
        <w:rPr>
          <w:sz w:val="22"/>
          <w:szCs w:val="22"/>
        </w:rPr>
        <w:t>Dès lors qu’ils contiennent des produits à base d’œuf, de lait et de viande, les biodéchets seront donc considérés comme des SPAn 3. Par précaution, les biodéchets collectés auprès des ménages, contenant des déchets de cuisine et de table (DCT), sont également considérés comme des SPAn 3.</w:t>
      </w:r>
    </w:p>
    <w:p w14:paraId="0000015D" w14:textId="77777777" w:rsidR="00EF5278" w:rsidRDefault="00EF5278"/>
    <w:p w14:paraId="0000015E" w14:textId="77777777" w:rsidR="00EF5278" w:rsidRDefault="00CC0084">
      <w:pPr>
        <w:pStyle w:val="Titre3"/>
        <w:numPr>
          <w:ilvl w:val="2"/>
          <w:numId w:val="22"/>
        </w:numPr>
      </w:pPr>
      <w:bookmarkStart w:id="23" w:name="_heading=h.4i7ojhp" w:colFirst="0" w:colLast="0"/>
      <w:bookmarkEnd w:id="23"/>
      <w:r>
        <w:t>Équipement de déconditionnement/déconditionneur</w:t>
      </w:r>
    </w:p>
    <w:p w14:paraId="0000015F" w14:textId="77777777" w:rsidR="00EF5278" w:rsidRDefault="00CC0084">
      <w:pPr>
        <w:rPr>
          <w:sz w:val="22"/>
          <w:szCs w:val="22"/>
        </w:rPr>
      </w:pPr>
      <w:r>
        <w:rPr>
          <w:sz w:val="22"/>
          <w:szCs w:val="22"/>
        </w:rPr>
        <w:t>On entend par équipement de déconditionnement toute machine permettant de traiter un flux de biodéchets emballés pour séparer le contenu organique des contenants en l’épurant autant que possible de toutes matières non fermentescibles. Cet équipement s’intègre dans une ligne de déconditionnement démarrant par un système d’alimentation jusqu’au système d’évacuation des différents flux finaux. La ligne peut comporter plusieurs étapes de préparation (déferraillage par exemple) avant le déconditionnement et l’affinage des flux sortants de celui-ci.</w:t>
      </w:r>
    </w:p>
    <w:p w14:paraId="00000160" w14:textId="77777777" w:rsidR="00EF5278" w:rsidRDefault="00EF5278">
      <w:pPr>
        <w:rPr>
          <w:sz w:val="22"/>
          <w:szCs w:val="22"/>
        </w:rPr>
      </w:pPr>
    </w:p>
    <w:p w14:paraId="00000161" w14:textId="77777777" w:rsidR="00EF5278" w:rsidRDefault="00CC0084">
      <w:r>
        <w:rPr>
          <w:sz w:val="22"/>
          <w:szCs w:val="22"/>
        </w:rPr>
        <w:t>Les équipements de déconditionnement permettent de réduire la matière organique séparée en « pulpe organique » et génèrent un flux de « refus » composé pour une majeure partie des emballages indésirables.</w:t>
      </w:r>
    </w:p>
    <w:p w14:paraId="00000162" w14:textId="77777777" w:rsidR="00EF5278" w:rsidRDefault="00CC0084">
      <w:pPr>
        <w:keepNext/>
        <w:jc w:val="center"/>
      </w:pPr>
      <w:r>
        <w:rPr>
          <w:noProof/>
        </w:rPr>
        <w:drawing>
          <wp:inline distT="0" distB="0" distL="0" distR="0" wp14:anchorId="3DDD428A" wp14:editId="6C4E8D0F">
            <wp:extent cx="5662620" cy="1942124"/>
            <wp:effectExtent l="0" t="0" r="0" b="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l="4702" t="20207" r="8730" b="42677"/>
                    <a:stretch>
                      <a:fillRect/>
                    </a:stretch>
                  </pic:blipFill>
                  <pic:spPr>
                    <a:xfrm>
                      <a:off x="0" y="0"/>
                      <a:ext cx="5662620" cy="1942124"/>
                    </a:xfrm>
                    <a:prstGeom prst="rect">
                      <a:avLst/>
                    </a:prstGeom>
                    <a:ln/>
                  </pic:spPr>
                </pic:pic>
              </a:graphicData>
            </a:graphic>
          </wp:inline>
        </w:drawing>
      </w:r>
    </w:p>
    <w:p w14:paraId="00000163" w14:textId="77777777" w:rsidR="00EF5278" w:rsidRDefault="00CC0084">
      <w:pPr>
        <w:pBdr>
          <w:top w:val="nil"/>
          <w:left w:val="nil"/>
          <w:bottom w:val="nil"/>
          <w:right w:val="nil"/>
          <w:between w:val="nil"/>
        </w:pBdr>
        <w:spacing w:after="200"/>
        <w:jc w:val="center"/>
        <w:rPr>
          <w:i/>
          <w:color w:val="44546A"/>
          <w:sz w:val="18"/>
          <w:szCs w:val="18"/>
        </w:rPr>
      </w:pPr>
      <w:r>
        <w:rPr>
          <w:i/>
          <w:color w:val="44546A"/>
          <w:sz w:val="18"/>
          <w:szCs w:val="18"/>
        </w:rPr>
        <w:t>Figure 2 : exemple de synoptique de ligne de déconditionnement</w:t>
      </w:r>
    </w:p>
    <w:p w14:paraId="00000164" w14:textId="77777777" w:rsidR="00EF5278" w:rsidRDefault="00CC0084">
      <w:pPr>
        <w:rPr>
          <w:sz w:val="22"/>
          <w:szCs w:val="22"/>
        </w:rPr>
      </w:pPr>
      <w:r>
        <w:rPr>
          <w:sz w:val="22"/>
          <w:szCs w:val="22"/>
        </w:rPr>
        <w:t>Ces lignes ne sont pas obligatoirement vouées à traiter uniquement des flux emballés. L’objectif peut être l’épuration de tout type de flux de biodéchets, y compris ceux d’origine ménagère, qui seraient issus d’une collecte séparée (en porte à porte ou apport volontaire). Cependant, les projets devront prioritairement cibler les flux emballés.</w:t>
      </w:r>
    </w:p>
    <w:p w14:paraId="00000165" w14:textId="77777777" w:rsidR="00EF5278" w:rsidRDefault="00CC0084">
      <w:pPr>
        <w:rPr>
          <w:sz w:val="22"/>
          <w:szCs w:val="22"/>
        </w:rPr>
      </w:pPr>
      <w:r>
        <w:rPr>
          <w:sz w:val="22"/>
          <w:szCs w:val="22"/>
        </w:rPr>
        <w:t>Pour rappel, ne sont pas considérés comme des équipements éligibles au présent appel à projets :</w:t>
      </w:r>
    </w:p>
    <w:p w14:paraId="00000166" w14:textId="77777777" w:rsidR="00EF5278" w:rsidRDefault="00CC0084">
      <w:pPr>
        <w:numPr>
          <w:ilvl w:val="0"/>
          <w:numId w:val="9"/>
        </w:numPr>
        <w:pBdr>
          <w:top w:val="nil"/>
          <w:left w:val="nil"/>
          <w:bottom w:val="nil"/>
          <w:right w:val="nil"/>
          <w:between w:val="nil"/>
        </w:pBdr>
        <w:rPr>
          <w:color w:val="000000"/>
          <w:sz w:val="22"/>
          <w:szCs w:val="22"/>
        </w:rPr>
      </w:pPr>
      <w:r>
        <w:rPr>
          <w:color w:val="000000"/>
          <w:sz w:val="22"/>
          <w:szCs w:val="22"/>
        </w:rPr>
        <w:t>Les équipements de déconditionnement des monoflux homogènes de biodéchets (par exemple : équipement de déconditionnement des briques de lait) ainsi que les équipements traitant uniquement des biodéchets emballés contenant de la matière organique « liquide » ou « pâteuse » (par exemple : déconditionnement des yaourts ou des compotes) ;</w:t>
      </w:r>
    </w:p>
    <w:p w14:paraId="00000167" w14:textId="77777777" w:rsidR="00EF5278" w:rsidRDefault="00CC0084">
      <w:pPr>
        <w:numPr>
          <w:ilvl w:val="0"/>
          <w:numId w:val="9"/>
        </w:numPr>
        <w:pBdr>
          <w:top w:val="nil"/>
          <w:left w:val="nil"/>
          <w:bottom w:val="nil"/>
          <w:right w:val="nil"/>
          <w:between w:val="nil"/>
        </w:pBdr>
        <w:rPr>
          <w:color w:val="000000"/>
          <w:sz w:val="22"/>
          <w:szCs w:val="22"/>
        </w:rPr>
      </w:pPr>
      <w:r>
        <w:rPr>
          <w:color w:val="000000"/>
          <w:sz w:val="22"/>
          <w:szCs w:val="22"/>
        </w:rPr>
        <w:t xml:space="preserve">Les ouvreurs de sacs ou machines de déconditionnement du pain emballé ; </w:t>
      </w:r>
    </w:p>
    <w:p w14:paraId="00000168" w14:textId="77777777" w:rsidR="00EF5278" w:rsidRDefault="00CC0084">
      <w:pPr>
        <w:numPr>
          <w:ilvl w:val="0"/>
          <w:numId w:val="9"/>
        </w:numPr>
        <w:pBdr>
          <w:top w:val="nil"/>
          <w:left w:val="nil"/>
          <w:bottom w:val="nil"/>
          <w:right w:val="nil"/>
          <w:between w:val="nil"/>
        </w:pBdr>
        <w:rPr>
          <w:color w:val="000000"/>
          <w:sz w:val="22"/>
          <w:szCs w:val="22"/>
        </w:rPr>
      </w:pPr>
      <w:r>
        <w:rPr>
          <w:color w:val="000000"/>
          <w:sz w:val="22"/>
          <w:szCs w:val="22"/>
        </w:rPr>
        <w:t xml:space="preserve">Les technologies utilisées sur des installations de compostage pour traiter les erreurs de tri des collectes sélectives de biodéchets des ménages et assimilés ; </w:t>
      </w:r>
    </w:p>
    <w:p w14:paraId="00000169" w14:textId="77777777" w:rsidR="00EF5278" w:rsidRDefault="00CC0084">
      <w:pPr>
        <w:numPr>
          <w:ilvl w:val="0"/>
          <w:numId w:val="9"/>
        </w:numPr>
        <w:pBdr>
          <w:top w:val="nil"/>
          <w:left w:val="nil"/>
          <w:bottom w:val="nil"/>
          <w:right w:val="nil"/>
          <w:between w:val="nil"/>
        </w:pBdr>
        <w:rPr>
          <w:color w:val="000000"/>
          <w:sz w:val="22"/>
          <w:szCs w:val="22"/>
        </w:rPr>
      </w:pPr>
      <w:r>
        <w:rPr>
          <w:color w:val="000000"/>
          <w:sz w:val="22"/>
          <w:szCs w:val="22"/>
        </w:rPr>
        <w:t xml:space="preserve">Les équipements d’épuration des impuretés après méthanisation ; </w:t>
      </w:r>
    </w:p>
    <w:p w14:paraId="0000016A" w14:textId="77777777" w:rsidR="00EF5278" w:rsidRDefault="00CC0084">
      <w:pPr>
        <w:numPr>
          <w:ilvl w:val="0"/>
          <w:numId w:val="9"/>
        </w:numPr>
        <w:pBdr>
          <w:top w:val="nil"/>
          <w:left w:val="nil"/>
          <w:bottom w:val="nil"/>
          <w:right w:val="nil"/>
          <w:between w:val="nil"/>
        </w:pBdr>
        <w:rPr>
          <w:color w:val="000000"/>
          <w:sz w:val="22"/>
          <w:szCs w:val="22"/>
        </w:rPr>
      </w:pPr>
      <w:r>
        <w:rPr>
          <w:color w:val="000000"/>
          <w:sz w:val="22"/>
          <w:szCs w:val="22"/>
        </w:rPr>
        <w:t xml:space="preserve">Ainsi que les installations de type tri mécanobiologique. </w:t>
      </w:r>
    </w:p>
    <w:p w14:paraId="0000016B" w14:textId="77777777" w:rsidR="00EF5278" w:rsidRDefault="00EF5278"/>
    <w:p w14:paraId="0000016C" w14:textId="77777777" w:rsidR="00EF5278" w:rsidRDefault="00CC0084">
      <w:pPr>
        <w:pStyle w:val="Titre3"/>
        <w:numPr>
          <w:ilvl w:val="2"/>
          <w:numId w:val="22"/>
        </w:numPr>
      </w:pPr>
      <w:bookmarkStart w:id="24" w:name="_heading=h.2xcytpi" w:colFirst="0" w:colLast="0"/>
      <w:bookmarkEnd w:id="24"/>
      <w:r>
        <w:t xml:space="preserve">Hygiénisation </w:t>
      </w:r>
    </w:p>
    <w:p w14:paraId="0000016D" w14:textId="77777777" w:rsidR="00EF5278" w:rsidRDefault="00CC0084">
      <w:pPr>
        <w:rPr>
          <w:sz w:val="22"/>
          <w:szCs w:val="22"/>
        </w:rPr>
      </w:pPr>
      <w:r>
        <w:rPr>
          <w:sz w:val="22"/>
          <w:szCs w:val="22"/>
        </w:rPr>
        <w:t>Les biodéchets emballés contiennent le plus souvent des sous-produits animaux de catégorie 3. Leur traitement impose une hygiénisation qui consiste en un criblage fin et en un maintien de la pulpe organique obtenue dans une cuve à une certaine température pendant un laps de temps déterminé, comme le présente la figure ci-dessous :</w:t>
      </w:r>
    </w:p>
    <w:p w14:paraId="0000016E" w14:textId="77777777" w:rsidR="00EF5278" w:rsidRDefault="00EF5278">
      <w:pPr>
        <w:rPr>
          <w:sz w:val="22"/>
          <w:szCs w:val="22"/>
        </w:rPr>
      </w:pPr>
    </w:p>
    <w:p w14:paraId="0000016F" w14:textId="77777777" w:rsidR="00EF5278" w:rsidRDefault="00CC0084">
      <w:pPr>
        <w:jc w:val="center"/>
      </w:pPr>
      <w:r>
        <w:rPr>
          <w:noProof/>
        </w:rPr>
        <w:drawing>
          <wp:inline distT="0" distB="0" distL="0" distR="0" wp14:anchorId="1C866BFE" wp14:editId="6BE9A658">
            <wp:extent cx="2780001" cy="1549400"/>
            <wp:effectExtent l="9525" t="9525" r="9525" b="9525"/>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l="49814" t="41330" r="14635" b="33905"/>
                    <a:stretch>
                      <a:fillRect/>
                    </a:stretch>
                  </pic:blipFill>
                  <pic:spPr>
                    <a:xfrm>
                      <a:off x="0" y="0"/>
                      <a:ext cx="2780001" cy="1549400"/>
                    </a:xfrm>
                    <a:prstGeom prst="rect">
                      <a:avLst/>
                    </a:prstGeom>
                    <a:ln w="9525">
                      <a:solidFill>
                        <a:srgbClr val="5B9BD5"/>
                      </a:solidFill>
                      <a:prstDash val="solid"/>
                    </a:ln>
                  </pic:spPr>
                </pic:pic>
              </a:graphicData>
            </a:graphic>
          </wp:inline>
        </w:drawing>
      </w:r>
    </w:p>
    <w:p w14:paraId="00000170" w14:textId="77777777" w:rsidR="00EF5278" w:rsidRDefault="00CC0084">
      <w:pPr>
        <w:spacing w:after="160" w:line="259" w:lineRule="auto"/>
        <w:jc w:val="left"/>
      </w:pPr>
      <w:r>
        <w:br w:type="page"/>
      </w:r>
    </w:p>
    <w:p w14:paraId="00000171" w14:textId="77777777" w:rsidR="00EF5278" w:rsidRDefault="00CC0084">
      <w:pPr>
        <w:pStyle w:val="Titre2"/>
        <w:numPr>
          <w:ilvl w:val="1"/>
          <w:numId w:val="22"/>
        </w:numPr>
      </w:pPr>
      <w:bookmarkStart w:id="25" w:name="_heading=h.1ci93xb" w:colFirst="0" w:colLast="0"/>
      <w:bookmarkEnd w:id="25"/>
      <w:r>
        <w:t>Réglementation</w:t>
      </w:r>
    </w:p>
    <w:p w14:paraId="00000172" w14:textId="77777777" w:rsidR="00EF5278" w:rsidRDefault="00EF5278">
      <w:pPr>
        <w:rPr>
          <w:sz w:val="22"/>
          <w:szCs w:val="22"/>
        </w:rPr>
      </w:pPr>
    </w:p>
    <w:p w14:paraId="00000173" w14:textId="77777777" w:rsidR="00EF5278" w:rsidRDefault="00CC0084">
      <w:pPr>
        <w:pStyle w:val="Titre3"/>
        <w:numPr>
          <w:ilvl w:val="2"/>
          <w:numId w:val="22"/>
        </w:numPr>
      </w:pPr>
      <w:bookmarkStart w:id="26" w:name="_heading=h.3whwml4" w:colFirst="0" w:colLast="0"/>
      <w:bookmarkEnd w:id="26"/>
      <w:r>
        <w:t>Les gros producteurs de biodéchets au sens du Code de l’Environnement</w:t>
      </w:r>
    </w:p>
    <w:p w14:paraId="00000174" w14:textId="77777777" w:rsidR="00EF5278" w:rsidRDefault="00CC0084">
      <w:pPr>
        <w:rPr>
          <w:color w:val="000000"/>
          <w:sz w:val="22"/>
          <w:szCs w:val="22"/>
        </w:rPr>
      </w:pPr>
      <w:r>
        <w:rPr>
          <w:color w:val="000000"/>
          <w:sz w:val="22"/>
          <w:szCs w:val="22"/>
        </w:rPr>
        <w:t>Selon l’article 204 du Grenelle 2 et l’article 26 du décret n°2011-828 du 11 juillet 2011, « Les producteurs ou détenteurs de quantités importantes de déchets composés majoritairement de biodéchets sont tenus d’en assurer le tri à la source en vue de leur valorisation organique ». Un « gros producteur » de biodéchets est déterminé en fonction de seuils de production définis à l’article R. 543-225 du Code de l’environnement.</w:t>
      </w:r>
    </w:p>
    <w:p w14:paraId="00000175" w14:textId="77777777" w:rsidR="00EF5278" w:rsidRDefault="00EF5278">
      <w:pPr>
        <w:rPr>
          <w:color w:val="000000"/>
          <w:sz w:val="22"/>
          <w:szCs w:val="22"/>
        </w:rPr>
      </w:pPr>
    </w:p>
    <w:p w14:paraId="00000176" w14:textId="77777777" w:rsidR="00EF5278" w:rsidRDefault="00EF5278">
      <w:pPr>
        <w:rPr>
          <w:color w:val="000000"/>
          <w:sz w:val="22"/>
          <w:szCs w:val="22"/>
        </w:rPr>
      </w:pPr>
    </w:p>
    <w:p w14:paraId="00000177" w14:textId="77777777" w:rsidR="00EF5278" w:rsidRDefault="00CC0084">
      <w:pPr>
        <w:pStyle w:val="Titre3"/>
        <w:numPr>
          <w:ilvl w:val="2"/>
          <w:numId w:val="22"/>
        </w:numPr>
      </w:pPr>
      <w:bookmarkStart w:id="27" w:name="_heading=h.2bn6wsx" w:colFirst="0" w:colLast="0"/>
      <w:bookmarkEnd w:id="27"/>
      <w:r>
        <w:t>L’agrément sanitaire</w:t>
      </w:r>
    </w:p>
    <w:p w14:paraId="00000178" w14:textId="77777777" w:rsidR="00EF5278" w:rsidRDefault="00CC0084">
      <w:pPr>
        <w:rPr>
          <w:color w:val="000000"/>
          <w:sz w:val="22"/>
          <w:szCs w:val="22"/>
        </w:rPr>
      </w:pPr>
      <w:r>
        <w:rPr>
          <w:color w:val="000000"/>
          <w:sz w:val="22"/>
          <w:szCs w:val="22"/>
        </w:rPr>
        <w:t>Complémentaire au Code de l'environnement, la réglementation sanitaire a pour objectif de préserver la santé humaine ou animale, à l’égard des maladies transmissibles comme la peste porcine, tuberculose, encéphalopathie spongiforme bovine (ESB)…Les sous-produits animaux (SPAn), comme définis au 1.2.2, relèvent de cette réglementation sanitaire.</w:t>
      </w:r>
    </w:p>
    <w:p w14:paraId="00000179" w14:textId="77777777" w:rsidR="00EF5278" w:rsidRDefault="00CC0084">
      <w:pPr>
        <w:rPr>
          <w:color w:val="000000"/>
          <w:sz w:val="22"/>
          <w:szCs w:val="22"/>
        </w:rPr>
      </w:pPr>
      <w:r>
        <w:rPr>
          <w:color w:val="000000"/>
          <w:sz w:val="22"/>
          <w:szCs w:val="22"/>
        </w:rPr>
        <w:t>Les biodéchets de restauration, de grandes et moyennes surfaces, de l’industrie agro-alimentaire relèvent le plus souvent de la catégorie des SPAn 3.</w:t>
      </w:r>
    </w:p>
    <w:p w14:paraId="0000017A" w14:textId="77777777" w:rsidR="00EF5278" w:rsidRDefault="00CC0084">
      <w:pPr>
        <w:rPr>
          <w:color w:val="000000"/>
          <w:sz w:val="22"/>
          <w:szCs w:val="22"/>
        </w:rPr>
      </w:pPr>
      <w:r>
        <w:rPr>
          <w:color w:val="000000"/>
          <w:sz w:val="22"/>
          <w:szCs w:val="22"/>
        </w:rPr>
        <w:t xml:space="preserve">Attention, les autorités compétentes considèrent souvent les biodéchets alimentaires d’origine végétale ayant été en contact ou dans la même pièce que des biodéchets contenant des SPAn 3, comme potentiellement contaminés et donc relevant du régime des SPAn 3. </w:t>
      </w:r>
    </w:p>
    <w:p w14:paraId="0000017B" w14:textId="77777777" w:rsidR="00EF5278" w:rsidRDefault="00CC0084">
      <w:pPr>
        <w:rPr>
          <w:color w:val="000000"/>
          <w:sz w:val="22"/>
          <w:szCs w:val="22"/>
        </w:rPr>
      </w:pPr>
      <w:r>
        <w:rPr>
          <w:color w:val="000000"/>
          <w:sz w:val="22"/>
          <w:szCs w:val="22"/>
        </w:rPr>
        <w:t>Cette réglementation sanitaire impose notamment aux installations visées, pour traiter des SPAn 3, de disposer d’un agrément sanitaire délivré par le préfet de leur département d’implantation et d’intégrer un traitement d’hygiénisation, selon le protocole préconisé (pour la méthanisation : 70°C, 1 heure, granulométrie inférieure à 12 mm) ou tout autre protocole équivalent (ex : compostage), reconnu par les autorités sanitaires (hygiénisation non obligatoire selon certains types de déchets reçus, tels que les « cuits » du commerce alimentaire).</w:t>
      </w:r>
    </w:p>
    <w:p w14:paraId="0000017C" w14:textId="77777777" w:rsidR="00EF5278" w:rsidRDefault="00CC0084">
      <w:pPr>
        <w:rPr>
          <w:rFonts w:ascii="Arial" w:eastAsia="Arial" w:hAnsi="Arial" w:cs="Arial"/>
          <w:color w:val="191717"/>
          <w:sz w:val="22"/>
          <w:szCs w:val="22"/>
          <w:highlight w:val="white"/>
        </w:rPr>
      </w:pPr>
      <w:r>
        <w:rPr>
          <w:color w:val="000000"/>
          <w:sz w:val="22"/>
          <w:szCs w:val="22"/>
        </w:rPr>
        <w:t>En pratique, chaque demande, au titre des sous-produits, devra être présentée à la DDCSPP ou la DDPP du département siège de l’établissement visé, sans préjudice des autres réglementations ICPE en vigueur, en préfecture, par exemple.</w:t>
      </w:r>
    </w:p>
    <w:p w14:paraId="0000017D" w14:textId="77777777" w:rsidR="00EF5278" w:rsidRDefault="00CC0084">
      <w:pPr>
        <w:rPr>
          <w:color w:val="000000"/>
          <w:sz w:val="22"/>
          <w:szCs w:val="22"/>
        </w:rPr>
      </w:pPr>
      <w:r>
        <w:rPr>
          <w:color w:val="000000"/>
          <w:sz w:val="22"/>
          <w:szCs w:val="22"/>
        </w:rPr>
        <w:t>NB : Les ordures ménagères ou l’extrait de leur fraction fermentescible (FFOM) obtenue par TMB ne rentrent pas dans le champ du règlement sanitaire. De même pour les boues de station d’épuration.</w:t>
      </w:r>
    </w:p>
    <w:p w14:paraId="0000017E" w14:textId="77777777" w:rsidR="00EF5278" w:rsidRDefault="00EF5278">
      <w:pPr>
        <w:rPr>
          <w:color w:val="000000"/>
          <w:sz w:val="22"/>
          <w:szCs w:val="22"/>
        </w:rPr>
      </w:pPr>
    </w:p>
    <w:p w14:paraId="0000017F" w14:textId="77777777" w:rsidR="00EF5278" w:rsidRDefault="00CC0084">
      <w:pPr>
        <w:pStyle w:val="Titre3"/>
        <w:numPr>
          <w:ilvl w:val="2"/>
          <w:numId w:val="22"/>
        </w:numPr>
        <w:rPr>
          <w:color w:val="000000"/>
          <w:sz w:val="22"/>
          <w:szCs w:val="22"/>
        </w:rPr>
      </w:pPr>
      <w:bookmarkStart w:id="28" w:name="_heading=h.qsh70q" w:colFirst="0" w:colLast="0"/>
      <w:bookmarkEnd w:id="28"/>
      <w:r>
        <w:rPr>
          <w:color w:val="000000"/>
          <w:sz w:val="22"/>
          <w:szCs w:val="22"/>
        </w:rPr>
        <w:t>Réglementation ICPE pour les unités de déconditionnement et le stockage « amont / aval »  de biodéchets :</w:t>
      </w:r>
    </w:p>
    <w:p w14:paraId="00000180" w14:textId="77777777" w:rsidR="00EF5278" w:rsidRDefault="00CC0084">
      <w:pPr>
        <w:pStyle w:val="Titre4"/>
        <w:numPr>
          <w:ilvl w:val="3"/>
          <w:numId w:val="22"/>
        </w:numPr>
        <w:rPr>
          <w:color w:val="000000"/>
          <w:szCs w:val="22"/>
        </w:rPr>
      </w:pPr>
      <w:r>
        <w:rPr>
          <w:color w:val="000000"/>
          <w:szCs w:val="22"/>
        </w:rPr>
        <w:t>Unité de déconditionnement : rubrique 2783</w:t>
      </w:r>
      <w:r>
        <w:rPr>
          <w:color w:val="000000"/>
          <w:vertAlign w:val="superscript"/>
        </w:rPr>
        <w:footnoteReference w:id="5"/>
      </w:r>
    </w:p>
    <w:p w14:paraId="00000181" w14:textId="77777777" w:rsidR="00EF5278" w:rsidRDefault="00EF5278">
      <w:pPr>
        <w:rPr>
          <w:color w:val="000000"/>
          <w:sz w:val="22"/>
          <w:szCs w:val="22"/>
        </w:rPr>
      </w:pPr>
    </w:p>
    <w:p w14:paraId="00000182" w14:textId="77777777" w:rsidR="00EF5278" w:rsidRDefault="00CC0084">
      <w:pPr>
        <w:rPr>
          <w:color w:val="000000"/>
          <w:sz w:val="22"/>
          <w:szCs w:val="22"/>
        </w:rPr>
      </w:pPr>
      <w:r>
        <w:rPr>
          <w:color w:val="000000"/>
          <w:sz w:val="22"/>
          <w:szCs w:val="22"/>
        </w:rPr>
        <w:t>Cette rubrique, créée en mars 2023, concerne spécifiquement les installations de déconditionnement de biodéchets ayant fait l’objet d’un tri à la source en vue de leur valorisation organique. Selon la quantité journalière de biodéchets traités, l’installation sera soumise au régime :</w:t>
      </w:r>
    </w:p>
    <w:p w14:paraId="00000183" w14:textId="77777777" w:rsidR="00EF5278" w:rsidRDefault="00CC0084">
      <w:pPr>
        <w:numPr>
          <w:ilvl w:val="0"/>
          <w:numId w:val="1"/>
        </w:numPr>
        <w:pBdr>
          <w:top w:val="nil"/>
          <w:left w:val="nil"/>
          <w:bottom w:val="nil"/>
          <w:right w:val="nil"/>
          <w:between w:val="nil"/>
        </w:pBdr>
        <w:rPr>
          <w:color w:val="000000"/>
          <w:sz w:val="22"/>
          <w:szCs w:val="22"/>
        </w:rPr>
      </w:pPr>
      <w:r>
        <w:rPr>
          <w:color w:val="000000"/>
          <w:sz w:val="22"/>
          <w:szCs w:val="22"/>
        </w:rPr>
        <w:t>de la déclaration si la quantité est inférieure à 30t/jour,</w:t>
      </w:r>
    </w:p>
    <w:p w14:paraId="00000184" w14:textId="77777777" w:rsidR="00EF5278" w:rsidRDefault="00CC0084">
      <w:pPr>
        <w:numPr>
          <w:ilvl w:val="0"/>
          <w:numId w:val="1"/>
        </w:numPr>
        <w:pBdr>
          <w:top w:val="nil"/>
          <w:left w:val="nil"/>
          <w:bottom w:val="nil"/>
          <w:right w:val="nil"/>
          <w:between w:val="nil"/>
        </w:pBdr>
        <w:rPr>
          <w:color w:val="000000"/>
          <w:sz w:val="22"/>
          <w:szCs w:val="22"/>
        </w:rPr>
      </w:pPr>
      <w:r>
        <w:rPr>
          <w:color w:val="000000"/>
          <w:sz w:val="22"/>
          <w:szCs w:val="22"/>
        </w:rPr>
        <w:t>de l’enregistrement si la quantité est supérieure ou égale à 30t/jour.</w:t>
      </w:r>
    </w:p>
    <w:p w14:paraId="00000185" w14:textId="77777777" w:rsidR="00EF5278" w:rsidRDefault="00EF5278">
      <w:pPr>
        <w:pBdr>
          <w:top w:val="nil"/>
          <w:left w:val="nil"/>
          <w:bottom w:val="nil"/>
          <w:right w:val="nil"/>
          <w:between w:val="nil"/>
        </w:pBdr>
        <w:ind w:left="1776"/>
        <w:rPr>
          <w:color w:val="000000"/>
          <w:sz w:val="22"/>
          <w:szCs w:val="22"/>
        </w:rPr>
      </w:pPr>
    </w:p>
    <w:p w14:paraId="00000186" w14:textId="77777777" w:rsidR="00EF5278" w:rsidRDefault="00CC0084">
      <w:pPr>
        <w:rPr>
          <w:color w:val="000000"/>
          <w:sz w:val="22"/>
          <w:szCs w:val="22"/>
        </w:rPr>
      </w:pPr>
      <w:r>
        <w:rPr>
          <w:color w:val="000000"/>
          <w:sz w:val="22"/>
          <w:szCs w:val="22"/>
        </w:rPr>
        <w:t xml:space="preserve">Dans tous les cas, les installations de déconditionnement de sous-produits animaux et produits dérivés doivent respecter les dispositions du règlement (CE) n° 1069/2009 du 21 octobre 2009 et du règlement (UE) n° 142/2011 du 25 février 2011 et obtenir un agrément sanitaire dans les conditions prévues par </w:t>
      </w:r>
      <w:hyperlink r:id="rId20">
        <w:r>
          <w:rPr>
            <w:color w:val="000000"/>
            <w:sz w:val="22"/>
            <w:szCs w:val="22"/>
          </w:rPr>
          <w:t>l'arrêté du 8 décembre 2011</w:t>
        </w:r>
      </w:hyperlink>
      <w:r>
        <w:rPr>
          <w:color w:val="000000"/>
          <w:sz w:val="22"/>
          <w:szCs w:val="22"/>
          <w:vertAlign w:val="superscript"/>
        </w:rPr>
        <w:footnoteReference w:id="6"/>
      </w:r>
      <w:r>
        <w:rPr>
          <w:color w:val="000000"/>
          <w:sz w:val="22"/>
          <w:szCs w:val="22"/>
        </w:rPr>
        <w:t xml:space="preserve"> établissant des règles sanitaires applicables aux sous-produits animaux et produits dérivés en application de ces deux règlements.</w:t>
      </w:r>
    </w:p>
    <w:p w14:paraId="00000187" w14:textId="77777777" w:rsidR="00EF5278" w:rsidRDefault="00CC0084">
      <w:pPr>
        <w:pStyle w:val="Titre4"/>
        <w:numPr>
          <w:ilvl w:val="3"/>
          <w:numId w:val="22"/>
        </w:numPr>
        <w:rPr>
          <w:color w:val="000000"/>
          <w:szCs w:val="22"/>
        </w:rPr>
      </w:pPr>
      <w:r>
        <w:rPr>
          <w:color w:val="000000"/>
          <w:szCs w:val="22"/>
        </w:rPr>
        <w:t>Le stockage amont / aval de biodéchets : rubrique 2716</w:t>
      </w:r>
      <w:r>
        <w:rPr>
          <w:color w:val="000000"/>
          <w:vertAlign w:val="superscript"/>
        </w:rPr>
        <w:footnoteReference w:id="7"/>
      </w:r>
      <w:r>
        <w:rPr>
          <w:color w:val="000000"/>
          <w:szCs w:val="22"/>
        </w:rPr>
        <w:t> :</w:t>
      </w:r>
    </w:p>
    <w:p w14:paraId="00000188" w14:textId="77777777" w:rsidR="00EF5278" w:rsidRDefault="00EF5278">
      <w:pPr>
        <w:rPr>
          <w:color w:val="000000"/>
          <w:sz w:val="22"/>
          <w:szCs w:val="22"/>
        </w:rPr>
      </w:pPr>
    </w:p>
    <w:p w14:paraId="00000189" w14:textId="77777777" w:rsidR="00EF5278" w:rsidRDefault="00CC0084">
      <w:pPr>
        <w:rPr>
          <w:color w:val="000000"/>
          <w:sz w:val="22"/>
          <w:szCs w:val="22"/>
        </w:rPr>
      </w:pPr>
      <w:r>
        <w:rPr>
          <w:color w:val="000000"/>
          <w:sz w:val="22"/>
          <w:szCs w:val="22"/>
        </w:rPr>
        <w:t>Cette rubrique vise les activités de transit, regroupement ou tri de déchets non dangereux reçus séparément ou en mélange lorsque l’installation ne relève pas d’un classement sous une autre rubrique spécifique (les installations de regroupement des ordures ménagères résiduelles collectées en mélange sont soumises au classement sous la rubrique 2716).</w:t>
      </w:r>
    </w:p>
    <w:p w14:paraId="0000018A" w14:textId="77777777" w:rsidR="00EF5278" w:rsidRDefault="00CC0084">
      <w:pPr>
        <w:rPr>
          <w:color w:val="000000"/>
          <w:sz w:val="22"/>
          <w:szCs w:val="22"/>
        </w:rPr>
      </w:pPr>
      <w:r>
        <w:rPr>
          <w:color w:val="000000"/>
          <w:sz w:val="22"/>
          <w:szCs w:val="22"/>
        </w:rPr>
        <w:t>Les ouvrages d’entreposage de déchets destinés à l’épandage (digestats de méthanisation, boues de STEP, composts non conformes, effluents d’élevage liquides, cendres d’installations de combustion) gérés par un tiers autre que l’exploitant de l’unité produisant les déchets ou réceptionnant des déchets en provenance d’une autre installation sont soumises au classement sous cette rubrique 2716. Pour les installations soumises à déclaration, un arrêté de prescriptions spéciales encadrant l’épandage sera alors nécessaire pour permettre la valorisation des déchets en épandage. L’entreposage en bout de champ des déchets susmentionnés relève de la rubrique 2716 et doit donc être classé dès lors que le volume stocké est supérieur à 100m3. Les installations de transit, regroupement ou tri de biodéchets relèvent de la rubrique 2716</w:t>
      </w:r>
    </w:p>
    <w:p w14:paraId="0000018B" w14:textId="77777777" w:rsidR="00EF5278" w:rsidRDefault="00EF5278">
      <w:pPr>
        <w:rPr>
          <w:color w:val="000000"/>
          <w:sz w:val="22"/>
          <w:szCs w:val="22"/>
        </w:rPr>
      </w:pPr>
    </w:p>
    <w:p w14:paraId="0000018C" w14:textId="77777777" w:rsidR="00EF5278" w:rsidRDefault="00CC0084">
      <w:pPr>
        <w:pStyle w:val="Titre3"/>
        <w:numPr>
          <w:ilvl w:val="2"/>
          <w:numId w:val="22"/>
        </w:numPr>
      </w:pPr>
      <w:bookmarkStart w:id="29" w:name="_heading=h.3as4poj" w:colFirst="0" w:colLast="0"/>
      <w:bookmarkEnd w:id="29"/>
      <w:r>
        <w:t>Réglementation ICPE encadrant les installations de méthanisation</w:t>
      </w:r>
    </w:p>
    <w:p w14:paraId="0000018D" w14:textId="77777777" w:rsidR="00EF5278" w:rsidRDefault="00CC0084">
      <w:pPr>
        <w:rPr>
          <w:sz w:val="22"/>
          <w:szCs w:val="22"/>
        </w:rPr>
      </w:pPr>
      <w:r>
        <w:rPr>
          <w:sz w:val="22"/>
          <w:szCs w:val="22"/>
        </w:rPr>
        <w:t>Les tonnages et la nature des déchets déterminent le cadre et la procédure réglementaires qui seront appliqués au projet. La combustion du biogaz est réglementée par la rubrique 2910C, le régime ICPE est basé sur celui de la rubrique 2781, qui porte sur les tonnages d’intrants traités par l’installation.</w:t>
      </w:r>
    </w:p>
    <w:p w14:paraId="0000018E" w14:textId="77777777" w:rsidR="00EF5278" w:rsidRDefault="00EF5278"/>
    <w:tbl>
      <w:tblPr>
        <w:tblStyle w:val="a0"/>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3"/>
        <w:gridCol w:w="862"/>
        <w:gridCol w:w="2276"/>
        <w:gridCol w:w="1554"/>
        <w:gridCol w:w="1557"/>
        <w:gridCol w:w="1554"/>
      </w:tblGrid>
      <w:tr w:rsidR="00EF5278" w14:paraId="2EA93F78" w14:textId="77777777">
        <w:tc>
          <w:tcPr>
            <w:tcW w:w="1543" w:type="dxa"/>
            <w:tcBorders>
              <w:top w:val="nil"/>
              <w:left w:val="nil"/>
              <w:bottom w:val="nil"/>
              <w:right w:val="nil"/>
            </w:tcBorders>
          </w:tcPr>
          <w:p w14:paraId="0000018F" w14:textId="77777777" w:rsidR="00EF5278" w:rsidRDefault="00EF5278"/>
        </w:tc>
        <w:tc>
          <w:tcPr>
            <w:tcW w:w="862" w:type="dxa"/>
            <w:tcBorders>
              <w:top w:val="nil"/>
              <w:left w:val="nil"/>
              <w:bottom w:val="nil"/>
              <w:right w:val="single" w:sz="4" w:space="0" w:color="000000"/>
            </w:tcBorders>
          </w:tcPr>
          <w:p w14:paraId="00000190" w14:textId="77777777" w:rsidR="00EF5278" w:rsidRDefault="00EF5278"/>
        </w:tc>
        <w:tc>
          <w:tcPr>
            <w:tcW w:w="2276" w:type="dxa"/>
            <w:vMerge w:val="restart"/>
            <w:tcBorders>
              <w:left w:val="single" w:sz="4" w:space="0" w:color="000000"/>
            </w:tcBorders>
            <w:vAlign w:val="center"/>
          </w:tcPr>
          <w:p w14:paraId="00000191" w14:textId="77777777" w:rsidR="00EF5278" w:rsidRDefault="00CC0084">
            <w:pPr>
              <w:jc w:val="center"/>
            </w:pPr>
            <w:r>
              <w:t>Type de matière traité</w:t>
            </w:r>
          </w:p>
        </w:tc>
        <w:tc>
          <w:tcPr>
            <w:tcW w:w="4665" w:type="dxa"/>
            <w:gridSpan w:val="3"/>
            <w:vAlign w:val="center"/>
          </w:tcPr>
          <w:p w14:paraId="00000192" w14:textId="77777777" w:rsidR="00EF5278" w:rsidRDefault="00CC0084">
            <w:pPr>
              <w:jc w:val="center"/>
            </w:pPr>
            <w:r>
              <w:t>Tonnage traité</w:t>
            </w:r>
          </w:p>
        </w:tc>
      </w:tr>
      <w:tr w:rsidR="00EF5278" w14:paraId="2DF4A421" w14:textId="77777777">
        <w:tc>
          <w:tcPr>
            <w:tcW w:w="1543" w:type="dxa"/>
            <w:tcBorders>
              <w:top w:val="nil"/>
              <w:left w:val="nil"/>
              <w:bottom w:val="single" w:sz="4" w:space="0" w:color="000000"/>
              <w:right w:val="nil"/>
            </w:tcBorders>
          </w:tcPr>
          <w:p w14:paraId="00000195" w14:textId="77777777" w:rsidR="00EF5278" w:rsidRDefault="00EF5278"/>
        </w:tc>
        <w:tc>
          <w:tcPr>
            <w:tcW w:w="862" w:type="dxa"/>
            <w:tcBorders>
              <w:top w:val="nil"/>
              <w:left w:val="nil"/>
              <w:bottom w:val="single" w:sz="4" w:space="0" w:color="000000"/>
              <w:right w:val="single" w:sz="4" w:space="0" w:color="000000"/>
            </w:tcBorders>
          </w:tcPr>
          <w:p w14:paraId="00000196" w14:textId="77777777" w:rsidR="00EF5278" w:rsidRDefault="00EF5278"/>
        </w:tc>
        <w:tc>
          <w:tcPr>
            <w:tcW w:w="2276" w:type="dxa"/>
            <w:vMerge/>
            <w:tcBorders>
              <w:left w:val="single" w:sz="4" w:space="0" w:color="000000"/>
            </w:tcBorders>
            <w:vAlign w:val="center"/>
          </w:tcPr>
          <w:p w14:paraId="00000197" w14:textId="77777777" w:rsidR="00EF5278" w:rsidRDefault="00EF5278">
            <w:pPr>
              <w:widowControl w:val="0"/>
              <w:pBdr>
                <w:top w:val="nil"/>
                <w:left w:val="nil"/>
                <w:bottom w:val="nil"/>
                <w:right w:val="nil"/>
                <w:between w:val="nil"/>
              </w:pBdr>
              <w:spacing w:line="276" w:lineRule="auto"/>
              <w:jc w:val="left"/>
            </w:pPr>
          </w:p>
        </w:tc>
        <w:tc>
          <w:tcPr>
            <w:tcW w:w="1554" w:type="dxa"/>
            <w:vAlign w:val="center"/>
          </w:tcPr>
          <w:p w14:paraId="00000198" w14:textId="77777777" w:rsidR="00EF5278" w:rsidRDefault="00CC0084">
            <w:pPr>
              <w:jc w:val="center"/>
            </w:pPr>
            <w:r>
              <w:t>Déclaration</w:t>
            </w:r>
          </w:p>
        </w:tc>
        <w:tc>
          <w:tcPr>
            <w:tcW w:w="1557" w:type="dxa"/>
            <w:vAlign w:val="center"/>
          </w:tcPr>
          <w:p w14:paraId="00000199" w14:textId="77777777" w:rsidR="00EF5278" w:rsidRDefault="00CC0084">
            <w:pPr>
              <w:jc w:val="center"/>
            </w:pPr>
            <w:r>
              <w:t>Enregistrement</w:t>
            </w:r>
          </w:p>
        </w:tc>
        <w:tc>
          <w:tcPr>
            <w:tcW w:w="1554" w:type="dxa"/>
            <w:vAlign w:val="center"/>
          </w:tcPr>
          <w:p w14:paraId="0000019A" w14:textId="77777777" w:rsidR="00EF5278" w:rsidRDefault="00CC0084">
            <w:pPr>
              <w:jc w:val="center"/>
            </w:pPr>
            <w:r>
              <w:t>Autorisation</w:t>
            </w:r>
          </w:p>
        </w:tc>
      </w:tr>
      <w:tr w:rsidR="00EF5278" w14:paraId="1D494F0C" w14:textId="77777777">
        <w:tc>
          <w:tcPr>
            <w:tcW w:w="1543" w:type="dxa"/>
            <w:vMerge w:val="restart"/>
            <w:tcBorders>
              <w:top w:val="single" w:sz="4" w:space="0" w:color="000000"/>
            </w:tcBorders>
            <w:vAlign w:val="center"/>
          </w:tcPr>
          <w:p w14:paraId="0000019B" w14:textId="77777777" w:rsidR="00EF5278" w:rsidRDefault="00CC0084">
            <w:pPr>
              <w:jc w:val="center"/>
            </w:pPr>
            <w:r>
              <w:t>Rubrique ICPE</w:t>
            </w:r>
          </w:p>
        </w:tc>
        <w:tc>
          <w:tcPr>
            <w:tcW w:w="862" w:type="dxa"/>
            <w:tcBorders>
              <w:top w:val="single" w:sz="4" w:space="0" w:color="000000"/>
            </w:tcBorders>
            <w:vAlign w:val="center"/>
          </w:tcPr>
          <w:p w14:paraId="0000019C" w14:textId="77777777" w:rsidR="00EF5278" w:rsidRDefault="00CC0084">
            <w:pPr>
              <w:jc w:val="center"/>
            </w:pPr>
            <w:r>
              <w:t>2781-1</w:t>
            </w:r>
          </w:p>
        </w:tc>
        <w:tc>
          <w:tcPr>
            <w:tcW w:w="2276" w:type="dxa"/>
            <w:vAlign w:val="center"/>
          </w:tcPr>
          <w:p w14:paraId="0000019D" w14:textId="77777777" w:rsidR="00EF5278" w:rsidRDefault="00CC0084">
            <w:pPr>
              <w:jc w:val="left"/>
            </w:pPr>
            <w:r>
              <w:t>Matière végétale brute, effluents d’élevage, matières stercoraires, effluents bruts agroalimentaires et déchets végétaux d’industries agroalimentaires</w:t>
            </w:r>
          </w:p>
        </w:tc>
        <w:tc>
          <w:tcPr>
            <w:tcW w:w="1554" w:type="dxa"/>
            <w:vAlign w:val="center"/>
          </w:tcPr>
          <w:p w14:paraId="0000019E" w14:textId="77777777" w:rsidR="00EF5278" w:rsidRDefault="00CC0084">
            <w:pPr>
              <w:jc w:val="center"/>
            </w:pPr>
            <w:r>
              <w:t>Inférieur à 30 tonnes/jour</w:t>
            </w:r>
          </w:p>
        </w:tc>
        <w:tc>
          <w:tcPr>
            <w:tcW w:w="1557" w:type="dxa"/>
            <w:vAlign w:val="center"/>
          </w:tcPr>
          <w:p w14:paraId="0000019F" w14:textId="77777777" w:rsidR="00EF5278" w:rsidRDefault="00CC0084">
            <w:pPr>
              <w:jc w:val="center"/>
            </w:pPr>
            <w:r>
              <w:t>Supérieur ou égal à 30 tonnes/jour et inférieur à 50 tonnes/jour</w:t>
            </w:r>
          </w:p>
        </w:tc>
        <w:tc>
          <w:tcPr>
            <w:tcW w:w="1554" w:type="dxa"/>
            <w:vAlign w:val="center"/>
          </w:tcPr>
          <w:p w14:paraId="000001A0" w14:textId="77777777" w:rsidR="00EF5278" w:rsidRDefault="00CC0084">
            <w:pPr>
              <w:jc w:val="center"/>
            </w:pPr>
            <w:r>
              <w:t>Supérieur ou égale à 50 tonnes/jour</w:t>
            </w:r>
          </w:p>
        </w:tc>
      </w:tr>
      <w:tr w:rsidR="00EF5278" w14:paraId="206A36A9" w14:textId="77777777">
        <w:tc>
          <w:tcPr>
            <w:tcW w:w="1543" w:type="dxa"/>
            <w:vMerge/>
            <w:tcBorders>
              <w:top w:val="single" w:sz="4" w:space="0" w:color="000000"/>
            </w:tcBorders>
            <w:vAlign w:val="center"/>
          </w:tcPr>
          <w:p w14:paraId="000001A1" w14:textId="77777777" w:rsidR="00EF5278" w:rsidRDefault="00EF5278">
            <w:pPr>
              <w:widowControl w:val="0"/>
              <w:pBdr>
                <w:top w:val="nil"/>
                <w:left w:val="nil"/>
                <w:bottom w:val="nil"/>
                <w:right w:val="nil"/>
                <w:between w:val="nil"/>
              </w:pBdr>
              <w:spacing w:line="276" w:lineRule="auto"/>
              <w:jc w:val="left"/>
            </w:pPr>
          </w:p>
        </w:tc>
        <w:tc>
          <w:tcPr>
            <w:tcW w:w="862" w:type="dxa"/>
            <w:vAlign w:val="center"/>
          </w:tcPr>
          <w:p w14:paraId="000001A2" w14:textId="77777777" w:rsidR="00EF5278" w:rsidRDefault="00CC0084">
            <w:pPr>
              <w:jc w:val="center"/>
            </w:pPr>
            <w:r>
              <w:t>2781-2</w:t>
            </w:r>
          </w:p>
        </w:tc>
        <w:tc>
          <w:tcPr>
            <w:tcW w:w="2276" w:type="dxa"/>
            <w:vAlign w:val="center"/>
          </w:tcPr>
          <w:p w14:paraId="000001A3" w14:textId="77777777" w:rsidR="00EF5278" w:rsidRDefault="00CC0084">
            <w:pPr>
              <w:jc w:val="left"/>
            </w:pPr>
            <w:r>
              <w:t>Autres déchets non dangereux</w:t>
            </w:r>
          </w:p>
        </w:tc>
        <w:tc>
          <w:tcPr>
            <w:tcW w:w="1554" w:type="dxa"/>
            <w:vAlign w:val="center"/>
          </w:tcPr>
          <w:p w14:paraId="000001A4" w14:textId="77777777" w:rsidR="00EF5278" w:rsidRDefault="00CC0084">
            <w:pPr>
              <w:jc w:val="center"/>
            </w:pPr>
            <w:r>
              <w:t>-</w:t>
            </w:r>
          </w:p>
        </w:tc>
        <w:tc>
          <w:tcPr>
            <w:tcW w:w="1557" w:type="dxa"/>
            <w:vAlign w:val="center"/>
          </w:tcPr>
          <w:p w14:paraId="000001A5" w14:textId="77777777" w:rsidR="00EF5278" w:rsidRDefault="00CC0084">
            <w:pPr>
              <w:jc w:val="center"/>
            </w:pPr>
            <w:r>
              <w:t>Inférieur à</w:t>
            </w:r>
          </w:p>
          <w:p w14:paraId="000001A6" w14:textId="77777777" w:rsidR="00EF5278" w:rsidRDefault="00CC0084">
            <w:pPr>
              <w:jc w:val="center"/>
            </w:pPr>
            <w:r>
              <w:t>100t/jour</w:t>
            </w:r>
          </w:p>
        </w:tc>
        <w:tc>
          <w:tcPr>
            <w:tcW w:w="1554" w:type="dxa"/>
            <w:vAlign w:val="center"/>
          </w:tcPr>
          <w:p w14:paraId="000001A7" w14:textId="77777777" w:rsidR="00EF5278" w:rsidRDefault="00CC0084">
            <w:pPr>
              <w:jc w:val="center"/>
            </w:pPr>
            <w:r>
              <w:t>Supérieur ou égal à 100t/jour</w:t>
            </w:r>
          </w:p>
        </w:tc>
      </w:tr>
      <w:tr w:rsidR="00EF5278" w14:paraId="25BFA6D2" w14:textId="77777777">
        <w:tc>
          <w:tcPr>
            <w:tcW w:w="4681" w:type="dxa"/>
            <w:gridSpan w:val="3"/>
            <w:vAlign w:val="center"/>
          </w:tcPr>
          <w:p w14:paraId="000001A8" w14:textId="77777777" w:rsidR="00EF5278" w:rsidRDefault="00CC0084">
            <w:pPr>
              <w:jc w:val="center"/>
            </w:pPr>
            <w:r>
              <w:t>Dossier à réaliser et à déposer en préfecture</w:t>
            </w:r>
          </w:p>
        </w:tc>
        <w:tc>
          <w:tcPr>
            <w:tcW w:w="1554" w:type="dxa"/>
            <w:vAlign w:val="center"/>
          </w:tcPr>
          <w:p w14:paraId="000001AB" w14:textId="77777777" w:rsidR="00EF5278" w:rsidRDefault="00CC0084">
            <w:pPr>
              <w:jc w:val="center"/>
            </w:pPr>
            <w:r>
              <w:t>Dossier sommaire</w:t>
            </w:r>
          </w:p>
        </w:tc>
        <w:tc>
          <w:tcPr>
            <w:tcW w:w="1557" w:type="dxa"/>
            <w:vAlign w:val="center"/>
          </w:tcPr>
          <w:p w14:paraId="000001AC" w14:textId="77777777" w:rsidR="00EF5278" w:rsidRDefault="00CC0084">
            <w:pPr>
              <w:jc w:val="left"/>
            </w:pPr>
            <w:r>
              <w:t>Dossier technique</w:t>
            </w:r>
          </w:p>
          <w:p w14:paraId="000001AD" w14:textId="77777777" w:rsidR="00EF5278" w:rsidRDefault="00CC0084">
            <w:pPr>
              <w:numPr>
                <w:ilvl w:val="0"/>
                <w:numId w:val="4"/>
              </w:numPr>
              <w:pBdr>
                <w:top w:val="nil"/>
                <w:left w:val="nil"/>
                <w:bottom w:val="nil"/>
                <w:right w:val="nil"/>
                <w:between w:val="nil"/>
              </w:pBdr>
              <w:ind w:left="244" w:hanging="141"/>
              <w:jc w:val="left"/>
              <w:rPr>
                <w:color w:val="000000"/>
              </w:rPr>
            </w:pPr>
            <w:r>
              <w:rPr>
                <w:color w:val="000000"/>
              </w:rPr>
              <w:t>Consultation des communes</w:t>
            </w:r>
          </w:p>
          <w:p w14:paraId="000001AE" w14:textId="77777777" w:rsidR="00EF5278" w:rsidRDefault="00CC0084">
            <w:pPr>
              <w:numPr>
                <w:ilvl w:val="0"/>
                <w:numId w:val="4"/>
              </w:numPr>
              <w:pBdr>
                <w:top w:val="nil"/>
                <w:left w:val="nil"/>
                <w:bottom w:val="nil"/>
                <w:right w:val="nil"/>
                <w:between w:val="nil"/>
              </w:pBdr>
              <w:ind w:left="244" w:hanging="141"/>
              <w:jc w:val="left"/>
              <w:rPr>
                <w:color w:val="000000"/>
              </w:rPr>
            </w:pPr>
            <w:r>
              <w:rPr>
                <w:color w:val="000000"/>
              </w:rPr>
              <w:t>Information du public</w:t>
            </w:r>
          </w:p>
        </w:tc>
        <w:tc>
          <w:tcPr>
            <w:tcW w:w="1554" w:type="dxa"/>
            <w:vAlign w:val="center"/>
          </w:tcPr>
          <w:p w14:paraId="000001AF" w14:textId="77777777" w:rsidR="00EF5278" w:rsidRDefault="00CC0084">
            <w:pPr>
              <w:jc w:val="left"/>
            </w:pPr>
            <w:r>
              <w:t>Etude de dangers</w:t>
            </w:r>
          </w:p>
          <w:p w14:paraId="000001B0" w14:textId="77777777" w:rsidR="00EF5278" w:rsidRDefault="00CC0084">
            <w:pPr>
              <w:numPr>
                <w:ilvl w:val="0"/>
                <w:numId w:val="4"/>
              </w:numPr>
              <w:pBdr>
                <w:top w:val="nil"/>
                <w:left w:val="nil"/>
                <w:bottom w:val="nil"/>
                <w:right w:val="nil"/>
                <w:between w:val="nil"/>
              </w:pBdr>
              <w:ind w:left="278" w:hanging="283"/>
              <w:jc w:val="left"/>
              <w:rPr>
                <w:color w:val="000000"/>
              </w:rPr>
            </w:pPr>
            <w:r>
              <w:rPr>
                <w:color w:val="000000"/>
              </w:rPr>
              <w:t>Etude d’impact</w:t>
            </w:r>
          </w:p>
          <w:p w14:paraId="000001B1" w14:textId="77777777" w:rsidR="00EF5278" w:rsidRDefault="00CC0084">
            <w:pPr>
              <w:numPr>
                <w:ilvl w:val="0"/>
                <w:numId w:val="4"/>
              </w:numPr>
              <w:pBdr>
                <w:top w:val="nil"/>
                <w:left w:val="nil"/>
                <w:bottom w:val="nil"/>
                <w:right w:val="nil"/>
                <w:between w:val="nil"/>
              </w:pBdr>
              <w:ind w:left="278" w:hanging="278"/>
              <w:jc w:val="left"/>
              <w:rPr>
                <w:color w:val="000000"/>
              </w:rPr>
            </w:pPr>
            <w:r>
              <w:rPr>
                <w:color w:val="000000"/>
              </w:rPr>
              <w:t>Enquête publique</w:t>
            </w:r>
          </w:p>
        </w:tc>
      </w:tr>
    </w:tbl>
    <w:p w14:paraId="000001B2" w14:textId="77777777" w:rsidR="00EF5278" w:rsidRDefault="00EF5278"/>
    <w:p w14:paraId="4261E066" w14:textId="77777777" w:rsidR="00325A5A" w:rsidRDefault="00325A5A"/>
    <w:p w14:paraId="3764C1A5" w14:textId="13F1E81A" w:rsidR="009B3240" w:rsidRDefault="009B3240">
      <w:r>
        <w:t xml:space="preserve">NB : Une unité de méthanisation qui reprend de la soupe </w:t>
      </w:r>
      <w:r w:rsidR="00325A5A">
        <w:t>(qu’elle soit ou non hygiénisée) doit être inscrit en rubrique ICPE 2781-2, en enregistrement ou en autorisation selon le tonnage global traité sur l’unité.</w:t>
      </w:r>
    </w:p>
    <w:sectPr w:rsidR="009B3240">
      <w:headerReference w:type="even" r:id="rId21"/>
      <w:headerReference w:type="default" r:id="rId22"/>
      <w:footerReference w:type="even" r:id="rId23"/>
      <w:footerReference w:type="default" r:id="rId24"/>
      <w:headerReference w:type="first" r:id="rId25"/>
      <w:footerReference w:type="first" r:id="rId26"/>
      <w:pgSz w:w="11906" w:h="16838"/>
      <w:pgMar w:top="1276" w:right="1274" w:bottom="1134" w:left="1276" w:header="708" w:footer="4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64AAD" w14:textId="77777777" w:rsidR="00681319" w:rsidRDefault="00681319">
      <w:r>
        <w:separator/>
      </w:r>
    </w:p>
  </w:endnote>
  <w:endnote w:type="continuationSeparator" w:id="0">
    <w:p w14:paraId="49A46E6E" w14:textId="77777777" w:rsidR="00681319" w:rsidRDefault="0068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urostile">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D9BDF" w14:textId="77777777" w:rsidR="001153E9" w:rsidRDefault="001153E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BA" w14:textId="4852DF97" w:rsidR="00EF5278" w:rsidRDefault="00CC0084">
    <w:pPr>
      <w:pBdr>
        <w:top w:val="nil"/>
        <w:left w:val="nil"/>
        <w:bottom w:val="nil"/>
        <w:right w:val="nil"/>
        <w:between w:val="nil"/>
      </w:pBdr>
      <w:tabs>
        <w:tab w:val="center" w:pos="4536"/>
        <w:tab w:val="right" w:pos="9072"/>
      </w:tabs>
      <w:rPr>
        <w:color w:val="000000"/>
      </w:rPr>
    </w:pPr>
    <w:r>
      <w:rPr>
        <w:color w:val="000000"/>
      </w:rPr>
      <w:t>Appel à Projets « déconditionnement / hygiénisation » 202</w:t>
    </w:r>
    <w:r w:rsidR="001816C9">
      <w:rPr>
        <w:color w:val="000000"/>
      </w:rPr>
      <w:t>4</w:t>
    </w:r>
    <w:r>
      <w:rPr>
        <w:color w:val="000000"/>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1B3516">
      <w:rPr>
        <w:noProof/>
        <w:color w:val="000000"/>
        <w:sz w:val="16"/>
        <w:szCs w:val="16"/>
      </w:rPr>
      <w:t>2</w:t>
    </w:r>
    <w:r>
      <w:rPr>
        <w:color w:val="000000"/>
        <w:sz w:val="16"/>
        <w:szCs w:val="16"/>
      </w:rPr>
      <w:fldChar w:fldCharType="end"/>
    </w:r>
  </w:p>
  <w:p w14:paraId="000001BB" w14:textId="77777777" w:rsidR="00EF5278" w:rsidRDefault="00EF5278">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40224" w14:textId="77777777" w:rsidR="001153E9" w:rsidRDefault="001153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93AE3" w14:textId="77777777" w:rsidR="00681319" w:rsidRDefault="00681319">
      <w:r>
        <w:separator/>
      </w:r>
    </w:p>
  </w:footnote>
  <w:footnote w:type="continuationSeparator" w:id="0">
    <w:p w14:paraId="73E47F41" w14:textId="77777777" w:rsidR="00681319" w:rsidRDefault="00681319">
      <w:r>
        <w:continuationSeparator/>
      </w:r>
    </w:p>
  </w:footnote>
  <w:footnote w:id="1">
    <w:p w14:paraId="3EDAFC95" w14:textId="3E4B1828" w:rsidR="00323391" w:rsidRDefault="00323391">
      <w:pPr>
        <w:pStyle w:val="Notedebasdepage"/>
      </w:pPr>
      <w:r>
        <w:rPr>
          <w:rStyle w:val="Appelnotedebasdep"/>
        </w:rPr>
        <w:footnoteRef/>
      </w:r>
      <w:r>
        <w:t xml:space="preserve"> </w:t>
      </w:r>
      <w:hyperlink r:id="rId1" w:anchor=":~:text=En%202021%2C%208%2C8%20millions,47%20%25%20des%20d%C3%A9chets%20alimentaires%20totaux" w:history="1">
        <w:r w:rsidRPr="006A1700">
          <w:rPr>
            <w:rStyle w:val="Lienhypertexte"/>
          </w:rPr>
          <w:t>https://agriculture.gouv.fr/gaspillage-alimentaire-des-nouvelles-donnees-pour-la-france#:~:text=En%202021%2C%208%2C8%20millions,47%20%25%20des%20d%C3%A9chets%20alimentaires%20totaux</w:t>
        </w:r>
      </w:hyperlink>
      <w:r w:rsidRPr="00323391">
        <w:t>.</w:t>
      </w:r>
      <w:r>
        <w:t xml:space="preserve"> </w:t>
      </w:r>
    </w:p>
  </w:footnote>
  <w:footnote w:id="2">
    <w:p w14:paraId="000001B4" w14:textId="77777777" w:rsidR="00EF5278" w:rsidRDefault="00CC0084">
      <w:pPr>
        <w:pBdr>
          <w:top w:val="nil"/>
          <w:left w:val="nil"/>
          <w:bottom w:val="nil"/>
          <w:right w:val="nil"/>
          <w:between w:val="nil"/>
        </w:pBdr>
        <w:rPr>
          <w:color w:val="000000"/>
        </w:rPr>
      </w:pPr>
      <w:r>
        <w:rPr>
          <w:vertAlign w:val="superscript"/>
        </w:rPr>
        <w:footnoteRef/>
      </w:r>
      <w:r>
        <w:rPr>
          <w:color w:val="000000"/>
        </w:rPr>
        <w:t xml:space="preserve"> Si l’étude est faite en interne à la structure porteuse du projet (pas d’accompagnement via un prestataire externe), celle-ci ne pourra pas faire l’objet d’une aide financière à cette phase 1. Elle devra cependant respecter les attendus du modèle de cahier des charges en annexe pour être valable en cas de candidature à la phase 2.</w:t>
      </w:r>
    </w:p>
  </w:footnote>
  <w:footnote w:id="3">
    <w:p w14:paraId="000001B5" w14:textId="77777777" w:rsidR="00EF5278" w:rsidRDefault="00CC0084">
      <w:pPr>
        <w:pBdr>
          <w:top w:val="nil"/>
          <w:left w:val="nil"/>
          <w:bottom w:val="nil"/>
          <w:right w:val="nil"/>
          <w:between w:val="nil"/>
        </w:pBdr>
        <w:rPr>
          <w:color w:val="000000"/>
        </w:rPr>
      </w:pPr>
      <w:r>
        <w:rPr>
          <w:vertAlign w:val="superscript"/>
        </w:rPr>
        <w:footnoteRef/>
      </w:r>
      <w:r>
        <w:rPr>
          <w:color w:val="000000"/>
        </w:rPr>
        <w:t xml:space="preserve"> Il sera possible de se référer à l’étude ADEME : </w:t>
      </w:r>
      <w:hyperlink r:id="rId2">
        <w:r>
          <w:rPr>
            <w:color w:val="2E75B5"/>
            <w:u w:val="single"/>
          </w:rPr>
          <w:t>http://www.ademe.fr/inventaire-performances-technologies-deconditionnement-biodechets</w:t>
        </w:r>
      </w:hyperlink>
      <w:r>
        <w:rPr>
          <w:rFonts w:ascii="Arial" w:eastAsia="Arial" w:hAnsi="Arial" w:cs="Arial"/>
          <w:color w:val="000000"/>
        </w:rPr>
        <w:t> </w:t>
      </w:r>
    </w:p>
  </w:footnote>
  <w:footnote w:id="4">
    <w:p w14:paraId="000001B6" w14:textId="77777777" w:rsidR="00EF5278" w:rsidRDefault="00CC0084">
      <w:pPr>
        <w:pBdr>
          <w:top w:val="nil"/>
          <w:left w:val="nil"/>
          <w:bottom w:val="nil"/>
          <w:right w:val="nil"/>
          <w:between w:val="nil"/>
        </w:pBdr>
        <w:jc w:val="left"/>
        <w:rPr>
          <w:color w:val="000000"/>
        </w:rPr>
      </w:pPr>
      <w:r>
        <w:rPr>
          <w:vertAlign w:val="superscript"/>
        </w:rPr>
        <w:footnoteRef/>
      </w:r>
      <w:r>
        <w:rPr>
          <w:color w:val="000000"/>
        </w:rPr>
        <w:t xml:space="preserve"> Se référer au guide ADEME : Agrément sanitaire pour le traitement des sous-produits animaux carnés / mai 2018</w:t>
      </w:r>
    </w:p>
  </w:footnote>
  <w:footnote w:id="5">
    <w:p w14:paraId="000001B7" w14:textId="77777777" w:rsidR="00EF5278" w:rsidRDefault="00CC0084">
      <w:pPr>
        <w:pBdr>
          <w:top w:val="nil"/>
          <w:left w:val="nil"/>
          <w:bottom w:val="nil"/>
          <w:right w:val="nil"/>
          <w:between w:val="nil"/>
        </w:pBdr>
        <w:jc w:val="left"/>
        <w:rPr>
          <w:color w:val="000000"/>
        </w:rPr>
      </w:pPr>
      <w:r>
        <w:rPr>
          <w:vertAlign w:val="superscript"/>
        </w:rPr>
        <w:footnoteRef/>
      </w:r>
      <w:hyperlink r:id="rId3">
        <w:r>
          <w:rPr>
            <w:color w:val="0563C1"/>
            <w:u w:val="single"/>
          </w:rPr>
          <w:t>https://aida.ineris.fr/reglementation/2783-installation-deconditionnement-biodechets</w:t>
        </w:r>
      </w:hyperlink>
      <w:r>
        <w:rPr>
          <w:color w:val="000000"/>
        </w:rPr>
        <w:t xml:space="preserve"> </w:t>
      </w:r>
    </w:p>
  </w:footnote>
  <w:footnote w:id="6">
    <w:p w14:paraId="000001B8" w14:textId="77777777" w:rsidR="00EF5278" w:rsidRDefault="00CC0084">
      <w:pPr>
        <w:pBdr>
          <w:top w:val="nil"/>
          <w:left w:val="nil"/>
          <w:bottom w:val="nil"/>
          <w:right w:val="nil"/>
          <w:between w:val="nil"/>
        </w:pBdr>
        <w:jc w:val="left"/>
        <w:rPr>
          <w:color w:val="000000"/>
        </w:rPr>
      </w:pPr>
      <w:r>
        <w:rPr>
          <w:vertAlign w:val="superscript"/>
        </w:rPr>
        <w:footnoteRef/>
      </w:r>
      <w:hyperlink r:id="rId4">
        <w:r>
          <w:rPr>
            <w:color w:val="0563C1"/>
            <w:u w:val="single"/>
          </w:rPr>
          <w:t>https://aida.ineris.fr/reglementation/arrete-081211</w:t>
        </w:r>
      </w:hyperlink>
    </w:p>
  </w:footnote>
  <w:footnote w:id="7">
    <w:p w14:paraId="000001B9" w14:textId="77777777" w:rsidR="00EF5278" w:rsidRDefault="00CC0084">
      <w:pPr>
        <w:pBdr>
          <w:top w:val="nil"/>
          <w:left w:val="nil"/>
          <w:bottom w:val="nil"/>
          <w:right w:val="nil"/>
          <w:between w:val="nil"/>
        </w:pBdr>
        <w:jc w:val="left"/>
        <w:rPr>
          <w:color w:val="000000"/>
        </w:rPr>
      </w:pPr>
      <w:r>
        <w:rPr>
          <w:vertAlign w:val="superscript"/>
        </w:rPr>
        <w:footnoteRef/>
      </w:r>
      <w:r>
        <w:rPr>
          <w:color w:val="000000"/>
        </w:rPr>
        <w:t xml:space="preserve"> </w:t>
      </w:r>
      <w:hyperlink r:id="rId5">
        <w:r>
          <w:rPr>
            <w:color w:val="0563C1"/>
            <w:u w:val="single"/>
          </w:rPr>
          <w:t>https://aida.ineris.fr/consultation_document/10727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E535" w14:textId="77777777" w:rsidR="001153E9" w:rsidRDefault="001153E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65295" w14:textId="77777777" w:rsidR="001153E9" w:rsidRDefault="001153E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6FD9F" w14:textId="77777777" w:rsidR="001153E9" w:rsidRDefault="001153E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73FCA"/>
    <w:multiLevelType w:val="multilevel"/>
    <w:tmpl w:val="B1F47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487E9B"/>
    <w:multiLevelType w:val="multilevel"/>
    <w:tmpl w:val="9BDA8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4863EB"/>
    <w:multiLevelType w:val="multilevel"/>
    <w:tmpl w:val="FD2895DC"/>
    <w:lvl w:ilvl="0">
      <w:start w:val="1"/>
      <w:numFmt w:val="bullet"/>
      <w:pStyle w:val="Puce2"/>
      <w:lvlText w:val="o"/>
      <w:lvlJc w:val="left"/>
      <w:pPr>
        <w:ind w:left="1069" w:hanging="360"/>
      </w:pPr>
      <w:rPr>
        <w:rFonts w:ascii="Courier New" w:eastAsia="Courier New" w:hAnsi="Courier New" w:cs="Courier New"/>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 w15:restartNumberingAfterBreak="0">
    <w:nsid w:val="2D6838B6"/>
    <w:multiLevelType w:val="multilevel"/>
    <w:tmpl w:val="D51C4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501684"/>
    <w:multiLevelType w:val="multilevel"/>
    <w:tmpl w:val="01DE1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7C09CA"/>
    <w:multiLevelType w:val="multilevel"/>
    <w:tmpl w:val="99C46C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BAC702F"/>
    <w:multiLevelType w:val="multilevel"/>
    <w:tmpl w:val="0884F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C1361F1"/>
    <w:multiLevelType w:val="multilevel"/>
    <w:tmpl w:val="71A6595A"/>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8" w15:restartNumberingAfterBreak="0">
    <w:nsid w:val="437241BA"/>
    <w:multiLevelType w:val="multilevel"/>
    <w:tmpl w:val="9F760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31709B"/>
    <w:multiLevelType w:val="multilevel"/>
    <w:tmpl w:val="5936BEB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BD60DB9"/>
    <w:multiLevelType w:val="multilevel"/>
    <w:tmpl w:val="25B283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5A9712D"/>
    <w:multiLevelType w:val="multilevel"/>
    <w:tmpl w:val="2D266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547D4B"/>
    <w:multiLevelType w:val="multilevel"/>
    <w:tmpl w:val="FFDE9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BC1E9E"/>
    <w:multiLevelType w:val="multilevel"/>
    <w:tmpl w:val="9114337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5A302C6E"/>
    <w:multiLevelType w:val="multilevel"/>
    <w:tmpl w:val="7DCC9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713DB2"/>
    <w:multiLevelType w:val="multilevel"/>
    <w:tmpl w:val="2E10796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o"/>
      <w:lvlJc w:val="left"/>
      <w:pPr>
        <w:ind w:left="1480" w:hanging="360"/>
      </w:pPr>
      <w:rPr>
        <w:rFonts w:ascii="Courier New" w:eastAsia="Courier New" w:hAnsi="Courier New" w:cs="Courier New"/>
      </w:rPr>
    </w:lvl>
    <w:lvl w:ilvl="2">
      <w:start w:val="1"/>
      <w:numFmt w:val="bullet"/>
      <w:lvlText w:val="▪"/>
      <w:lvlJc w:val="left"/>
      <w:pPr>
        <w:ind w:left="2200" w:hanging="360"/>
      </w:pPr>
      <w:rPr>
        <w:rFonts w:ascii="Noto Sans Symbols" w:eastAsia="Noto Sans Symbols" w:hAnsi="Noto Sans Symbols" w:cs="Noto Sans Symbols"/>
      </w:rPr>
    </w:lvl>
    <w:lvl w:ilvl="3">
      <w:start w:val="1"/>
      <w:numFmt w:val="bullet"/>
      <w:lvlText w:val="●"/>
      <w:lvlJc w:val="left"/>
      <w:pPr>
        <w:ind w:left="2920" w:hanging="360"/>
      </w:pPr>
      <w:rPr>
        <w:rFonts w:ascii="Noto Sans Symbols" w:eastAsia="Noto Sans Symbols" w:hAnsi="Noto Sans Symbols" w:cs="Noto Sans Symbols"/>
      </w:rPr>
    </w:lvl>
    <w:lvl w:ilvl="4">
      <w:start w:val="1"/>
      <w:numFmt w:val="bullet"/>
      <w:lvlText w:val="o"/>
      <w:lvlJc w:val="left"/>
      <w:pPr>
        <w:ind w:left="3640" w:hanging="360"/>
      </w:pPr>
      <w:rPr>
        <w:rFonts w:ascii="Courier New" w:eastAsia="Courier New" w:hAnsi="Courier New" w:cs="Courier New"/>
      </w:rPr>
    </w:lvl>
    <w:lvl w:ilvl="5">
      <w:start w:val="1"/>
      <w:numFmt w:val="bullet"/>
      <w:lvlText w:val="▪"/>
      <w:lvlJc w:val="left"/>
      <w:pPr>
        <w:ind w:left="4360" w:hanging="360"/>
      </w:pPr>
      <w:rPr>
        <w:rFonts w:ascii="Noto Sans Symbols" w:eastAsia="Noto Sans Symbols" w:hAnsi="Noto Sans Symbols" w:cs="Noto Sans Symbols"/>
      </w:rPr>
    </w:lvl>
    <w:lvl w:ilvl="6">
      <w:start w:val="1"/>
      <w:numFmt w:val="bullet"/>
      <w:lvlText w:val="●"/>
      <w:lvlJc w:val="left"/>
      <w:pPr>
        <w:ind w:left="5080" w:hanging="360"/>
      </w:pPr>
      <w:rPr>
        <w:rFonts w:ascii="Noto Sans Symbols" w:eastAsia="Noto Sans Symbols" w:hAnsi="Noto Sans Symbols" w:cs="Noto Sans Symbols"/>
      </w:rPr>
    </w:lvl>
    <w:lvl w:ilvl="7">
      <w:start w:val="1"/>
      <w:numFmt w:val="bullet"/>
      <w:lvlText w:val="o"/>
      <w:lvlJc w:val="left"/>
      <w:pPr>
        <w:ind w:left="5800" w:hanging="360"/>
      </w:pPr>
      <w:rPr>
        <w:rFonts w:ascii="Courier New" w:eastAsia="Courier New" w:hAnsi="Courier New" w:cs="Courier New"/>
      </w:rPr>
    </w:lvl>
    <w:lvl w:ilvl="8">
      <w:start w:val="1"/>
      <w:numFmt w:val="bullet"/>
      <w:lvlText w:val="▪"/>
      <w:lvlJc w:val="left"/>
      <w:pPr>
        <w:ind w:left="6520" w:hanging="360"/>
      </w:pPr>
      <w:rPr>
        <w:rFonts w:ascii="Noto Sans Symbols" w:eastAsia="Noto Sans Symbols" w:hAnsi="Noto Sans Symbols" w:cs="Noto Sans Symbols"/>
      </w:rPr>
    </w:lvl>
  </w:abstractNum>
  <w:abstractNum w:abstractNumId="16" w15:restartNumberingAfterBreak="0">
    <w:nsid w:val="60D22F1E"/>
    <w:multiLevelType w:val="multilevel"/>
    <w:tmpl w:val="C1B84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D995B6E"/>
    <w:multiLevelType w:val="multilevel"/>
    <w:tmpl w:val="B69872B4"/>
    <w:lvl w:ilvl="0">
      <w:numFmt w:val="bullet"/>
      <w:lvlText w:val="-"/>
      <w:lvlJc w:val="left"/>
      <w:pPr>
        <w:ind w:left="1776" w:hanging="360"/>
      </w:pPr>
      <w:rPr>
        <w:rFonts w:ascii="Calibri" w:eastAsia="Calibri" w:hAnsi="Calibri" w:cs="Calibri"/>
      </w:rPr>
    </w:lvl>
    <w:lvl w:ilvl="1">
      <w:start w:val="1"/>
      <w:numFmt w:val="bullet"/>
      <w:pStyle w:val="Titre2"/>
      <w:lvlText w:val="o"/>
      <w:lvlJc w:val="left"/>
      <w:pPr>
        <w:ind w:left="2496" w:hanging="360"/>
      </w:pPr>
      <w:rPr>
        <w:rFonts w:ascii="Courier New" w:eastAsia="Courier New" w:hAnsi="Courier New" w:cs="Courier New"/>
      </w:rPr>
    </w:lvl>
    <w:lvl w:ilvl="2">
      <w:start w:val="1"/>
      <w:numFmt w:val="bullet"/>
      <w:pStyle w:val="Titre3"/>
      <w:lvlText w:val="▪"/>
      <w:lvlJc w:val="left"/>
      <w:pPr>
        <w:ind w:left="3216" w:hanging="360"/>
      </w:pPr>
      <w:rPr>
        <w:rFonts w:ascii="Noto Sans Symbols" w:eastAsia="Noto Sans Symbols" w:hAnsi="Noto Sans Symbols" w:cs="Noto Sans Symbols"/>
      </w:rPr>
    </w:lvl>
    <w:lvl w:ilvl="3">
      <w:start w:val="1"/>
      <w:numFmt w:val="bullet"/>
      <w:pStyle w:val="Titre4"/>
      <w:lvlText w:val="●"/>
      <w:lvlJc w:val="left"/>
      <w:pPr>
        <w:ind w:left="3936" w:hanging="360"/>
      </w:pPr>
      <w:rPr>
        <w:rFonts w:ascii="Noto Sans Symbols" w:eastAsia="Noto Sans Symbols" w:hAnsi="Noto Sans Symbols" w:cs="Noto Sans Symbols"/>
      </w:rPr>
    </w:lvl>
    <w:lvl w:ilvl="4">
      <w:start w:val="1"/>
      <w:numFmt w:val="bullet"/>
      <w:pStyle w:val="Titre5"/>
      <w:lvlText w:val="o"/>
      <w:lvlJc w:val="left"/>
      <w:pPr>
        <w:ind w:left="4656" w:hanging="360"/>
      </w:pPr>
      <w:rPr>
        <w:rFonts w:ascii="Courier New" w:eastAsia="Courier New" w:hAnsi="Courier New" w:cs="Courier New"/>
      </w:rPr>
    </w:lvl>
    <w:lvl w:ilvl="5">
      <w:start w:val="1"/>
      <w:numFmt w:val="bullet"/>
      <w:pStyle w:val="Titre6"/>
      <w:lvlText w:val="▪"/>
      <w:lvlJc w:val="left"/>
      <w:pPr>
        <w:ind w:left="5376" w:hanging="360"/>
      </w:pPr>
      <w:rPr>
        <w:rFonts w:ascii="Noto Sans Symbols" w:eastAsia="Noto Sans Symbols" w:hAnsi="Noto Sans Symbols" w:cs="Noto Sans Symbols"/>
      </w:rPr>
    </w:lvl>
    <w:lvl w:ilvl="6">
      <w:start w:val="1"/>
      <w:numFmt w:val="bullet"/>
      <w:pStyle w:val="Titre7"/>
      <w:lvlText w:val="●"/>
      <w:lvlJc w:val="left"/>
      <w:pPr>
        <w:ind w:left="6096" w:hanging="360"/>
      </w:pPr>
      <w:rPr>
        <w:rFonts w:ascii="Noto Sans Symbols" w:eastAsia="Noto Sans Symbols" w:hAnsi="Noto Sans Symbols" w:cs="Noto Sans Symbols"/>
      </w:rPr>
    </w:lvl>
    <w:lvl w:ilvl="7">
      <w:start w:val="1"/>
      <w:numFmt w:val="bullet"/>
      <w:pStyle w:val="Titre8"/>
      <w:lvlText w:val="o"/>
      <w:lvlJc w:val="left"/>
      <w:pPr>
        <w:ind w:left="6816" w:hanging="360"/>
      </w:pPr>
      <w:rPr>
        <w:rFonts w:ascii="Courier New" w:eastAsia="Courier New" w:hAnsi="Courier New" w:cs="Courier New"/>
      </w:rPr>
    </w:lvl>
    <w:lvl w:ilvl="8">
      <w:start w:val="1"/>
      <w:numFmt w:val="bullet"/>
      <w:pStyle w:val="Titre9"/>
      <w:lvlText w:val="▪"/>
      <w:lvlJc w:val="left"/>
      <w:pPr>
        <w:ind w:left="7536" w:hanging="360"/>
      </w:pPr>
      <w:rPr>
        <w:rFonts w:ascii="Noto Sans Symbols" w:eastAsia="Noto Sans Symbols" w:hAnsi="Noto Sans Symbols" w:cs="Noto Sans Symbols"/>
      </w:rPr>
    </w:lvl>
  </w:abstractNum>
  <w:abstractNum w:abstractNumId="18" w15:restartNumberingAfterBreak="0">
    <w:nsid w:val="705366C4"/>
    <w:multiLevelType w:val="multilevel"/>
    <w:tmpl w:val="96F6F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2656E6E"/>
    <w:multiLevelType w:val="multilevel"/>
    <w:tmpl w:val="60A4D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89D607A"/>
    <w:multiLevelType w:val="multilevel"/>
    <w:tmpl w:val="E1A05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8E67365"/>
    <w:multiLevelType w:val="multilevel"/>
    <w:tmpl w:val="80BE77E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791E5643"/>
    <w:multiLevelType w:val="multilevel"/>
    <w:tmpl w:val="3D9C0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01103538">
    <w:abstractNumId w:val="17"/>
  </w:num>
  <w:num w:numId="2" w16cid:durableId="1341275397">
    <w:abstractNumId w:val="2"/>
  </w:num>
  <w:num w:numId="3" w16cid:durableId="2046978045">
    <w:abstractNumId w:val="15"/>
  </w:num>
  <w:num w:numId="4" w16cid:durableId="578830384">
    <w:abstractNumId w:val="19"/>
  </w:num>
  <w:num w:numId="5" w16cid:durableId="1677884530">
    <w:abstractNumId w:val="7"/>
  </w:num>
  <w:num w:numId="6" w16cid:durableId="188883265">
    <w:abstractNumId w:val="10"/>
  </w:num>
  <w:num w:numId="7" w16cid:durableId="1333947515">
    <w:abstractNumId w:val="3"/>
  </w:num>
  <w:num w:numId="8" w16cid:durableId="1646347757">
    <w:abstractNumId w:val="21"/>
  </w:num>
  <w:num w:numId="9" w16cid:durableId="1216815809">
    <w:abstractNumId w:val="6"/>
  </w:num>
  <w:num w:numId="10" w16cid:durableId="590045195">
    <w:abstractNumId w:val="0"/>
  </w:num>
  <w:num w:numId="11" w16cid:durableId="518086826">
    <w:abstractNumId w:val="11"/>
  </w:num>
  <w:num w:numId="12" w16cid:durableId="1671299102">
    <w:abstractNumId w:val="18"/>
  </w:num>
  <w:num w:numId="13" w16cid:durableId="487331726">
    <w:abstractNumId w:val="20"/>
  </w:num>
  <w:num w:numId="14" w16cid:durableId="216162237">
    <w:abstractNumId w:val="22"/>
  </w:num>
  <w:num w:numId="15" w16cid:durableId="31541038">
    <w:abstractNumId w:val="14"/>
  </w:num>
  <w:num w:numId="16" w16cid:durableId="645741330">
    <w:abstractNumId w:val="9"/>
  </w:num>
  <w:num w:numId="17" w16cid:durableId="2137678774">
    <w:abstractNumId w:val="12"/>
  </w:num>
  <w:num w:numId="18" w16cid:durableId="2109158696">
    <w:abstractNumId w:val="8"/>
  </w:num>
  <w:num w:numId="19" w16cid:durableId="657005021">
    <w:abstractNumId w:val="4"/>
  </w:num>
  <w:num w:numId="20" w16cid:durableId="1903784340">
    <w:abstractNumId w:val="1"/>
  </w:num>
  <w:num w:numId="21" w16cid:durableId="821117840">
    <w:abstractNumId w:val="16"/>
  </w:num>
  <w:num w:numId="22" w16cid:durableId="2092240946">
    <w:abstractNumId w:val="13"/>
  </w:num>
  <w:num w:numId="23" w16cid:durableId="666594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78"/>
    <w:rsid w:val="00077016"/>
    <w:rsid w:val="001153E9"/>
    <w:rsid w:val="001170F6"/>
    <w:rsid w:val="001816C9"/>
    <w:rsid w:val="001B01CC"/>
    <w:rsid w:val="001B3516"/>
    <w:rsid w:val="002051D7"/>
    <w:rsid w:val="00310DED"/>
    <w:rsid w:val="00323391"/>
    <w:rsid w:val="00325A5A"/>
    <w:rsid w:val="003F22F8"/>
    <w:rsid w:val="004109E4"/>
    <w:rsid w:val="00461E27"/>
    <w:rsid w:val="004B7883"/>
    <w:rsid w:val="004C4879"/>
    <w:rsid w:val="005333FA"/>
    <w:rsid w:val="005534CD"/>
    <w:rsid w:val="006253AA"/>
    <w:rsid w:val="00681319"/>
    <w:rsid w:val="007B0457"/>
    <w:rsid w:val="007B05B2"/>
    <w:rsid w:val="0080686C"/>
    <w:rsid w:val="00816DDB"/>
    <w:rsid w:val="00835406"/>
    <w:rsid w:val="008A72F4"/>
    <w:rsid w:val="008D5CC6"/>
    <w:rsid w:val="008D74C1"/>
    <w:rsid w:val="0096501F"/>
    <w:rsid w:val="0099690B"/>
    <w:rsid w:val="009B3240"/>
    <w:rsid w:val="00A04C23"/>
    <w:rsid w:val="00C101E1"/>
    <w:rsid w:val="00C661C2"/>
    <w:rsid w:val="00CC0084"/>
    <w:rsid w:val="00DA1900"/>
    <w:rsid w:val="00E206FB"/>
    <w:rsid w:val="00E21B74"/>
    <w:rsid w:val="00E21F1D"/>
    <w:rsid w:val="00E3789C"/>
    <w:rsid w:val="00E749A5"/>
    <w:rsid w:val="00EF52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D444"/>
  <w15:docId w15:val="{A89C449F-8353-4E65-923A-A1A17D0D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EB7"/>
  </w:style>
  <w:style w:type="paragraph" w:styleId="Titre1">
    <w:name w:val="heading 1"/>
    <w:basedOn w:val="Normal"/>
    <w:next w:val="Normal"/>
    <w:link w:val="Titre1Car"/>
    <w:uiPriority w:val="9"/>
    <w:qFormat/>
    <w:rsid w:val="00001C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7223AD"/>
    <w:pPr>
      <w:keepNext/>
      <w:keepLines/>
      <w:numPr>
        <w:ilvl w:val="1"/>
        <w:numId w:val="1"/>
      </w:numPr>
      <w:shd w:val="clear" w:color="auto" w:fill="323E4F" w:themeFill="text2" w:themeFillShade="BF"/>
      <w:spacing w:before="200"/>
      <w:ind w:left="284" w:hanging="284"/>
      <w:outlineLvl w:val="1"/>
    </w:pPr>
    <w:rPr>
      <w:rFonts w:eastAsiaTheme="majorEastAsia" w:cstheme="majorBidi"/>
      <w:b/>
      <w:bCs/>
      <w:color w:val="FFFFFF" w:themeColor="background1"/>
      <w:sz w:val="26"/>
      <w:szCs w:val="26"/>
    </w:rPr>
  </w:style>
  <w:style w:type="paragraph" w:styleId="Titre3">
    <w:name w:val="heading 3"/>
    <w:basedOn w:val="Normal"/>
    <w:next w:val="Normal"/>
    <w:link w:val="Titre3Car"/>
    <w:uiPriority w:val="9"/>
    <w:unhideWhenUsed/>
    <w:qFormat/>
    <w:rsid w:val="008D5CE8"/>
    <w:pPr>
      <w:keepNext/>
      <w:keepLines/>
      <w:numPr>
        <w:ilvl w:val="2"/>
        <w:numId w:val="1"/>
      </w:numPr>
      <w:spacing w:before="40" w:after="240"/>
      <w:outlineLvl w:val="2"/>
    </w:pPr>
    <w:rPr>
      <w:rFonts w:asciiTheme="majorHAnsi" w:eastAsiaTheme="majorEastAsia" w:hAnsiTheme="majorHAnsi" w:cstheme="majorBidi"/>
      <w:b/>
      <w:noProof/>
      <w:color w:val="323E4F" w:themeColor="text2" w:themeShade="BF"/>
      <w:sz w:val="24"/>
      <w:szCs w:val="24"/>
    </w:rPr>
  </w:style>
  <w:style w:type="paragraph" w:styleId="Titre4">
    <w:name w:val="heading 4"/>
    <w:basedOn w:val="Normal"/>
    <w:next w:val="Normal"/>
    <w:link w:val="Titre4Car"/>
    <w:uiPriority w:val="9"/>
    <w:unhideWhenUsed/>
    <w:qFormat/>
    <w:rsid w:val="00247AA6"/>
    <w:pPr>
      <w:keepNext/>
      <w:keepLines/>
      <w:numPr>
        <w:ilvl w:val="3"/>
        <w:numId w:val="1"/>
      </w:numPr>
      <w:spacing w:before="40"/>
      <w:outlineLvl w:val="3"/>
    </w:pPr>
    <w:rPr>
      <w:rFonts w:asciiTheme="majorHAnsi" w:eastAsiaTheme="majorEastAsia" w:hAnsiTheme="majorHAnsi" w:cstheme="majorBidi"/>
      <w:iCs/>
      <w:color w:val="2E74B5" w:themeColor="accent1" w:themeShade="BF"/>
      <w:sz w:val="22"/>
    </w:rPr>
  </w:style>
  <w:style w:type="paragraph" w:styleId="Titre5">
    <w:name w:val="heading 5"/>
    <w:basedOn w:val="Normal"/>
    <w:next w:val="Normal"/>
    <w:link w:val="Titre5Car"/>
    <w:uiPriority w:val="9"/>
    <w:semiHidden/>
    <w:unhideWhenUsed/>
    <w:qFormat/>
    <w:rsid w:val="00660AA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660AA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660AA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660AA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60AA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uiPriority w:val="9"/>
    <w:rsid w:val="00001C6D"/>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7223AD"/>
    <w:rPr>
      <w:rFonts w:eastAsiaTheme="majorEastAsia" w:cstheme="majorBidi"/>
      <w:b/>
      <w:bCs/>
      <w:color w:val="FFFFFF" w:themeColor="background1"/>
      <w:sz w:val="26"/>
      <w:szCs w:val="26"/>
      <w:shd w:val="clear" w:color="auto" w:fill="323E4F" w:themeFill="text2" w:themeFillShade="BF"/>
    </w:rPr>
  </w:style>
  <w:style w:type="character" w:customStyle="1" w:styleId="Titre3Car">
    <w:name w:val="Titre 3 Car"/>
    <w:basedOn w:val="Policepardfaut"/>
    <w:link w:val="Titre3"/>
    <w:uiPriority w:val="9"/>
    <w:rsid w:val="008D5CE8"/>
    <w:rPr>
      <w:rFonts w:asciiTheme="majorHAnsi" w:eastAsiaTheme="majorEastAsia" w:hAnsiTheme="majorHAnsi" w:cstheme="majorBidi"/>
      <w:b/>
      <w:noProof/>
      <w:color w:val="323E4F" w:themeColor="text2" w:themeShade="BF"/>
      <w:sz w:val="24"/>
      <w:szCs w:val="24"/>
      <w:lang w:eastAsia="fr-FR"/>
    </w:rPr>
  </w:style>
  <w:style w:type="character" w:customStyle="1" w:styleId="Titre4Car">
    <w:name w:val="Titre 4 Car"/>
    <w:basedOn w:val="Policepardfaut"/>
    <w:link w:val="Titre4"/>
    <w:uiPriority w:val="9"/>
    <w:rsid w:val="00247AA6"/>
    <w:rPr>
      <w:rFonts w:asciiTheme="majorHAnsi" w:eastAsiaTheme="majorEastAsia" w:hAnsiTheme="majorHAnsi" w:cstheme="majorBidi"/>
      <w:iCs/>
      <w:color w:val="2E74B5" w:themeColor="accent1" w:themeShade="BF"/>
    </w:rPr>
  </w:style>
  <w:style w:type="character" w:customStyle="1" w:styleId="Titre5Car">
    <w:name w:val="Titre 5 Car"/>
    <w:basedOn w:val="Policepardfaut"/>
    <w:link w:val="Titre5"/>
    <w:uiPriority w:val="9"/>
    <w:semiHidden/>
    <w:rsid w:val="00660AA8"/>
    <w:rPr>
      <w:rFonts w:asciiTheme="majorHAnsi" w:eastAsiaTheme="majorEastAsia" w:hAnsiTheme="majorHAnsi" w:cstheme="majorBidi"/>
      <w:color w:val="2E74B5" w:themeColor="accent1" w:themeShade="BF"/>
      <w:sz w:val="20"/>
    </w:rPr>
  </w:style>
  <w:style w:type="character" w:customStyle="1" w:styleId="Titre6Car">
    <w:name w:val="Titre 6 Car"/>
    <w:basedOn w:val="Policepardfaut"/>
    <w:link w:val="Titre6"/>
    <w:uiPriority w:val="9"/>
    <w:semiHidden/>
    <w:rsid w:val="00660AA8"/>
    <w:rPr>
      <w:rFonts w:asciiTheme="majorHAnsi" w:eastAsiaTheme="majorEastAsia" w:hAnsiTheme="majorHAnsi" w:cstheme="majorBidi"/>
      <w:color w:val="1F4D78" w:themeColor="accent1" w:themeShade="7F"/>
      <w:sz w:val="20"/>
    </w:rPr>
  </w:style>
  <w:style w:type="character" w:customStyle="1" w:styleId="Titre7Car">
    <w:name w:val="Titre 7 Car"/>
    <w:basedOn w:val="Policepardfaut"/>
    <w:link w:val="Titre7"/>
    <w:uiPriority w:val="9"/>
    <w:semiHidden/>
    <w:rsid w:val="00660AA8"/>
    <w:rPr>
      <w:rFonts w:asciiTheme="majorHAnsi" w:eastAsiaTheme="majorEastAsia" w:hAnsiTheme="majorHAnsi" w:cstheme="majorBidi"/>
      <w:i/>
      <w:iCs/>
      <w:color w:val="1F4D78" w:themeColor="accent1" w:themeShade="7F"/>
      <w:sz w:val="20"/>
    </w:rPr>
  </w:style>
  <w:style w:type="character" w:customStyle="1" w:styleId="Titre8Car">
    <w:name w:val="Titre 8 Car"/>
    <w:basedOn w:val="Policepardfaut"/>
    <w:link w:val="Titre8"/>
    <w:uiPriority w:val="9"/>
    <w:semiHidden/>
    <w:rsid w:val="00660AA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60AA8"/>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link w:val="ParagraphedelisteCar"/>
    <w:uiPriority w:val="34"/>
    <w:qFormat/>
    <w:rsid w:val="00660AA8"/>
    <w:pPr>
      <w:ind w:left="720"/>
      <w:contextualSpacing/>
    </w:pPr>
  </w:style>
  <w:style w:type="paragraph" w:styleId="Pieddepage">
    <w:name w:val="footer"/>
    <w:basedOn w:val="Normal"/>
    <w:link w:val="PieddepageCar"/>
    <w:uiPriority w:val="99"/>
    <w:unhideWhenUsed/>
    <w:rsid w:val="00660AA8"/>
    <w:pPr>
      <w:tabs>
        <w:tab w:val="center" w:pos="4536"/>
        <w:tab w:val="right" w:pos="9072"/>
      </w:tabs>
    </w:pPr>
  </w:style>
  <w:style w:type="character" w:customStyle="1" w:styleId="PieddepageCar">
    <w:name w:val="Pied de page Car"/>
    <w:basedOn w:val="Policepardfaut"/>
    <w:link w:val="Pieddepage"/>
    <w:uiPriority w:val="99"/>
    <w:rsid w:val="00660AA8"/>
  </w:style>
  <w:style w:type="character" w:styleId="Accentuationintense">
    <w:name w:val="Intense Emphasis"/>
    <w:basedOn w:val="Policepardfaut"/>
    <w:uiPriority w:val="21"/>
    <w:qFormat/>
    <w:rsid w:val="00660AA8"/>
    <w:rPr>
      <w:i/>
      <w:iCs/>
      <w:color w:val="5B9BD5" w:themeColor="accent1"/>
    </w:rPr>
  </w:style>
  <w:style w:type="paragraph" w:styleId="En-tte">
    <w:name w:val="header"/>
    <w:basedOn w:val="Normal"/>
    <w:link w:val="En-tteCar"/>
    <w:uiPriority w:val="99"/>
    <w:unhideWhenUsed/>
    <w:rsid w:val="00013659"/>
    <w:pPr>
      <w:tabs>
        <w:tab w:val="center" w:pos="4536"/>
        <w:tab w:val="right" w:pos="9072"/>
      </w:tabs>
    </w:pPr>
  </w:style>
  <w:style w:type="character" w:customStyle="1" w:styleId="En-tteCar">
    <w:name w:val="En-tête Car"/>
    <w:basedOn w:val="Policepardfaut"/>
    <w:link w:val="En-tte"/>
    <w:uiPriority w:val="99"/>
    <w:rsid w:val="00013659"/>
    <w:rPr>
      <w:sz w:val="20"/>
    </w:rPr>
  </w:style>
  <w:style w:type="table" w:styleId="Grilledutableau">
    <w:name w:val="Table Grid"/>
    <w:basedOn w:val="TableauNormal"/>
    <w:rsid w:val="004C2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75F23"/>
    <w:rPr>
      <w:sz w:val="16"/>
      <w:szCs w:val="16"/>
    </w:rPr>
  </w:style>
  <w:style w:type="paragraph" w:styleId="Commentaire">
    <w:name w:val="annotation text"/>
    <w:basedOn w:val="Normal"/>
    <w:link w:val="CommentaireCar"/>
    <w:uiPriority w:val="99"/>
    <w:unhideWhenUsed/>
    <w:rsid w:val="00C75F23"/>
  </w:style>
  <w:style w:type="character" w:customStyle="1" w:styleId="CommentaireCar">
    <w:name w:val="Commentaire Car"/>
    <w:basedOn w:val="Policepardfaut"/>
    <w:link w:val="Commentaire"/>
    <w:uiPriority w:val="99"/>
    <w:rsid w:val="00C75F23"/>
    <w:rPr>
      <w:sz w:val="20"/>
      <w:szCs w:val="20"/>
    </w:rPr>
  </w:style>
  <w:style w:type="paragraph" w:styleId="Objetducommentaire">
    <w:name w:val="annotation subject"/>
    <w:basedOn w:val="Commentaire"/>
    <w:next w:val="Commentaire"/>
    <w:link w:val="ObjetducommentaireCar"/>
    <w:uiPriority w:val="99"/>
    <w:semiHidden/>
    <w:unhideWhenUsed/>
    <w:rsid w:val="00C75F23"/>
    <w:rPr>
      <w:b/>
      <w:bCs/>
    </w:rPr>
  </w:style>
  <w:style w:type="character" w:customStyle="1" w:styleId="ObjetducommentaireCar">
    <w:name w:val="Objet du commentaire Car"/>
    <w:basedOn w:val="CommentaireCar"/>
    <w:link w:val="Objetducommentaire"/>
    <w:uiPriority w:val="99"/>
    <w:semiHidden/>
    <w:rsid w:val="00C75F23"/>
    <w:rPr>
      <w:b/>
      <w:bCs/>
      <w:sz w:val="20"/>
      <w:szCs w:val="20"/>
    </w:rPr>
  </w:style>
  <w:style w:type="paragraph" w:styleId="Textedebulles">
    <w:name w:val="Balloon Text"/>
    <w:basedOn w:val="Normal"/>
    <w:link w:val="TextedebullesCar"/>
    <w:uiPriority w:val="99"/>
    <w:semiHidden/>
    <w:unhideWhenUsed/>
    <w:rsid w:val="00C75F23"/>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5F23"/>
    <w:rPr>
      <w:rFonts w:ascii="Segoe UI" w:hAnsi="Segoe UI" w:cs="Segoe UI"/>
      <w:sz w:val="18"/>
      <w:szCs w:val="18"/>
    </w:rPr>
  </w:style>
  <w:style w:type="paragraph" w:styleId="Rvision">
    <w:name w:val="Revision"/>
    <w:hidden/>
    <w:uiPriority w:val="99"/>
    <w:semiHidden/>
    <w:rsid w:val="00181BE0"/>
  </w:style>
  <w:style w:type="character" w:styleId="Lienhypertexte">
    <w:name w:val="Hyperlink"/>
    <w:basedOn w:val="Policepardfaut"/>
    <w:uiPriority w:val="99"/>
    <w:unhideWhenUsed/>
    <w:rsid w:val="007E2202"/>
    <w:rPr>
      <w:color w:val="0563C1" w:themeColor="hyperlink"/>
      <w:u w:val="single"/>
    </w:rPr>
  </w:style>
  <w:style w:type="paragraph" w:styleId="En-ttedetabledesmatires">
    <w:name w:val="TOC Heading"/>
    <w:basedOn w:val="Titre1"/>
    <w:next w:val="Normal"/>
    <w:uiPriority w:val="39"/>
    <w:unhideWhenUsed/>
    <w:qFormat/>
    <w:rsid w:val="007E2202"/>
    <w:pPr>
      <w:spacing w:before="240" w:line="259" w:lineRule="auto"/>
      <w:jc w:val="left"/>
      <w:outlineLvl w:val="9"/>
    </w:pPr>
    <w:rPr>
      <w:b w:val="0"/>
      <w:bCs w:val="0"/>
      <w:sz w:val="32"/>
      <w:szCs w:val="32"/>
    </w:rPr>
  </w:style>
  <w:style w:type="paragraph" w:styleId="TM1">
    <w:name w:val="toc 1"/>
    <w:basedOn w:val="Normal"/>
    <w:next w:val="Normal"/>
    <w:autoRedefine/>
    <w:uiPriority w:val="39"/>
    <w:unhideWhenUsed/>
    <w:rsid w:val="007E2202"/>
    <w:pPr>
      <w:tabs>
        <w:tab w:val="left" w:pos="284"/>
        <w:tab w:val="right" w:leader="dot" w:pos="9346"/>
      </w:tabs>
      <w:spacing w:after="100" w:line="276" w:lineRule="auto"/>
      <w:jc w:val="left"/>
    </w:pPr>
    <w:rPr>
      <w:sz w:val="22"/>
    </w:rPr>
  </w:style>
  <w:style w:type="paragraph" w:styleId="Notedebasdepage">
    <w:name w:val="footnote text"/>
    <w:basedOn w:val="Normal"/>
    <w:link w:val="NotedebasdepageCar"/>
    <w:uiPriority w:val="99"/>
    <w:semiHidden/>
    <w:unhideWhenUsed/>
    <w:rsid w:val="00D41AD8"/>
    <w:pPr>
      <w:jc w:val="left"/>
    </w:pPr>
  </w:style>
  <w:style w:type="character" w:customStyle="1" w:styleId="NotedebasdepageCar">
    <w:name w:val="Note de bas de page Car"/>
    <w:basedOn w:val="Policepardfaut"/>
    <w:link w:val="Notedebasdepage"/>
    <w:uiPriority w:val="99"/>
    <w:semiHidden/>
    <w:rsid w:val="00D41AD8"/>
    <w:rPr>
      <w:sz w:val="20"/>
      <w:szCs w:val="20"/>
    </w:rPr>
  </w:style>
  <w:style w:type="character" w:styleId="Appelnotedebasdep">
    <w:name w:val="footnote reference"/>
    <w:basedOn w:val="Policepardfaut"/>
    <w:uiPriority w:val="99"/>
    <w:semiHidden/>
    <w:unhideWhenUsed/>
    <w:rsid w:val="00D41AD8"/>
    <w:rPr>
      <w:vertAlign w:val="superscript"/>
    </w:rPr>
  </w:style>
  <w:style w:type="character" w:customStyle="1" w:styleId="ParagraphedelisteCar">
    <w:name w:val="Paragraphe de liste Car"/>
    <w:link w:val="Paragraphedeliste"/>
    <w:uiPriority w:val="34"/>
    <w:locked/>
    <w:rsid w:val="00C477EA"/>
    <w:rPr>
      <w:sz w:val="20"/>
    </w:rPr>
  </w:style>
  <w:style w:type="paragraph" w:customStyle="1" w:styleId="Puce2">
    <w:name w:val="Puce 2"/>
    <w:basedOn w:val="Normal"/>
    <w:link w:val="Puce2Car"/>
    <w:rsid w:val="00BD1B25"/>
    <w:pPr>
      <w:numPr>
        <w:numId w:val="2"/>
      </w:numPr>
      <w:spacing w:line="288" w:lineRule="auto"/>
      <w:jc w:val="left"/>
    </w:pPr>
    <w:rPr>
      <w:rFonts w:ascii="Georgia" w:eastAsia="Times New Roman" w:hAnsi="Georgia" w:cs="Times New Roman"/>
      <w:szCs w:val="24"/>
    </w:rPr>
  </w:style>
  <w:style w:type="character" w:customStyle="1" w:styleId="Puce2Car">
    <w:name w:val="Puce 2 Car"/>
    <w:basedOn w:val="Policepardfaut"/>
    <w:link w:val="Puce2"/>
    <w:rsid w:val="00BD1B25"/>
    <w:rPr>
      <w:rFonts w:ascii="Georgia" w:eastAsia="Times New Roman" w:hAnsi="Georgia" w:cs="Times New Roman"/>
      <w:sz w:val="20"/>
      <w:szCs w:val="24"/>
      <w:lang w:eastAsia="fr-FR"/>
    </w:rPr>
  </w:style>
  <w:style w:type="paragraph" w:customStyle="1" w:styleId="Default">
    <w:name w:val="Default"/>
    <w:rsid w:val="005912C7"/>
    <w:pPr>
      <w:autoSpaceDE w:val="0"/>
      <w:autoSpaceDN w:val="0"/>
      <w:adjustRightInd w:val="0"/>
    </w:pPr>
    <w:rPr>
      <w:rFonts w:ascii="Trebuchet MS" w:hAnsi="Trebuchet MS" w:cs="Trebuchet MS"/>
      <w:color w:val="000000"/>
      <w:sz w:val="24"/>
      <w:szCs w:val="24"/>
    </w:rPr>
  </w:style>
  <w:style w:type="paragraph" w:customStyle="1" w:styleId="titresaapdbio2019">
    <w:name w:val="titres aap dbio 2019"/>
    <w:basedOn w:val="Titre2"/>
    <w:link w:val="titresaapdbio2019Car"/>
    <w:rsid w:val="0049557A"/>
    <w:rPr>
      <w:color w:val="000000" w:themeColor="text1"/>
    </w:rPr>
  </w:style>
  <w:style w:type="character" w:customStyle="1" w:styleId="titresaapdbio2019Car">
    <w:name w:val="titres aap dbio 2019 Car"/>
    <w:basedOn w:val="Titre2Car"/>
    <w:link w:val="titresaapdbio2019"/>
    <w:rsid w:val="0049557A"/>
    <w:rPr>
      <w:rFonts w:eastAsiaTheme="majorEastAsia" w:cstheme="majorBidi"/>
      <w:b/>
      <w:bCs/>
      <w:color w:val="000000" w:themeColor="text1"/>
      <w:sz w:val="26"/>
      <w:szCs w:val="26"/>
      <w:shd w:val="clear" w:color="auto" w:fill="323E4F" w:themeFill="text2" w:themeFillShade="BF"/>
    </w:rPr>
  </w:style>
  <w:style w:type="character" w:customStyle="1" w:styleId="A3">
    <w:name w:val="A3"/>
    <w:uiPriority w:val="99"/>
    <w:rsid w:val="00707BA9"/>
    <w:rPr>
      <w:rFonts w:cs="Eurostile"/>
      <w:color w:val="000000"/>
      <w:sz w:val="20"/>
      <w:szCs w:val="20"/>
    </w:rPr>
  </w:style>
  <w:style w:type="paragraph" w:customStyle="1" w:styleId="Pa2">
    <w:name w:val="Pa2"/>
    <w:basedOn w:val="Default"/>
    <w:next w:val="Default"/>
    <w:uiPriority w:val="99"/>
    <w:rsid w:val="006138E6"/>
    <w:pPr>
      <w:spacing w:line="241" w:lineRule="atLeast"/>
    </w:pPr>
    <w:rPr>
      <w:rFonts w:ascii="Eurostile" w:hAnsi="Eurostile" w:cstheme="minorBidi"/>
      <w:color w:val="auto"/>
    </w:rPr>
  </w:style>
  <w:style w:type="character" w:customStyle="1" w:styleId="A16">
    <w:name w:val="A16"/>
    <w:uiPriority w:val="99"/>
    <w:rsid w:val="006138E6"/>
    <w:rPr>
      <w:rFonts w:cs="Eurostile"/>
      <w:b/>
      <w:bCs/>
      <w:color w:val="000000"/>
      <w:sz w:val="11"/>
      <w:szCs w:val="11"/>
    </w:rPr>
  </w:style>
  <w:style w:type="paragraph" w:customStyle="1" w:styleId="Pa0">
    <w:name w:val="Pa0"/>
    <w:basedOn w:val="Default"/>
    <w:next w:val="Default"/>
    <w:uiPriority w:val="99"/>
    <w:rsid w:val="00267EF8"/>
    <w:pPr>
      <w:spacing w:line="241" w:lineRule="atLeast"/>
    </w:pPr>
    <w:rPr>
      <w:rFonts w:ascii="Eurostile" w:hAnsi="Eurostile" w:cstheme="minorBidi"/>
      <w:color w:val="auto"/>
    </w:rPr>
  </w:style>
  <w:style w:type="character" w:customStyle="1" w:styleId="A1">
    <w:name w:val="A1"/>
    <w:uiPriority w:val="99"/>
    <w:rsid w:val="00267EF8"/>
    <w:rPr>
      <w:rFonts w:cs="Eurostile"/>
      <w:color w:val="000000"/>
      <w:sz w:val="18"/>
      <w:szCs w:val="18"/>
    </w:rPr>
  </w:style>
  <w:style w:type="paragraph" w:styleId="Lgende">
    <w:name w:val="caption"/>
    <w:basedOn w:val="Normal"/>
    <w:next w:val="Normal"/>
    <w:uiPriority w:val="35"/>
    <w:unhideWhenUsed/>
    <w:qFormat/>
    <w:rsid w:val="002B323B"/>
    <w:pPr>
      <w:spacing w:after="200"/>
    </w:pPr>
    <w:rPr>
      <w:i/>
      <w:iCs/>
      <w:color w:val="44546A" w:themeColor="text2"/>
      <w:sz w:val="18"/>
      <w:szCs w:val="18"/>
    </w:rPr>
  </w:style>
  <w:style w:type="paragraph" w:styleId="Sansinterligne">
    <w:name w:val="No Spacing"/>
    <w:uiPriority w:val="1"/>
    <w:qFormat/>
    <w:rsid w:val="0059125A"/>
  </w:style>
  <w:style w:type="paragraph" w:styleId="TM2">
    <w:name w:val="toc 2"/>
    <w:basedOn w:val="Normal"/>
    <w:next w:val="Normal"/>
    <w:autoRedefine/>
    <w:uiPriority w:val="39"/>
    <w:unhideWhenUsed/>
    <w:rsid w:val="00E5587B"/>
    <w:pPr>
      <w:spacing w:after="100"/>
      <w:ind w:left="200"/>
    </w:pPr>
  </w:style>
  <w:style w:type="paragraph" w:styleId="TM3">
    <w:name w:val="toc 3"/>
    <w:basedOn w:val="Normal"/>
    <w:next w:val="Normal"/>
    <w:autoRedefine/>
    <w:uiPriority w:val="39"/>
    <w:unhideWhenUsed/>
    <w:rsid w:val="00E5587B"/>
    <w:pPr>
      <w:spacing w:after="100"/>
      <w:ind w:left="400"/>
    </w:pPr>
  </w:style>
  <w:style w:type="character" w:styleId="Lienhypertextesuivivisit">
    <w:name w:val="FollowedHyperlink"/>
    <w:basedOn w:val="Policepardfaut"/>
    <w:uiPriority w:val="99"/>
    <w:semiHidden/>
    <w:unhideWhenUsed/>
    <w:rsid w:val="004E3BAF"/>
    <w:rPr>
      <w:color w:val="954F72" w:themeColor="followedHyperlink"/>
      <w:u w:val="single"/>
    </w:rPr>
  </w:style>
  <w:style w:type="character" w:styleId="Mentionnonrsolue">
    <w:name w:val="Unresolved Mention"/>
    <w:basedOn w:val="Policepardfaut"/>
    <w:uiPriority w:val="99"/>
    <w:semiHidden/>
    <w:unhideWhenUsed/>
    <w:rsid w:val="00612273"/>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8" w:type="dxa"/>
        <w:right w:w="108" w:type="dxa"/>
      </w:tblCellMar>
    </w:tblPr>
  </w:style>
  <w:style w:type="character" w:customStyle="1" w:styleId="cf01">
    <w:name w:val="cf01"/>
    <w:basedOn w:val="Policepardfaut"/>
    <w:rsid w:val="0099690B"/>
    <w:rPr>
      <w:rFonts w:ascii="Segoe UI" w:hAnsi="Segoe UI" w:cs="Segoe UI" w:hint="default"/>
      <w:sz w:val="18"/>
      <w:szCs w:val="18"/>
    </w:rPr>
  </w:style>
  <w:style w:type="character" w:customStyle="1" w:styleId="cf11">
    <w:name w:val="cf11"/>
    <w:basedOn w:val="Policepardfaut"/>
    <w:rsid w:val="0099690B"/>
    <w:rPr>
      <w:rFonts w:ascii="Segoe UI" w:hAnsi="Segoe UI" w:cs="Segoe UI" w:hint="default"/>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yperlink" Target="mailto:guy.crouigneau@bretagne.bzh"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marie-emilie.mollaret@ademe.fr" TargetMode="External"/><Relationship Id="rId20" Type="http://schemas.openxmlformats.org/officeDocument/2006/relationships/hyperlink" Target="https://aida.ineris.fr/reglementation/arrete-081211-etablissant-regles-sanitaires-applicables-sous-produits-animau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gary.lucarelli@aile.asso.f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yperlink" Target="https://agirpourlatransition.ademe.fr/" TargetMode="External"/><Relationship Id="rId14" Type="http://schemas.openxmlformats.org/officeDocument/2006/relationships/hyperlink" Target="https://agirpourlatransition.ademe.fr/"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ida.ineris.fr/reglementation/2783-installation-deconditionnement-biodechets-ayant-fait-lobjet-dun-tri-a-source" TargetMode="External"/><Relationship Id="rId2" Type="http://schemas.openxmlformats.org/officeDocument/2006/relationships/hyperlink" Target="http://www.ademe.fr/inventaire-performances-technologies-deconditionnement-biodechets" TargetMode="External"/><Relationship Id="rId1" Type="http://schemas.openxmlformats.org/officeDocument/2006/relationships/hyperlink" Target="https://agriculture.gouv.fr/gaspillage-alimentaire-des-nouvelles-donnees-pour-la-france" TargetMode="External"/><Relationship Id="rId5" Type="http://schemas.openxmlformats.org/officeDocument/2006/relationships/hyperlink" Target="https://aida.ineris.fr/consultation_document/10727" TargetMode="External"/><Relationship Id="rId4" Type="http://schemas.openxmlformats.org/officeDocument/2006/relationships/hyperlink" Target="https://aida.ineris.fr/reglementation/arrete-081211-etablissant-regles-sanitaires-applicables-sous-produits-animau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sa2/2TbCmfHpF+/Cpufcm/T2Qg==">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gAaiYKFHN1Z2dlc3QuZXJ5ZzQ2ZGo2OXo4Eg5HYXJ5IEx1Y2FyZWxsaWomChRzdWdnZXN0LmxmbnM4ZjJ4YWgyNBIOR2FyeSBMdWNhcmVsbGlqJgoUc3VnZ2VzdC43YW01a3JsNTJqcDQSDkdhcnkgTHVjYXJlbGxpaiYKFHN1Z2dlc3QuZmtoMXhlYjY3aWRyEg5HYXJ5IEx1Y2FyZWxsaWomChRzdWdnZXN0Lng3NXoyc3A0cHF0axIOR2FyeSBMdWNhcmVsbGlyITFmMXNkQ2Zob0ViYk9DaVhuWXlNZkdqak1nZ1pfQVhUZQ==</go:docsCustomData>
</go:gDocsCustomXmlDataStorage>
</file>

<file path=customXml/itemProps1.xml><?xml version="1.0" encoding="utf-8"?>
<ds:datastoreItem xmlns:ds="http://schemas.openxmlformats.org/officeDocument/2006/customXml" ds:itemID="{FB1D3C6C-BFFF-4625-A852-144C7F78D3D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16</Pages>
  <Words>6317</Words>
  <Characters>34744</Characters>
  <Application>Microsoft Office Word</Application>
  <DocSecurity>0</DocSecurity>
  <Lines>289</Lines>
  <Paragraphs>81</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40980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Guillaume.BOUCHERIE@ademe.fr</dc:creator>
  <cp:lastModifiedBy>GASTARD Karine</cp:lastModifiedBy>
  <cp:revision>12</cp:revision>
  <cp:lastPrinted>2024-07-04T09:47:00Z</cp:lastPrinted>
  <dcterms:created xsi:type="dcterms:W3CDTF">2023-09-29T12:00:00Z</dcterms:created>
  <dcterms:modified xsi:type="dcterms:W3CDTF">2024-07-16T06:58:00Z</dcterms:modified>
</cp:coreProperties>
</file>