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99F69" w14:textId="77777777" w:rsidR="00FB1B9C" w:rsidRPr="006E35D6" w:rsidRDefault="009C2D45" w:rsidP="00FB1B9C">
      <w:pPr>
        <w:rPr>
          <w:noProof w:val="0"/>
        </w:rPr>
      </w:pPr>
      <w:r>
        <mc:AlternateContent>
          <mc:Choice Requires="wpg">
            <w:drawing>
              <wp:anchor distT="0" distB="0" distL="114300" distR="114300" simplePos="0" relativeHeight="251678720" behindDoc="0" locked="0" layoutInCell="1" allowOverlap="1" wp14:anchorId="2FBE14D5" wp14:editId="2A31FCDB">
                <wp:simplePos x="0" y="0"/>
                <wp:positionH relativeFrom="column">
                  <wp:posOffset>5890641</wp:posOffset>
                </wp:positionH>
                <wp:positionV relativeFrom="paragraph">
                  <wp:posOffset>-402082</wp:posOffset>
                </wp:positionV>
                <wp:extent cx="640032" cy="1658925"/>
                <wp:effectExtent l="0" t="0" r="8255" b="0"/>
                <wp:wrapNone/>
                <wp:docPr id="17" name="Groupe 17"/>
                <wp:cNvGraphicFramePr/>
                <a:graphic xmlns:a="http://schemas.openxmlformats.org/drawingml/2006/main">
                  <a:graphicData uri="http://schemas.microsoft.com/office/word/2010/wordprocessingGroup">
                    <wpg:wgp>
                      <wpg:cNvGrpSpPr/>
                      <wpg:grpSpPr>
                        <a:xfrm>
                          <a:off x="0" y="0"/>
                          <a:ext cx="640032" cy="1658925"/>
                          <a:chOff x="0" y="0"/>
                          <a:chExt cx="640032" cy="1658925"/>
                        </a:xfrm>
                      </wpg:grpSpPr>
                      <wps:wsp>
                        <wps:cNvPr id="18" name="Rectangle 18"/>
                        <wps:cNvSpPr>
                          <a:spLocks noChangeArrowheads="1"/>
                        </wps:cNvSpPr>
                        <wps:spPr bwMode="auto">
                          <a:xfrm>
                            <a:off x="0" y="0"/>
                            <a:ext cx="640032" cy="1658925"/>
                          </a:xfrm>
                          <a:prstGeom prst="rect">
                            <a:avLst/>
                          </a:prstGeom>
                          <a:solidFill>
                            <a:srgbClr val="8FBF29"/>
                          </a:solidFill>
                          <a:ln>
                            <a:noFill/>
                          </a:ln>
                          <a:effectLst/>
                          <a:extLst>
                            <a:ext uri="{91240B29-F687-4F45-9708-019B960494DF}">
                              <a14:hiddenLine xmlns:a14="http://schemas.microsoft.com/office/drawing/2010/main" w="9525">
                                <a:solidFill>
                                  <a:schemeClr val="accent1">
                                    <a:lumMod val="95000"/>
                                    <a:lumOff val="0"/>
                                  </a:schemeClr>
                                </a:solidFill>
                                <a:miter lim="800000"/>
                                <a:headEnd/>
                                <a:tailEnd/>
                              </a14:hiddenLine>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20" name="Image 2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451" y="20704"/>
                            <a:ext cx="617220" cy="1617980"/>
                          </a:xfrm>
                          <a:prstGeom prst="rect">
                            <a:avLst/>
                          </a:prstGeom>
                        </pic:spPr>
                      </pic:pic>
                    </wpg:wgp>
                  </a:graphicData>
                </a:graphic>
              </wp:anchor>
            </w:drawing>
          </mc:Choice>
          <mc:Fallback>
            <w:pict>
              <v:group w14:anchorId="027D14E2" id="Groupe 17" o:spid="_x0000_s1026" style="position:absolute;margin-left:463.85pt;margin-top:-31.65pt;width:50.4pt;height:130.6pt;z-index:251678720" coordsize="6400,16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">
                <v:rect id="Rectangle 18" o:spid="_x0000_s1027" style="position:absolute;width:6400;height:16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" fillcolor="#8fbf29" stroked="f" strokecolor="#4579b8 [3044]">
                  <v:shadow opacity="22936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8" type="#_x0000_t75" style="position:absolute;left:34;top:207;width:6172;height:1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">
                  <v:imagedata r:id="rId9" o:title=""/>
                  <v:path arrowok="t"/>
                </v:shape>
              </v:group>
            </w:pict>
          </mc:Fallback>
        </mc:AlternateContent>
      </w:r>
      <w:r w:rsidR="00305EA7">
        <w:drawing>
          <wp:anchor distT="0" distB="0" distL="114300" distR="114300" simplePos="0" relativeHeight="251652608" behindDoc="1" locked="0" layoutInCell="1" allowOverlap="1" wp14:anchorId="5ABE305A" wp14:editId="4D51E1E2">
            <wp:simplePos x="0" y="0"/>
            <wp:positionH relativeFrom="margin">
              <wp:posOffset>-914400</wp:posOffset>
            </wp:positionH>
            <wp:positionV relativeFrom="margin">
              <wp:posOffset>-571500</wp:posOffset>
            </wp:positionV>
            <wp:extent cx="7599045" cy="10761980"/>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meCouv.jpg"/>
                    <pic:cNvPicPr/>
                  </pic:nvPicPr>
                  <pic:blipFill>
                    <a:blip r:embed="rId10">
                      <a:extLst>
                        <a:ext uri="{28A0092B-C50C-407E-A947-70E740481C1C}">
                          <a14:useLocalDpi xmlns:a14="http://schemas.microsoft.com/office/drawing/2010/main" val="0"/>
                        </a:ext>
                      </a:extLst>
                    </a:blip>
                    <a:stretch>
                      <a:fillRect/>
                    </a:stretch>
                  </pic:blipFill>
                  <pic:spPr>
                    <a:xfrm>
                      <a:off x="0" y="0"/>
                      <a:ext cx="7599045" cy="10761980"/>
                    </a:xfrm>
                    <a:prstGeom prst="rect">
                      <a:avLst/>
                    </a:prstGeom>
                  </pic:spPr>
                </pic:pic>
              </a:graphicData>
            </a:graphic>
            <wp14:sizeRelH relativeFrom="margin">
              <wp14:pctWidth>0</wp14:pctWidth>
            </wp14:sizeRelH>
            <wp14:sizeRelV relativeFrom="margin">
              <wp14:pctHeight>0</wp14:pctHeight>
            </wp14:sizeRelV>
          </wp:anchor>
        </w:drawing>
      </w:r>
    </w:p>
    <w:p w14:paraId="73A55C21" w14:textId="77777777" w:rsidR="00FB1B9C" w:rsidRPr="006E35D6" w:rsidRDefault="00FB1B9C" w:rsidP="00FB1B9C">
      <w:pPr>
        <w:pStyle w:val="PagedegardeTitre1Ademe"/>
        <w:rPr>
          <w:noProof w:val="0"/>
        </w:rPr>
      </w:pPr>
      <w:r w:rsidRPr="006E35D6">
        <w:rPr>
          <w:noProof w:val="0"/>
        </w:rPr>
        <w:t xml:space="preserve">GUIDE A LA REDACTION </w:t>
      </w:r>
    </w:p>
    <w:p w14:paraId="29CC47CA" w14:textId="77777777" w:rsidR="00FB1B9C" w:rsidRPr="006E35D6" w:rsidRDefault="00FB1B9C" w:rsidP="00FB1B9C">
      <w:pPr>
        <w:pStyle w:val="PagedegardeTitre1Ademe"/>
        <w:rPr>
          <w:noProof w:val="0"/>
        </w:rPr>
      </w:pPr>
      <w:r w:rsidRPr="006E35D6">
        <w:rPr>
          <w:noProof w:val="0"/>
        </w:rPr>
        <w:t>D'UN CAHIER DES CHARGES</w:t>
      </w:r>
    </w:p>
    <w:p w14:paraId="1CEAD625" w14:textId="77777777" w:rsidR="00FB1B9C" w:rsidRPr="006E35D6" w:rsidRDefault="00FB1B9C" w:rsidP="00FB1B9C">
      <w:pPr>
        <w:pStyle w:val="PagedegardeTitre2Ademe"/>
        <w:rPr>
          <w:noProof w:val="0"/>
        </w:rPr>
      </w:pPr>
      <w:r w:rsidRPr="006E35D6">
        <w:rPr>
          <w:noProof w:val="0"/>
        </w:rPr>
        <w:t>Pour tout bénéficiaire d’un concours financier de l’ADEME</w:t>
      </w:r>
    </w:p>
    <w:p w14:paraId="78260109" w14:textId="77777777" w:rsidR="00FB1B9C" w:rsidRPr="006E35D6" w:rsidRDefault="00FB1B9C" w:rsidP="00FB1B9C">
      <w:pPr>
        <w:pStyle w:val="PagedegardeTitre2Ademe"/>
        <w:rPr>
          <w:noProof w:val="0"/>
        </w:rPr>
      </w:pPr>
      <w:proofErr w:type="gramStart"/>
      <w:r w:rsidRPr="006E35D6">
        <w:rPr>
          <w:noProof w:val="0"/>
        </w:rPr>
        <w:t>dans</w:t>
      </w:r>
      <w:proofErr w:type="gramEnd"/>
      <w:r w:rsidRPr="006E35D6">
        <w:rPr>
          <w:noProof w:val="0"/>
        </w:rPr>
        <w:t xml:space="preserve"> le cadre du dispositif d’aide à la décision</w:t>
      </w:r>
    </w:p>
    <w:p w14:paraId="6502ADEE" w14:textId="77777777" w:rsidR="00FB1B9C" w:rsidRPr="006E35D6" w:rsidRDefault="00FB1B9C" w:rsidP="00FB1B9C">
      <w:pPr>
        <w:rPr>
          <w:noProof w:val="0"/>
        </w:rPr>
      </w:pPr>
    </w:p>
    <w:p w14:paraId="32D76073" w14:textId="77777777" w:rsidR="00FB1B9C" w:rsidRPr="006E35D6" w:rsidRDefault="00FB1B9C" w:rsidP="00FB1B9C">
      <w:pPr>
        <w:rPr>
          <w:noProof w:val="0"/>
        </w:rPr>
      </w:pPr>
    </w:p>
    <w:p w14:paraId="0B9BDF37" w14:textId="77777777" w:rsidR="00FB1B9C" w:rsidRPr="006E35D6" w:rsidRDefault="00FB1B9C" w:rsidP="00FB1B9C">
      <w:pPr>
        <w:rPr>
          <w:noProof w:val="0"/>
        </w:rPr>
      </w:pPr>
    </w:p>
    <w:p w14:paraId="75CF06BC" w14:textId="77777777" w:rsidR="00FB1B9C" w:rsidRPr="006E35D6" w:rsidRDefault="00FB1B9C" w:rsidP="00FB1B9C">
      <w:pPr>
        <w:rPr>
          <w:noProof w:val="0"/>
        </w:rPr>
      </w:pPr>
    </w:p>
    <w:p w14:paraId="22425E9F" w14:textId="77777777" w:rsidR="00FB1B9C" w:rsidRPr="006E35D6" w:rsidRDefault="00FB1B9C" w:rsidP="00FB1B9C">
      <w:pPr>
        <w:rPr>
          <w:noProof w:val="0"/>
        </w:rPr>
      </w:pPr>
    </w:p>
    <w:p w14:paraId="6734CB35" w14:textId="77777777" w:rsidR="00FB1B9C" w:rsidRPr="006E35D6" w:rsidRDefault="00FB1B9C" w:rsidP="00FB1B9C">
      <w:pPr>
        <w:rPr>
          <w:noProof w:val="0"/>
        </w:rPr>
      </w:pPr>
    </w:p>
    <w:p w14:paraId="6F649B19" w14:textId="77777777" w:rsidR="00FB1B9C" w:rsidRPr="006E35D6" w:rsidRDefault="00FB1B9C" w:rsidP="00FB1B9C">
      <w:pPr>
        <w:rPr>
          <w:noProof w:val="0"/>
        </w:rPr>
      </w:pPr>
    </w:p>
    <w:p w14:paraId="019F0F0A" w14:textId="77777777" w:rsidR="00FB1B9C" w:rsidRPr="006E35D6" w:rsidRDefault="00FB1B9C" w:rsidP="00FB1B9C">
      <w:pPr>
        <w:pStyle w:val="PagedegardeTitre3Ademe"/>
        <w:rPr>
          <w:noProof w:val="0"/>
        </w:rPr>
      </w:pPr>
      <w:r w:rsidRPr="006E35D6">
        <w:rPr>
          <w:noProof w:val="0"/>
        </w:rPr>
        <w:t>CAHIER DES CHARGES</w:t>
      </w:r>
    </w:p>
    <w:p w14:paraId="4E1096F9" w14:textId="77777777" w:rsidR="00FB1B9C" w:rsidRDefault="00FB1B9C" w:rsidP="003D3716">
      <w:pPr>
        <w:pStyle w:val="PagedegardeTitre4Ademe"/>
      </w:pPr>
      <w:r w:rsidRPr="006E35D6">
        <w:t>REALISATION D’UN TEST DE REPONSE THERMIQUE DE TERRAIN (TRT)</w:t>
      </w:r>
    </w:p>
    <w:p w14:paraId="6D7CABF7" w14:textId="77777777" w:rsidR="003D3716" w:rsidRDefault="003D3716" w:rsidP="003D3716">
      <w:pPr>
        <w:pStyle w:val="PagedegardeTitre4Ademe"/>
      </w:pPr>
    </w:p>
    <w:p w14:paraId="62DE2268" w14:textId="77777777" w:rsidR="00FB1B9C" w:rsidRPr="00A63094" w:rsidRDefault="00E97FAF" w:rsidP="00A63094">
      <w:pPr>
        <w:pStyle w:val="NormalFondTitreAdeme"/>
        <w:jc w:val="center"/>
      </w:pPr>
      <w:r>
        <w:t>P</w:t>
      </w:r>
      <w:r w:rsidR="003D3716" w:rsidRPr="00E97FAF">
        <w:t xml:space="preserve">our la réalisation d’une opération de PAC sur champ de sondes géothermiques verticales (CSGV) </w:t>
      </w:r>
      <w:r w:rsidR="00D07746">
        <w:t xml:space="preserve">ou sur géostructures énergétiques </w:t>
      </w:r>
      <w:r w:rsidR="003D3716" w:rsidRPr="00E97FAF">
        <w:t>dans les secteurs résidentiel collectif, tertiaire ou industriel</w:t>
      </w:r>
    </w:p>
    <w:p w14:paraId="7EDADD66" w14:textId="77777777" w:rsidR="00FB1B9C" w:rsidRPr="006E35D6" w:rsidRDefault="00FB1B9C" w:rsidP="00FB1B9C">
      <w:pPr>
        <w:rPr>
          <w:noProof w:val="0"/>
        </w:rPr>
      </w:pPr>
    </w:p>
    <w:p w14:paraId="2D6C884B" w14:textId="77777777" w:rsidR="00FB1B9C" w:rsidRPr="006E35D6" w:rsidRDefault="00FB1B9C" w:rsidP="00FB1B9C">
      <w:pPr>
        <w:rPr>
          <w:noProof w:val="0"/>
        </w:rPr>
      </w:pPr>
    </w:p>
    <w:p w14:paraId="37B57100" w14:textId="77777777" w:rsidR="00FB1B9C" w:rsidRPr="006E35D6" w:rsidRDefault="00FB1B9C" w:rsidP="00FB1B9C">
      <w:pPr>
        <w:rPr>
          <w:noProof w:val="0"/>
        </w:rPr>
      </w:pPr>
    </w:p>
    <w:p w14:paraId="46BCD8FA" w14:textId="77777777" w:rsidR="00FB1B9C" w:rsidRPr="006E35D6" w:rsidRDefault="00FB1B9C" w:rsidP="00FB1B9C">
      <w:pPr>
        <w:rPr>
          <w:noProof w:val="0"/>
        </w:rPr>
      </w:pPr>
    </w:p>
    <w:p w14:paraId="55DCCFB4" w14:textId="77777777" w:rsidR="00FB1B9C" w:rsidRPr="006E35D6" w:rsidRDefault="00FB1B9C" w:rsidP="00FB1B9C">
      <w:pPr>
        <w:rPr>
          <w:noProof w:val="0"/>
        </w:rPr>
      </w:pPr>
    </w:p>
    <w:p w14:paraId="131900EA" w14:textId="77777777" w:rsidR="00FB1B9C" w:rsidRPr="006E35D6" w:rsidRDefault="00FB1B9C" w:rsidP="00FB1B9C">
      <w:pPr>
        <w:rPr>
          <w:noProof w:val="0"/>
        </w:rPr>
      </w:pPr>
    </w:p>
    <w:p w14:paraId="4144C04A" w14:textId="77777777" w:rsidR="00FB1B9C" w:rsidRPr="006E35D6" w:rsidRDefault="00FB1B9C" w:rsidP="00FB1B9C">
      <w:pPr>
        <w:rPr>
          <w:noProof w:val="0"/>
        </w:rPr>
      </w:pPr>
    </w:p>
    <w:p w14:paraId="0591A1F7" w14:textId="77777777" w:rsidR="00FB1B9C" w:rsidRPr="006E35D6" w:rsidRDefault="00FB1B9C" w:rsidP="00FB1B9C">
      <w:pPr>
        <w:rPr>
          <w:noProof w:val="0"/>
        </w:rPr>
      </w:pPr>
    </w:p>
    <w:p w14:paraId="3EFF345B" w14:textId="77777777" w:rsidR="00FB1B9C" w:rsidRPr="006E35D6" w:rsidRDefault="00305EA7" w:rsidP="00FB1B9C">
      <w:pPr>
        <w:rPr>
          <w:noProof w:val="0"/>
        </w:rPr>
      </w:pPr>
      <w:r>
        <mc:AlternateContent>
          <mc:Choice Requires="wps">
            <w:drawing>
              <wp:anchor distT="0" distB="0" distL="114300" distR="114300" simplePos="0" relativeHeight="251664384" behindDoc="0" locked="0" layoutInCell="1" allowOverlap="1" wp14:anchorId="5953783C" wp14:editId="72388D88">
                <wp:simplePos x="0" y="0"/>
                <wp:positionH relativeFrom="column">
                  <wp:posOffset>-914400</wp:posOffset>
                </wp:positionH>
                <wp:positionV relativeFrom="paragraph">
                  <wp:posOffset>606425</wp:posOffset>
                </wp:positionV>
                <wp:extent cx="7529830" cy="68580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752983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9176A9" w14:textId="77777777" w:rsidR="00566319" w:rsidRDefault="00566319" w:rsidP="00305EA7">
                            <w:pPr>
                              <w:pStyle w:val="PagedegardeTitre5Ademe"/>
                              <w:ind w:right="2067"/>
                            </w:pPr>
                            <w:r w:rsidRPr="000D2121">
                              <w:t>CAHIERS DES CHARGES</w:t>
                            </w:r>
                          </w:p>
                          <w:p w14:paraId="4181EC4A" w14:textId="77777777" w:rsidR="00566319" w:rsidRPr="000844B8" w:rsidRDefault="00566319" w:rsidP="00305EA7">
                            <w:pPr>
                              <w:pStyle w:val="PagedegardeTitre5Ademe"/>
                              <w:ind w:right="2067"/>
                            </w:pPr>
                            <w:r w:rsidRPr="00FB79B6">
                              <w:t>D’AIDE A LA DECISION</w:t>
                            </w:r>
                          </w:p>
                          <w:p w14:paraId="3052A3E2" w14:textId="77777777" w:rsidR="00566319" w:rsidRDefault="00566319" w:rsidP="00305E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8FF8D" id="_x0000_t202" coordsize="21600,21600" o:spt="202" path="m,l,21600r21600,l21600,xe">
                <v:stroke joinstyle="miter"/>
                <v:path gradientshapeok="t" o:connecttype="rect"/>
              </v:shapetype>
              <v:shape id="Zone de texte 11" o:spid="_x0000_s1026" type="#_x0000_t202" style="position:absolute;left:0;text-align:left;margin-left:-1in;margin-top:47.75pt;width:592.9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" filled="f" stroked="f">
                <v:textbox>
                  <w:txbxContent>
                    <w:p w:rsidR="00566319" w:rsidRDefault="00566319" w:rsidP="00305EA7">
                      <w:pPr>
                        <w:pStyle w:val="PagedegardeTitre5Ademe"/>
                        <w:ind w:right="2067"/>
                      </w:pPr>
                      <w:r w:rsidRPr="000D2121">
                        <w:t>CAHIERS DES CHARGES</w:t>
                      </w:r>
                    </w:p>
                    <w:p w:rsidR="00566319" w:rsidRPr="000844B8" w:rsidRDefault="00566319" w:rsidP="00305EA7">
                      <w:pPr>
                        <w:pStyle w:val="PagedegardeTitre5Ademe"/>
                        <w:ind w:right="2067"/>
                      </w:pPr>
                      <w:r w:rsidRPr="00FB79B6">
                        <w:t>D’AIDE A LA DECISION</w:t>
                      </w:r>
                    </w:p>
                    <w:p w:rsidR="00566319" w:rsidRDefault="00566319" w:rsidP="00305EA7"/>
                  </w:txbxContent>
                </v:textbox>
                <w10:wrap type="square"/>
              </v:shape>
            </w:pict>
          </mc:Fallback>
        </mc:AlternateContent>
      </w:r>
    </w:p>
    <w:p w14:paraId="5F8866AA" w14:textId="77777777" w:rsidR="00FB1B9C" w:rsidRPr="006E35D6" w:rsidRDefault="00FB1B9C" w:rsidP="00FB1B9C">
      <w:pPr>
        <w:rPr>
          <w:noProof w:val="0"/>
        </w:rPr>
      </w:pPr>
    </w:p>
    <w:p w14:paraId="0ED77F46" w14:textId="77777777" w:rsidR="00FB1B9C" w:rsidRPr="006E35D6" w:rsidRDefault="00FB1B9C" w:rsidP="00FB1B9C">
      <w:pPr>
        <w:rPr>
          <w:noProof w:val="0"/>
        </w:rPr>
      </w:pPr>
    </w:p>
    <w:p w14:paraId="7C3A490A" w14:textId="77777777" w:rsidR="00FB1B9C" w:rsidRPr="006E35D6" w:rsidRDefault="00305EA7" w:rsidP="00FB1B9C">
      <w:pPr>
        <w:rPr>
          <w:noProof w:val="0"/>
        </w:rPr>
      </w:pPr>
      <w:r>
        <w:drawing>
          <wp:anchor distT="0" distB="0" distL="114300" distR="114300" simplePos="0" relativeHeight="251666432" behindDoc="1" locked="0" layoutInCell="1" allowOverlap="1" wp14:anchorId="7E9A7E48" wp14:editId="07EB954F">
            <wp:simplePos x="0" y="0"/>
            <wp:positionH relativeFrom="column">
              <wp:posOffset>-914400</wp:posOffset>
            </wp:positionH>
            <wp:positionV relativeFrom="paragraph">
              <wp:posOffset>848360</wp:posOffset>
            </wp:positionV>
            <wp:extent cx="7588885" cy="1166495"/>
            <wp:effectExtent l="0" t="0" r="5715" b="1905"/>
            <wp:wrapNone/>
            <wp:docPr id="7" name="Image 4" descr="SanD:Users:studio1:Desktop:bandeau 17x24.png">
              <a:hlinkClick xmlns:a="http://schemas.openxmlformats.org/drawingml/2006/main" r:id="rId11" tooltip="https://www.ademe.fr/mediatheq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descr="SanD:Users:studio1:Desktop:bandeau 17x24.png">
                      <a:hlinkClick r:id="rId11" tooltip="https://www.ademe.fr/mediatheque"/>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888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0EFB4" w14:textId="77777777" w:rsidR="00FB1B9C" w:rsidRPr="006E35D6" w:rsidRDefault="00FB1B9C" w:rsidP="00FB1B9C">
      <w:pPr>
        <w:rPr>
          <w:noProof w:val="0"/>
        </w:rPr>
      </w:pPr>
    </w:p>
    <w:p w14:paraId="1BC8BBF6" w14:textId="77777777" w:rsidR="00FB1B9C" w:rsidRPr="006E35D6" w:rsidRDefault="00FB1B9C" w:rsidP="00FB1B9C">
      <w:pPr>
        <w:rPr>
          <w:noProof w:val="0"/>
        </w:rPr>
      </w:pPr>
    </w:p>
    <w:p w14:paraId="7EDF9199" w14:textId="77777777" w:rsidR="00305EA7" w:rsidRDefault="00305EA7" w:rsidP="00FB1B9C">
      <w:pPr>
        <w:pStyle w:val="PagedegardeTitre6Ademe"/>
        <w:rPr>
          <w:noProof w:val="0"/>
        </w:rPr>
      </w:pPr>
    </w:p>
    <w:p w14:paraId="61E1947D" w14:textId="77777777" w:rsidR="00305EA7" w:rsidRDefault="00305EA7" w:rsidP="00FB1B9C">
      <w:pPr>
        <w:pStyle w:val="PagedegardeTitre6Ademe"/>
        <w:rPr>
          <w:noProof w:val="0"/>
        </w:rPr>
      </w:pPr>
    </w:p>
    <w:p w14:paraId="260A6DA2" w14:textId="77777777" w:rsidR="00305EA7" w:rsidRDefault="00305EA7" w:rsidP="00FB1B9C">
      <w:pPr>
        <w:pStyle w:val="PagedegardeTitre6Ademe"/>
        <w:rPr>
          <w:noProof w:val="0"/>
        </w:rPr>
      </w:pPr>
    </w:p>
    <w:p w14:paraId="791C9ABE" w14:textId="77777777" w:rsidR="00305EA7" w:rsidRDefault="00305EA7" w:rsidP="00FB1B9C">
      <w:pPr>
        <w:pStyle w:val="PagedegardeTitre6Ademe"/>
        <w:rPr>
          <w:noProof w:val="0"/>
        </w:rPr>
      </w:pPr>
    </w:p>
    <w:p w14:paraId="59696262" w14:textId="77777777" w:rsidR="00FB1B9C" w:rsidRPr="006E35D6" w:rsidRDefault="00FB1B9C" w:rsidP="00305EA7">
      <w:pPr>
        <w:pStyle w:val="PagedegardeTitre6Ademe"/>
        <w:ind w:left="1416" w:firstLine="708"/>
        <w:rPr>
          <w:noProof w:val="0"/>
        </w:rPr>
      </w:pPr>
      <w:r w:rsidRPr="006E35D6">
        <w:rPr>
          <w:noProof w:val="0"/>
        </w:rPr>
        <w:t xml:space="preserve">Version du </w:t>
      </w:r>
      <w:r w:rsidR="003279B1">
        <w:rPr>
          <w:noProof w:val="0"/>
        </w:rPr>
        <w:t>24/02/2020</w:t>
      </w:r>
    </w:p>
    <w:p w14:paraId="3AF03114" w14:textId="77777777" w:rsidR="00566319" w:rsidRDefault="00FB1B9C" w:rsidP="00566319">
      <w:pPr>
        <w:pStyle w:val="NormalGrandTitre1Ademe"/>
      </w:pPr>
      <w:r w:rsidRPr="006E35D6">
        <w:rPr>
          <w:noProof w:val="0"/>
        </w:rPr>
        <w:br w:type="page"/>
      </w:r>
      <w:r w:rsidR="00566319">
        <w:lastRenderedPageBreak/>
        <w:t>sommaire</w:t>
      </w:r>
    </w:p>
    <w:p w14:paraId="2B97A030" w14:textId="77777777" w:rsidR="00C8221A" w:rsidRDefault="00566319">
      <w:pPr>
        <w:pStyle w:val="TM1"/>
        <w:rPr>
          <w:rFonts w:asciiTheme="minorHAnsi" w:eastAsiaTheme="minorEastAsia" w:hAnsiTheme="minorHAnsi" w:cstheme="minorBidi"/>
          <w:b w:val="0"/>
          <w:caps w:val="0"/>
          <w:color w:val="auto"/>
          <w:sz w:val="22"/>
          <w:szCs w:val="22"/>
        </w:rPr>
      </w:pPr>
      <w:r>
        <w:fldChar w:fldCharType="begin"/>
      </w:r>
      <w:r>
        <w:instrText>TOC \z \o "1-3" \u \h</w:instrText>
      </w:r>
      <w:r>
        <w:fldChar w:fldCharType="separate"/>
      </w:r>
      <w:hyperlink w:anchor="_Toc33437921" w:history="1">
        <w:r w:rsidR="00C8221A" w:rsidRPr="007A3096">
          <w:rPr>
            <w:rStyle w:val="Lienhypertexte"/>
          </w:rPr>
          <w:t>1 - OBJECTIFS DU DOCUMENT</w:t>
        </w:r>
        <w:r w:rsidR="00C8221A">
          <w:rPr>
            <w:webHidden/>
          </w:rPr>
          <w:tab/>
        </w:r>
        <w:r w:rsidR="00C8221A">
          <w:rPr>
            <w:webHidden/>
          </w:rPr>
          <w:fldChar w:fldCharType="begin"/>
        </w:r>
        <w:r w:rsidR="00C8221A">
          <w:rPr>
            <w:webHidden/>
          </w:rPr>
          <w:instrText xml:space="preserve"> PAGEREF _Toc33437921 \h </w:instrText>
        </w:r>
        <w:r w:rsidR="00C8221A">
          <w:rPr>
            <w:webHidden/>
          </w:rPr>
        </w:r>
        <w:r w:rsidR="00C8221A">
          <w:rPr>
            <w:webHidden/>
          </w:rPr>
          <w:fldChar w:fldCharType="separate"/>
        </w:r>
        <w:r w:rsidR="00C8221A">
          <w:rPr>
            <w:webHidden/>
          </w:rPr>
          <w:t>6</w:t>
        </w:r>
        <w:r w:rsidR="00C8221A">
          <w:rPr>
            <w:webHidden/>
          </w:rPr>
          <w:fldChar w:fldCharType="end"/>
        </w:r>
      </w:hyperlink>
    </w:p>
    <w:p w14:paraId="72E915B2" w14:textId="77777777" w:rsidR="00C8221A" w:rsidRDefault="00CA2736">
      <w:pPr>
        <w:pStyle w:val="TM1"/>
        <w:rPr>
          <w:rFonts w:asciiTheme="minorHAnsi" w:eastAsiaTheme="minorEastAsia" w:hAnsiTheme="minorHAnsi" w:cstheme="minorBidi"/>
          <w:b w:val="0"/>
          <w:caps w:val="0"/>
          <w:color w:val="auto"/>
          <w:sz w:val="22"/>
          <w:szCs w:val="22"/>
        </w:rPr>
      </w:pPr>
      <w:hyperlink w:anchor="_Toc33437922" w:history="1">
        <w:r w:rsidR="00C8221A" w:rsidRPr="007A3096">
          <w:rPr>
            <w:rStyle w:val="Lienhypertexte"/>
          </w:rPr>
          <w:t>2 - REALISATION DU TEST DE REPONSE THERMIQUE DU TERRAIN</w:t>
        </w:r>
        <w:r w:rsidR="00C8221A">
          <w:rPr>
            <w:webHidden/>
          </w:rPr>
          <w:tab/>
        </w:r>
        <w:r w:rsidR="00C8221A">
          <w:rPr>
            <w:webHidden/>
          </w:rPr>
          <w:fldChar w:fldCharType="begin"/>
        </w:r>
        <w:r w:rsidR="00C8221A">
          <w:rPr>
            <w:webHidden/>
          </w:rPr>
          <w:instrText xml:space="preserve"> PAGEREF _Toc33437922 \h </w:instrText>
        </w:r>
        <w:r w:rsidR="00C8221A">
          <w:rPr>
            <w:webHidden/>
          </w:rPr>
        </w:r>
        <w:r w:rsidR="00C8221A">
          <w:rPr>
            <w:webHidden/>
          </w:rPr>
          <w:fldChar w:fldCharType="separate"/>
        </w:r>
        <w:r w:rsidR="00C8221A">
          <w:rPr>
            <w:webHidden/>
          </w:rPr>
          <w:t>7</w:t>
        </w:r>
        <w:r w:rsidR="00C8221A">
          <w:rPr>
            <w:webHidden/>
          </w:rPr>
          <w:fldChar w:fldCharType="end"/>
        </w:r>
      </w:hyperlink>
    </w:p>
    <w:p w14:paraId="72F239B5" w14:textId="77777777" w:rsidR="00C8221A" w:rsidRDefault="00CA2736">
      <w:pPr>
        <w:pStyle w:val="TM2"/>
        <w:rPr>
          <w:rFonts w:asciiTheme="minorHAnsi" w:eastAsiaTheme="minorEastAsia" w:hAnsiTheme="minorHAnsi" w:cstheme="minorBidi"/>
          <w:caps w:val="0"/>
          <w:sz w:val="22"/>
          <w:szCs w:val="22"/>
        </w:rPr>
      </w:pPr>
      <w:hyperlink w:anchor="_Toc33437923" w:history="1">
        <w:r w:rsidR="00C8221A" w:rsidRPr="007A3096">
          <w:rPr>
            <w:rStyle w:val="Lienhypertexte"/>
          </w:rPr>
          <w:t>2.1 - Objectifs du TRT</w:t>
        </w:r>
        <w:r w:rsidR="00C8221A">
          <w:rPr>
            <w:webHidden/>
          </w:rPr>
          <w:tab/>
        </w:r>
        <w:r w:rsidR="00C8221A">
          <w:rPr>
            <w:webHidden/>
          </w:rPr>
          <w:fldChar w:fldCharType="begin"/>
        </w:r>
        <w:r w:rsidR="00C8221A">
          <w:rPr>
            <w:webHidden/>
          </w:rPr>
          <w:instrText xml:space="preserve"> PAGEREF _Toc33437923 \h </w:instrText>
        </w:r>
        <w:r w:rsidR="00C8221A">
          <w:rPr>
            <w:webHidden/>
          </w:rPr>
        </w:r>
        <w:r w:rsidR="00C8221A">
          <w:rPr>
            <w:webHidden/>
          </w:rPr>
          <w:fldChar w:fldCharType="separate"/>
        </w:r>
        <w:r w:rsidR="00C8221A">
          <w:rPr>
            <w:webHidden/>
          </w:rPr>
          <w:t>7</w:t>
        </w:r>
        <w:r w:rsidR="00C8221A">
          <w:rPr>
            <w:webHidden/>
          </w:rPr>
          <w:fldChar w:fldCharType="end"/>
        </w:r>
      </w:hyperlink>
    </w:p>
    <w:p w14:paraId="519CD242" w14:textId="77777777" w:rsidR="00C8221A" w:rsidRDefault="00CA2736">
      <w:pPr>
        <w:pStyle w:val="TM2"/>
        <w:rPr>
          <w:rFonts w:asciiTheme="minorHAnsi" w:eastAsiaTheme="minorEastAsia" w:hAnsiTheme="minorHAnsi" w:cstheme="minorBidi"/>
          <w:caps w:val="0"/>
          <w:sz w:val="22"/>
          <w:szCs w:val="22"/>
        </w:rPr>
      </w:pPr>
      <w:hyperlink w:anchor="_Toc33437924" w:history="1">
        <w:r w:rsidR="00C8221A" w:rsidRPr="007A3096">
          <w:rPr>
            <w:rStyle w:val="Lienhypertexte"/>
          </w:rPr>
          <w:t>2.2 - Principe du TRT</w:t>
        </w:r>
        <w:r w:rsidR="00C8221A">
          <w:rPr>
            <w:webHidden/>
          </w:rPr>
          <w:tab/>
        </w:r>
        <w:r w:rsidR="00C8221A">
          <w:rPr>
            <w:webHidden/>
          </w:rPr>
          <w:fldChar w:fldCharType="begin"/>
        </w:r>
        <w:r w:rsidR="00C8221A">
          <w:rPr>
            <w:webHidden/>
          </w:rPr>
          <w:instrText xml:space="preserve"> PAGEREF _Toc33437924 \h </w:instrText>
        </w:r>
        <w:r w:rsidR="00C8221A">
          <w:rPr>
            <w:webHidden/>
          </w:rPr>
        </w:r>
        <w:r w:rsidR="00C8221A">
          <w:rPr>
            <w:webHidden/>
          </w:rPr>
          <w:fldChar w:fldCharType="separate"/>
        </w:r>
        <w:r w:rsidR="00C8221A">
          <w:rPr>
            <w:webHidden/>
          </w:rPr>
          <w:t>7</w:t>
        </w:r>
        <w:r w:rsidR="00C8221A">
          <w:rPr>
            <w:webHidden/>
          </w:rPr>
          <w:fldChar w:fldCharType="end"/>
        </w:r>
      </w:hyperlink>
    </w:p>
    <w:p w14:paraId="083B1169" w14:textId="77777777" w:rsidR="00C8221A" w:rsidRDefault="00CA2736">
      <w:pPr>
        <w:pStyle w:val="TM2"/>
        <w:rPr>
          <w:rFonts w:asciiTheme="minorHAnsi" w:eastAsiaTheme="minorEastAsia" w:hAnsiTheme="minorHAnsi" w:cstheme="minorBidi"/>
          <w:caps w:val="0"/>
          <w:sz w:val="22"/>
          <w:szCs w:val="22"/>
        </w:rPr>
      </w:pPr>
      <w:hyperlink w:anchor="_Toc33437925" w:history="1">
        <w:r w:rsidR="00C8221A" w:rsidRPr="007A3096">
          <w:rPr>
            <w:rStyle w:val="Lienhypertexte"/>
          </w:rPr>
          <w:t>2.3 - Composants du TRT</w:t>
        </w:r>
        <w:r w:rsidR="00C8221A">
          <w:rPr>
            <w:webHidden/>
          </w:rPr>
          <w:tab/>
        </w:r>
        <w:r w:rsidR="00C8221A">
          <w:rPr>
            <w:webHidden/>
          </w:rPr>
          <w:fldChar w:fldCharType="begin"/>
        </w:r>
        <w:r w:rsidR="00C8221A">
          <w:rPr>
            <w:webHidden/>
          </w:rPr>
          <w:instrText xml:space="preserve"> PAGEREF _Toc33437925 \h </w:instrText>
        </w:r>
        <w:r w:rsidR="00C8221A">
          <w:rPr>
            <w:webHidden/>
          </w:rPr>
        </w:r>
        <w:r w:rsidR="00C8221A">
          <w:rPr>
            <w:webHidden/>
          </w:rPr>
          <w:fldChar w:fldCharType="separate"/>
        </w:r>
        <w:r w:rsidR="00C8221A">
          <w:rPr>
            <w:webHidden/>
          </w:rPr>
          <w:t>9</w:t>
        </w:r>
        <w:r w:rsidR="00C8221A">
          <w:rPr>
            <w:webHidden/>
          </w:rPr>
          <w:fldChar w:fldCharType="end"/>
        </w:r>
      </w:hyperlink>
    </w:p>
    <w:p w14:paraId="5D179E0B" w14:textId="77777777" w:rsidR="00C8221A" w:rsidRDefault="00CA2736">
      <w:pPr>
        <w:pStyle w:val="TM3"/>
        <w:rPr>
          <w:rFonts w:asciiTheme="minorHAnsi" w:eastAsiaTheme="minorEastAsia" w:hAnsiTheme="minorHAnsi" w:cstheme="minorBidi"/>
          <w:sz w:val="22"/>
          <w:szCs w:val="22"/>
        </w:rPr>
      </w:pPr>
      <w:hyperlink w:anchor="_Toc33437926" w:history="1">
        <w:r w:rsidR="00C8221A" w:rsidRPr="007A3096">
          <w:rPr>
            <w:rStyle w:val="Lienhypertexte"/>
          </w:rPr>
          <w:t>2.3.1 - SGV de test</w:t>
        </w:r>
        <w:r w:rsidR="00C8221A">
          <w:rPr>
            <w:webHidden/>
          </w:rPr>
          <w:tab/>
        </w:r>
        <w:r w:rsidR="00C8221A">
          <w:rPr>
            <w:webHidden/>
          </w:rPr>
          <w:fldChar w:fldCharType="begin"/>
        </w:r>
        <w:r w:rsidR="00C8221A">
          <w:rPr>
            <w:webHidden/>
          </w:rPr>
          <w:instrText xml:space="preserve"> PAGEREF _Toc33437926 \h </w:instrText>
        </w:r>
        <w:r w:rsidR="00C8221A">
          <w:rPr>
            <w:webHidden/>
          </w:rPr>
        </w:r>
        <w:r w:rsidR="00C8221A">
          <w:rPr>
            <w:webHidden/>
          </w:rPr>
          <w:fldChar w:fldCharType="separate"/>
        </w:r>
        <w:r w:rsidR="00C8221A">
          <w:rPr>
            <w:webHidden/>
          </w:rPr>
          <w:t>9</w:t>
        </w:r>
        <w:r w:rsidR="00C8221A">
          <w:rPr>
            <w:webHidden/>
          </w:rPr>
          <w:fldChar w:fldCharType="end"/>
        </w:r>
      </w:hyperlink>
    </w:p>
    <w:p w14:paraId="6E16EEF9" w14:textId="77777777" w:rsidR="00C8221A" w:rsidRDefault="00CA2736">
      <w:pPr>
        <w:pStyle w:val="TM3"/>
        <w:rPr>
          <w:rFonts w:asciiTheme="minorHAnsi" w:eastAsiaTheme="minorEastAsia" w:hAnsiTheme="minorHAnsi" w:cstheme="minorBidi"/>
          <w:sz w:val="22"/>
          <w:szCs w:val="22"/>
        </w:rPr>
      </w:pPr>
      <w:hyperlink w:anchor="_Toc33437927" w:history="1">
        <w:r w:rsidR="00C8221A" w:rsidRPr="007A3096">
          <w:rPr>
            <w:rStyle w:val="Lienhypertexte"/>
          </w:rPr>
          <w:t>2.3.2 - Présentation d’un appareil type</w:t>
        </w:r>
        <w:r w:rsidR="00C8221A">
          <w:rPr>
            <w:webHidden/>
          </w:rPr>
          <w:tab/>
        </w:r>
        <w:r w:rsidR="00C8221A">
          <w:rPr>
            <w:webHidden/>
          </w:rPr>
          <w:fldChar w:fldCharType="begin"/>
        </w:r>
        <w:r w:rsidR="00C8221A">
          <w:rPr>
            <w:webHidden/>
          </w:rPr>
          <w:instrText xml:space="preserve"> PAGEREF _Toc33437927 \h </w:instrText>
        </w:r>
        <w:r w:rsidR="00C8221A">
          <w:rPr>
            <w:webHidden/>
          </w:rPr>
        </w:r>
        <w:r w:rsidR="00C8221A">
          <w:rPr>
            <w:webHidden/>
          </w:rPr>
          <w:fldChar w:fldCharType="separate"/>
        </w:r>
        <w:r w:rsidR="00C8221A">
          <w:rPr>
            <w:webHidden/>
          </w:rPr>
          <w:t>10</w:t>
        </w:r>
        <w:r w:rsidR="00C8221A">
          <w:rPr>
            <w:webHidden/>
          </w:rPr>
          <w:fldChar w:fldCharType="end"/>
        </w:r>
      </w:hyperlink>
    </w:p>
    <w:p w14:paraId="00DAC4A4" w14:textId="77777777" w:rsidR="00C8221A" w:rsidRDefault="00CA2736">
      <w:pPr>
        <w:pStyle w:val="TM3"/>
        <w:rPr>
          <w:rFonts w:asciiTheme="minorHAnsi" w:eastAsiaTheme="minorEastAsia" w:hAnsiTheme="minorHAnsi" w:cstheme="minorBidi"/>
          <w:sz w:val="22"/>
          <w:szCs w:val="22"/>
        </w:rPr>
      </w:pPr>
      <w:hyperlink w:anchor="_Toc33437928" w:history="1">
        <w:r w:rsidR="00C8221A" w:rsidRPr="007A3096">
          <w:rPr>
            <w:rStyle w:val="Lienhypertexte"/>
          </w:rPr>
          <w:t>2.3.3 - Précision de l’appareil de TRT</w:t>
        </w:r>
        <w:r w:rsidR="00C8221A">
          <w:rPr>
            <w:webHidden/>
          </w:rPr>
          <w:tab/>
        </w:r>
        <w:r w:rsidR="00C8221A">
          <w:rPr>
            <w:webHidden/>
          </w:rPr>
          <w:fldChar w:fldCharType="begin"/>
        </w:r>
        <w:r w:rsidR="00C8221A">
          <w:rPr>
            <w:webHidden/>
          </w:rPr>
          <w:instrText xml:space="preserve"> PAGEREF _Toc33437928 \h </w:instrText>
        </w:r>
        <w:r w:rsidR="00C8221A">
          <w:rPr>
            <w:webHidden/>
          </w:rPr>
        </w:r>
        <w:r w:rsidR="00C8221A">
          <w:rPr>
            <w:webHidden/>
          </w:rPr>
          <w:fldChar w:fldCharType="separate"/>
        </w:r>
        <w:r w:rsidR="00C8221A">
          <w:rPr>
            <w:webHidden/>
          </w:rPr>
          <w:t>10</w:t>
        </w:r>
        <w:r w:rsidR="00C8221A">
          <w:rPr>
            <w:webHidden/>
          </w:rPr>
          <w:fldChar w:fldCharType="end"/>
        </w:r>
      </w:hyperlink>
    </w:p>
    <w:p w14:paraId="63B6768E" w14:textId="77777777" w:rsidR="00C8221A" w:rsidRDefault="00CA2736">
      <w:pPr>
        <w:pStyle w:val="TM2"/>
        <w:rPr>
          <w:rFonts w:asciiTheme="minorHAnsi" w:eastAsiaTheme="minorEastAsia" w:hAnsiTheme="minorHAnsi" w:cstheme="minorBidi"/>
          <w:caps w:val="0"/>
          <w:sz w:val="22"/>
          <w:szCs w:val="22"/>
        </w:rPr>
      </w:pPr>
      <w:hyperlink w:anchor="_Toc33437929" w:history="1">
        <w:r w:rsidR="00C8221A" w:rsidRPr="007A3096">
          <w:rPr>
            <w:rStyle w:val="Lienhypertexte"/>
          </w:rPr>
          <w:t>2.4 - Procédure de mise en œuvre</w:t>
        </w:r>
        <w:r w:rsidR="00C8221A">
          <w:rPr>
            <w:webHidden/>
          </w:rPr>
          <w:tab/>
        </w:r>
        <w:r w:rsidR="00C8221A">
          <w:rPr>
            <w:webHidden/>
          </w:rPr>
          <w:fldChar w:fldCharType="begin"/>
        </w:r>
        <w:r w:rsidR="00C8221A">
          <w:rPr>
            <w:webHidden/>
          </w:rPr>
          <w:instrText xml:space="preserve"> PAGEREF _Toc33437929 \h </w:instrText>
        </w:r>
        <w:r w:rsidR="00C8221A">
          <w:rPr>
            <w:webHidden/>
          </w:rPr>
        </w:r>
        <w:r w:rsidR="00C8221A">
          <w:rPr>
            <w:webHidden/>
          </w:rPr>
          <w:fldChar w:fldCharType="separate"/>
        </w:r>
        <w:r w:rsidR="00C8221A">
          <w:rPr>
            <w:webHidden/>
          </w:rPr>
          <w:t>11</w:t>
        </w:r>
        <w:r w:rsidR="00C8221A">
          <w:rPr>
            <w:webHidden/>
          </w:rPr>
          <w:fldChar w:fldCharType="end"/>
        </w:r>
      </w:hyperlink>
    </w:p>
    <w:p w14:paraId="69EF2184" w14:textId="77777777" w:rsidR="00C8221A" w:rsidRDefault="00CA2736">
      <w:pPr>
        <w:pStyle w:val="TM3"/>
        <w:rPr>
          <w:rFonts w:asciiTheme="minorHAnsi" w:eastAsiaTheme="minorEastAsia" w:hAnsiTheme="minorHAnsi" w:cstheme="minorBidi"/>
          <w:sz w:val="22"/>
          <w:szCs w:val="22"/>
        </w:rPr>
      </w:pPr>
      <w:hyperlink w:anchor="_Toc33437930" w:history="1">
        <w:r w:rsidR="00C8221A" w:rsidRPr="007A3096">
          <w:rPr>
            <w:rStyle w:val="Lienhypertexte"/>
          </w:rPr>
          <w:t>2.4.1 - Délai entre la pose et la mesure</w:t>
        </w:r>
        <w:r w:rsidR="00C8221A">
          <w:rPr>
            <w:webHidden/>
          </w:rPr>
          <w:tab/>
        </w:r>
        <w:r w:rsidR="00C8221A">
          <w:rPr>
            <w:webHidden/>
          </w:rPr>
          <w:fldChar w:fldCharType="begin"/>
        </w:r>
        <w:r w:rsidR="00C8221A">
          <w:rPr>
            <w:webHidden/>
          </w:rPr>
          <w:instrText xml:space="preserve"> PAGEREF _Toc33437930 \h </w:instrText>
        </w:r>
        <w:r w:rsidR="00C8221A">
          <w:rPr>
            <w:webHidden/>
          </w:rPr>
        </w:r>
        <w:r w:rsidR="00C8221A">
          <w:rPr>
            <w:webHidden/>
          </w:rPr>
          <w:fldChar w:fldCharType="separate"/>
        </w:r>
        <w:r w:rsidR="00C8221A">
          <w:rPr>
            <w:webHidden/>
          </w:rPr>
          <w:t>11</w:t>
        </w:r>
        <w:r w:rsidR="00C8221A">
          <w:rPr>
            <w:webHidden/>
          </w:rPr>
          <w:fldChar w:fldCharType="end"/>
        </w:r>
      </w:hyperlink>
    </w:p>
    <w:p w14:paraId="15E5BAE5" w14:textId="77777777" w:rsidR="00C8221A" w:rsidRDefault="00CA2736">
      <w:pPr>
        <w:pStyle w:val="TM3"/>
        <w:rPr>
          <w:rFonts w:asciiTheme="minorHAnsi" w:eastAsiaTheme="minorEastAsia" w:hAnsiTheme="minorHAnsi" w:cstheme="minorBidi"/>
          <w:sz w:val="22"/>
          <w:szCs w:val="22"/>
        </w:rPr>
      </w:pPr>
      <w:hyperlink w:anchor="_Toc33437931" w:history="1">
        <w:r w:rsidR="00C8221A" w:rsidRPr="007A3096">
          <w:rPr>
            <w:rStyle w:val="Lienhypertexte"/>
          </w:rPr>
          <w:t>2.4.2 - Mesure de la température stabilisée du sous-sol</w:t>
        </w:r>
        <w:r w:rsidR="00C8221A">
          <w:rPr>
            <w:webHidden/>
          </w:rPr>
          <w:tab/>
        </w:r>
        <w:r w:rsidR="00C8221A">
          <w:rPr>
            <w:webHidden/>
          </w:rPr>
          <w:fldChar w:fldCharType="begin"/>
        </w:r>
        <w:r w:rsidR="00C8221A">
          <w:rPr>
            <w:webHidden/>
          </w:rPr>
          <w:instrText xml:space="preserve"> PAGEREF _Toc33437931 \h </w:instrText>
        </w:r>
        <w:r w:rsidR="00C8221A">
          <w:rPr>
            <w:webHidden/>
          </w:rPr>
        </w:r>
        <w:r w:rsidR="00C8221A">
          <w:rPr>
            <w:webHidden/>
          </w:rPr>
          <w:fldChar w:fldCharType="separate"/>
        </w:r>
        <w:r w:rsidR="00C8221A">
          <w:rPr>
            <w:webHidden/>
          </w:rPr>
          <w:t>11</w:t>
        </w:r>
        <w:r w:rsidR="00C8221A">
          <w:rPr>
            <w:webHidden/>
          </w:rPr>
          <w:fldChar w:fldCharType="end"/>
        </w:r>
      </w:hyperlink>
    </w:p>
    <w:p w14:paraId="293F92EC" w14:textId="77777777" w:rsidR="00C8221A" w:rsidRDefault="00CA2736">
      <w:pPr>
        <w:pStyle w:val="TM3"/>
        <w:rPr>
          <w:rFonts w:asciiTheme="minorHAnsi" w:eastAsiaTheme="minorEastAsia" w:hAnsiTheme="minorHAnsi" w:cstheme="minorBidi"/>
          <w:sz w:val="22"/>
          <w:szCs w:val="22"/>
        </w:rPr>
      </w:pPr>
      <w:hyperlink w:anchor="_Toc33437932" w:history="1">
        <w:r w:rsidR="00C8221A" w:rsidRPr="007A3096">
          <w:rPr>
            <w:rStyle w:val="Lienhypertexte"/>
          </w:rPr>
          <w:t>2.4.3 - Choix des paramètres du test</w:t>
        </w:r>
        <w:r w:rsidR="00C8221A">
          <w:rPr>
            <w:webHidden/>
          </w:rPr>
          <w:tab/>
        </w:r>
        <w:r w:rsidR="00C8221A">
          <w:rPr>
            <w:webHidden/>
          </w:rPr>
          <w:fldChar w:fldCharType="begin"/>
        </w:r>
        <w:r w:rsidR="00C8221A">
          <w:rPr>
            <w:webHidden/>
          </w:rPr>
          <w:instrText xml:space="preserve"> PAGEREF _Toc33437932 \h </w:instrText>
        </w:r>
        <w:r w:rsidR="00C8221A">
          <w:rPr>
            <w:webHidden/>
          </w:rPr>
        </w:r>
        <w:r w:rsidR="00C8221A">
          <w:rPr>
            <w:webHidden/>
          </w:rPr>
          <w:fldChar w:fldCharType="separate"/>
        </w:r>
        <w:r w:rsidR="00C8221A">
          <w:rPr>
            <w:webHidden/>
          </w:rPr>
          <w:t>13</w:t>
        </w:r>
        <w:r w:rsidR="00C8221A">
          <w:rPr>
            <w:webHidden/>
          </w:rPr>
          <w:fldChar w:fldCharType="end"/>
        </w:r>
      </w:hyperlink>
    </w:p>
    <w:p w14:paraId="06F43643" w14:textId="77777777" w:rsidR="00C8221A" w:rsidRDefault="00CA2736">
      <w:pPr>
        <w:pStyle w:val="TM3"/>
        <w:rPr>
          <w:rFonts w:asciiTheme="minorHAnsi" w:eastAsiaTheme="minorEastAsia" w:hAnsiTheme="minorHAnsi" w:cstheme="minorBidi"/>
          <w:sz w:val="22"/>
          <w:szCs w:val="22"/>
        </w:rPr>
      </w:pPr>
      <w:hyperlink w:anchor="_Toc33437933" w:history="1">
        <w:r w:rsidR="00C8221A" w:rsidRPr="007A3096">
          <w:rPr>
            <w:rStyle w:val="Lienhypertexte"/>
          </w:rPr>
          <w:t>2.4.4 - Durée du test</w:t>
        </w:r>
        <w:r w:rsidR="00C8221A">
          <w:rPr>
            <w:webHidden/>
          </w:rPr>
          <w:tab/>
        </w:r>
        <w:r w:rsidR="00C8221A">
          <w:rPr>
            <w:webHidden/>
          </w:rPr>
          <w:fldChar w:fldCharType="begin"/>
        </w:r>
        <w:r w:rsidR="00C8221A">
          <w:rPr>
            <w:webHidden/>
          </w:rPr>
          <w:instrText xml:space="preserve"> PAGEREF _Toc33437933 \h </w:instrText>
        </w:r>
        <w:r w:rsidR="00C8221A">
          <w:rPr>
            <w:webHidden/>
          </w:rPr>
        </w:r>
        <w:r w:rsidR="00C8221A">
          <w:rPr>
            <w:webHidden/>
          </w:rPr>
          <w:fldChar w:fldCharType="separate"/>
        </w:r>
        <w:r w:rsidR="00C8221A">
          <w:rPr>
            <w:webHidden/>
          </w:rPr>
          <w:t>13</w:t>
        </w:r>
        <w:r w:rsidR="00C8221A">
          <w:rPr>
            <w:webHidden/>
          </w:rPr>
          <w:fldChar w:fldCharType="end"/>
        </w:r>
      </w:hyperlink>
    </w:p>
    <w:p w14:paraId="61D2699A" w14:textId="77777777" w:rsidR="00C8221A" w:rsidRDefault="00CA2736">
      <w:pPr>
        <w:pStyle w:val="TM3"/>
        <w:rPr>
          <w:rFonts w:asciiTheme="minorHAnsi" w:eastAsiaTheme="minorEastAsia" w:hAnsiTheme="minorHAnsi" w:cstheme="minorBidi"/>
          <w:sz w:val="22"/>
          <w:szCs w:val="22"/>
        </w:rPr>
      </w:pPr>
      <w:hyperlink w:anchor="_Toc33437934" w:history="1">
        <w:r w:rsidR="00C8221A" w:rsidRPr="007A3096">
          <w:rPr>
            <w:rStyle w:val="Lienhypertexte"/>
          </w:rPr>
          <w:t>2.4.5 - Interruption involontaire du test</w:t>
        </w:r>
        <w:r w:rsidR="00C8221A">
          <w:rPr>
            <w:webHidden/>
          </w:rPr>
          <w:tab/>
        </w:r>
        <w:r w:rsidR="00C8221A">
          <w:rPr>
            <w:webHidden/>
          </w:rPr>
          <w:fldChar w:fldCharType="begin"/>
        </w:r>
        <w:r w:rsidR="00C8221A">
          <w:rPr>
            <w:webHidden/>
          </w:rPr>
          <w:instrText xml:space="preserve"> PAGEREF _Toc33437934 \h </w:instrText>
        </w:r>
        <w:r w:rsidR="00C8221A">
          <w:rPr>
            <w:webHidden/>
          </w:rPr>
        </w:r>
        <w:r w:rsidR="00C8221A">
          <w:rPr>
            <w:webHidden/>
          </w:rPr>
          <w:fldChar w:fldCharType="separate"/>
        </w:r>
        <w:r w:rsidR="00C8221A">
          <w:rPr>
            <w:webHidden/>
          </w:rPr>
          <w:t>13</w:t>
        </w:r>
        <w:r w:rsidR="00C8221A">
          <w:rPr>
            <w:webHidden/>
          </w:rPr>
          <w:fldChar w:fldCharType="end"/>
        </w:r>
      </w:hyperlink>
    </w:p>
    <w:p w14:paraId="602A1ACD" w14:textId="77777777" w:rsidR="00C8221A" w:rsidRDefault="00CA2736">
      <w:pPr>
        <w:pStyle w:val="TM1"/>
        <w:rPr>
          <w:rFonts w:asciiTheme="minorHAnsi" w:eastAsiaTheme="minorEastAsia" w:hAnsiTheme="minorHAnsi" w:cstheme="minorBidi"/>
          <w:b w:val="0"/>
          <w:caps w:val="0"/>
          <w:color w:val="auto"/>
          <w:sz w:val="22"/>
          <w:szCs w:val="22"/>
        </w:rPr>
      </w:pPr>
      <w:hyperlink w:anchor="_Toc33437935" w:history="1">
        <w:r w:rsidR="00C8221A" w:rsidRPr="007A3096">
          <w:rPr>
            <w:rStyle w:val="Lienhypertexte"/>
          </w:rPr>
          <w:t>3 - Interprétation du TRT</w:t>
        </w:r>
        <w:r w:rsidR="00C8221A">
          <w:rPr>
            <w:webHidden/>
          </w:rPr>
          <w:tab/>
        </w:r>
        <w:r w:rsidR="00C8221A">
          <w:rPr>
            <w:webHidden/>
          </w:rPr>
          <w:fldChar w:fldCharType="begin"/>
        </w:r>
        <w:r w:rsidR="00C8221A">
          <w:rPr>
            <w:webHidden/>
          </w:rPr>
          <w:instrText xml:space="preserve"> PAGEREF _Toc33437935 \h </w:instrText>
        </w:r>
        <w:r w:rsidR="00C8221A">
          <w:rPr>
            <w:webHidden/>
          </w:rPr>
        </w:r>
        <w:r w:rsidR="00C8221A">
          <w:rPr>
            <w:webHidden/>
          </w:rPr>
          <w:fldChar w:fldCharType="separate"/>
        </w:r>
        <w:r w:rsidR="00C8221A">
          <w:rPr>
            <w:webHidden/>
          </w:rPr>
          <w:t>14</w:t>
        </w:r>
        <w:r w:rsidR="00C8221A">
          <w:rPr>
            <w:webHidden/>
          </w:rPr>
          <w:fldChar w:fldCharType="end"/>
        </w:r>
      </w:hyperlink>
    </w:p>
    <w:p w14:paraId="4A530CDA" w14:textId="77777777" w:rsidR="00C8221A" w:rsidRDefault="00CA2736">
      <w:pPr>
        <w:pStyle w:val="TM1"/>
        <w:rPr>
          <w:rFonts w:asciiTheme="minorHAnsi" w:eastAsiaTheme="minorEastAsia" w:hAnsiTheme="minorHAnsi" w:cstheme="minorBidi"/>
          <w:b w:val="0"/>
          <w:caps w:val="0"/>
          <w:color w:val="auto"/>
          <w:sz w:val="22"/>
          <w:szCs w:val="22"/>
        </w:rPr>
      </w:pPr>
      <w:hyperlink w:anchor="_Toc33437936" w:history="1">
        <w:r w:rsidR="00C8221A" w:rsidRPr="007A3096">
          <w:rPr>
            <w:rStyle w:val="Lienhypertexte"/>
          </w:rPr>
          <w:t>4 - RESULTATS ET Contenu du rapport de TRT</w:t>
        </w:r>
        <w:r w:rsidR="00C8221A">
          <w:rPr>
            <w:webHidden/>
          </w:rPr>
          <w:tab/>
        </w:r>
        <w:r w:rsidR="00C8221A">
          <w:rPr>
            <w:webHidden/>
          </w:rPr>
          <w:fldChar w:fldCharType="begin"/>
        </w:r>
        <w:r w:rsidR="00C8221A">
          <w:rPr>
            <w:webHidden/>
          </w:rPr>
          <w:instrText xml:space="preserve"> PAGEREF _Toc33437936 \h </w:instrText>
        </w:r>
        <w:r w:rsidR="00C8221A">
          <w:rPr>
            <w:webHidden/>
          </w:rPr>
        </w:r>
        <w:r w:rsidR="00C8221A">
          <w:rPr>
            <w:webHidden/>
          </w:rPr>
          <w:fldChar w:fldCharType="separate"/>
        </w:r>
        <w:r w:rsidR="00C8221A">
          <w:rPr>
            <w:webHidden/>
          </w:rPr>
          <w:t>17</w:t>
        </w:r>
        <w:r w:rsidR="00C8221A">
          <w:rPr>
            <w:webHidden/>
          </w:rPr>
          <w:fldChar w:fldCharType="end"/>
        </w:r>
      </w:hyperlink>
    </w:p>
    <w:p w14:paraId="6F20F3FD" w14:textId="77777777" w:rsidR="00C8221A" w:rsidRDefault="00CA2736">
      <w:pPr>
        <w:pStyle w:val="TM2"/>
        <w:rPr>
          <w:rFonts w:asciiTheme="minorHAnsi" w:eastAsiaTheme="minorEastAsia" w:hAnsiTheme="minorHAnsi" w:cstheme="minorBidi"/>
          <w:caps w:val="0"/>
          <w:sz w:val="22"/>
          <w:szCs w:val="22"/>
        </w:rPr>
      </w:pPr>
      <w:hyperlink w:anchor="_Toc33437937" w:history="1">
        <w:r w:rsidR="00C8221A" w:rsidRPr="007A3096">
          <w:rPr>
            <w:rStyle w:val="Lienhypertexte"/>
          </w:rPr>
          <w:t>4.1 - Données du projet</w:t>
        </w:r>
        <w:r w:rsidR="00C8221A">
          <w:rPr>
            <w:webHidden/>
          </w:rPr>
          <w:tab/>
        </w:r>
        <w:r w:rsidR="00C8221A">
          <w:rPr>
            <w:webHidden/>
          </w:rPr>
          <w:fldChar w:fldCharType="begin"/>
        </w:r>
        <w:r w:rsidR="00C8221A">
          <w:rPr>
            <w:webHidden/>
          </w:rPr>
          <w:instrText xml:space="preserve"> PAGEREF _Toc33437937 \h </w:instrText>
        </w:r>
        <w:r w:rsidR="00C8221A">
          <w:rPr>
            <w:webHidden/>
          </w:rPr>
        </w:r>
        <w:r w:rsidR="00C8221A">
          <w:rPr>
            <w:webHidden/>
          </w:rPr>
          <w:fldChar w:fldCharType="separate"/>
        </w:r>
        <w:r w:rsidR="00C8221A">
          <w:rPr>
            <w:webHidden/>
          </w:rPr>
          <w:t>17</w:t>
        </w:r>
        <w:r w:rsidR="00C8221A">
          <w:rPr>
            <w:webHidden/>
          </w:rPr>
          <w:fldChar w:fldCharType="end"/>
        </w:r>
      </w:hyperlink>
    </w:p>
    <w:p w14:paraId="5E3D2738" w14:textId="77777777" w:rsidR="00C8221A" w:rsidRDefault="00CA2736">
      <w:pPr>
        <w:pStyle w:val="TM2"/>
        <w:rPr>
          <w:rFonts w:asciiTheme="minorHAnsi" w:eastAsiaTheme="minorEastAsia" w:hAnsiTheme="minorHAnsi" w:cstheme="minorBidi"/>
          <w:caps w:val="0"/>
          <w:sz w:val="22"/>
          <w:szCs w:val="22"/>
        </w:rPr>
      </w:pPr>
      <w:hyperlink w:anchor="_Toc33437938" w:history="1">
        <w:r w:rsidR="00C8221A" w:rsidRPr="007A3096">
          <w:rPr>
            <w:rStyle w:val="Lienhypertexte"/>
          </w:rPr>
          <w:t>4.2 - Dispositif de mesure</w:t>
        </w:r>
        <w:r w:rsidR="00C8221A">
          <w:rPr>
            <w:webHidden/>
          </w:rPr>
          <w:tab/>
        </w:r>
        <w:r w:rsidR="00C8221A">
          <w:rPr>
            <w:webHidden/>
          </w:rPr>
          <w:fldChar w:fldCharType="begin"/>
        </w:r>
        <w:r w:rsidR="00C8221A">
          <w:rPr>
            <w:webHidden/>
          </w:rPr>
          <w:instrText xml:space="preserve"> PAGEREF _Toc33437938 \h </w:instrText>
        </w:r>
        <w:r w:rsidR="00C8221A">
          <w:rPr>
            <w:webHidden/>
          </w:rPr>
        </w:r>
        <w:r w:rsidR="00C8221A">
          <w:rPr>
            <w:webHidden/>
          </w:rPr>
          <w:fldChar w:fldCharType="separate"/>
        </w:r>
        <w:r w:rsidR="00C8221A">
          <w:rPr>
            <w:webHidden/>
          </w:rPr>
          <w:t>17</w:t>
        </w:r>
        <w:r w:rsidR="00C8221A">
          <w:rPr>
            <w:webHidden/>
          </w:rPr>
          <w:fldChar w:fldCharType="end"/>
        </w:r>
      </w:hyperlink>
    </w:p>
    <w:p w14:paraId="6B16885A" w14:textId="77777777" w:rsidR="00C8221A" w:rsidRDefault="00CA2736">
      <w:pPr>
        <w:pStyle w:val="TM2"/>
        <w:rPr>
          <w:rFonts w:asciiTheme="minorHAnsi" w:eastAsiaTheme="minorEastAsia" w:hAnsiTheme="minorHAnsi" w:cstheme="minorBidi"/>
          <w:caps w:val="0"/>
          <w:sz w:val="22"/>
          <w:szCs w:val="22"/>
        </w:rPr>
      </w:pPr>
      <w:hyperlink w:anchor="_Toc33437939" w:history="1">
        <w:r w:rsidR="00C8221A" w:rsidRPr="007A3096">
          <w:rPr>
            <w:rStyle w:val="Lienhypertexte"/>
          </w:rPr>
          <w:t>4.3 - SGV test</w:t>
        </w:r>
        <w:r w:rsidR="00C8221A">
          <w:rPr>
            <w:webHidden/>
          </w:rPr>
          <w:tab/>
        </w:r>
        <w:r w:rsidR="00C8221A">
          <w:rPr>
            <w:webHidden/>
          </w:rPr>
          <w:fldChar w:fldCharType="begin"/>
        </w:r>
        <w:r w:rsidR="00C8221A">
          <w:rPr>
            <w:webHidden/>
          </w:rPr>
          <w:instrText xml:space="preserve"> PAGEREF _Toc33437939 \h </w:instrText>
        </w:r>
        <w:r w:rsidR="00C8221A">
          <w:rPr>
            <w:webHidden/>
          </w:rPr>
        </w:r>
        <w:r w:rsidR="00C8221A">
          <w:rPr>
            <w:webHidden/>
          </w:rPr>
          <w:fldChar w:fldCharType="separate"/>
        </w:r>
        <w:r w:rsidR="00C8221A">
          <w:rPr>
            <w:webHidden/>
          </w:rPr>
          <w:t>17</w:t>
        </w:r>
        <w:r w:rsidR="00C8221A">
          <w:rPr>
            <w:webHidden/>
          </w:rPr>
          <w:fldChar w:fldCharType="end"/>
        </w:r>
      </w:hyperlink>
    </w:p>
    <w:p w14:paraId="5A79CBF2" w14:textId="77777777" w:rsidR="00C8221A" w:rsidRDefault="00CA2736">
      <w:pPr>
        <w:pStyle w:val="TM2"/>
        <w:rPr>
          <w:rFonts w:asciiTheme="minorHAnsi" w:eastAsiaTheme="minorEastAsia" w:hAnsiTheme="minorHAnsi" w:cstheme="minorBidi"/>
          <w:caps w:val="0"/>
          <w:sz w:val="22"/>
          <w:szCs w:val="22"/>
        </w:rPr>
      </w:pPr>
      <w:hyperlink w:anchor="_Toc33437940" w:history="1">
        <w:r w:rsidR="00C8221A" w:rsidRPr="007A3096">
          <w:rPr>
            <w:rStyle w:val="Lienhypertexte"/>
          </w:rPr>
          <w:t>4.4 - Analyse bibliographique</w:t>
        </w:r>
        <w:r w:rsidR="00C8221A">
          <w:rPr>
            <w:webHidden/>
          </w:rPr>
          <w:tab/>
        </w:r>
        <w:r w:rsidR="00C8221A">
          <w:rPr>
            <w:webHidden/>
          </w:rPr>
          <w:fldChar w:fldCharType="begin"/>
        </w:r>
        <w:r w:rsidR="00C8221A">
          <w:rPr>
            <w:webHidden/>
          </w:rPr>
          <w:instrText xml:space="preserve"> PAGEREF _Toc33437940 \h </w:instrText>
        </w:r>
        <w:r w:rsidR="00C8221A">
          <w:rPr>
            <w:webHidden/>
          </w:rPr>
        </w:r>
        <w:r w:rsidR="00C8221A">
          <w:rPr>
            <w:webHidden/>
          </w:rPr>
          <w:fldChar w:fldCharType="separate"/>
        </w:r>
        <w:r w:rsidR="00C8221A">
          <w:rPr>
            <w:webHidden/>
          </w:rPr>
          <w:t>17</w:t>
        </w:r>
        <w:r w:rsidR="00C8221A">
          <w:rPr>
            <w:webHidden/>
          </w:rPr>
          <w:fldChar w:fldCharType="end"/>
        </w:r>
      </w:hyperlink>
    </w:p>
    <w:p w14:paraId="0D91E872" w14:textId="77777777" w:rsidR="00C8221A" w:rsidRDefault="00CA2736">
      <w:pPr>
        <w:pStyle w:val="TM2"/>
        <w:rPr>
          <w:rFonts w:asciiTheme="minorHAnsi" w:eastAsiaTheme="minorEastAsia" w:hAnsiTheme="minorHAnsi" w:cstheme="minorBidi"/>
          <w:caps w:val="0"/>
          <w:sz w:val="22"/>
          <w:szCs w:val="22"/>
        </w:rPr>
      </w:pPr>
      <w:hyperlink w:anchor="_Toc33437941" w:history="1">
        <w:r w:rsidR="00C8221A" w:rsidRPr="007A3096">
          <w:rPr>
            <w:rStyle w:val="Lienhypertexte"/>
          </w:rPr>
          <w:t>4.5 - Paramètres de test</w:t>
        </w:r>
        <w:r w:rsidR="00C8221A">
          <w:rPr>
            <w:webHidden/>
          </w:rPr>
          <w:tab/>
        </w:r>
        <w:r w:rsidR="00C8221A">
          <w:rPr>
            <w:webHidden/>
          </w:rPr>
          <w:fldChar w:fldCharType="begin"/>
        </w:r>
        <w:r w:rsidR="00C8221A">
          <w:rPr>
            <w:webHidden/>
          </w:rPr>
          <w:instrText xml:space="preserve"> PAGEREF _Toc33437941 \h </w:instrText>
        </w:r>
        <w:r w:rsidR="00C8221A">
          <w:rPr>
            <w:webHidden/>
          </w:rPr>
        </w:r>
        <w:r w:rsidR="00C8221A">
          <w:rPr>
            <w:webHidden/>
          </w:rPr>
          <w:fldChar w:fldCharType="separate"/>
        </w:r>
        <w:r w:rsidR="00C8221A">
          <w:rPr>
            <w:webHidden/>
          </w:rPr>
          <w:t>18</w:t>
        </w:r>
        <w:r w:rsidR="00C8221A">
          <w:rPr>
            <w:webHidden/>
          </w:rPr>
          <w:fldChar w:fldCharType="end"/>
        </w:r>
      </w:hyperlink>
    </w:p>
    <w:p w14:paraId="318F159D" w14:textId="77777777" w:rsidR="00C8221A" w:rsidRDefault="00CA2736">
      <w:pPr>
        <w:pStyle w:val="TM2"/>
        <w:rPr>
          <w:rFonts w:asciiTheme="minorHAnsi" w:eastAsiaTheme="minorEastAsia" w:hAnsiTheme="minorHAnsi" w:cstheme="minorBidi"/>
          <w:caps w:val="0"/>
          <w:sz w:val="22"/>
          <w:szCs w:val="22"/>
        </w:rPr>
      </w:pPr>
      <w:hyperlink w:anchor="_Toc33437942" w:history="1">
        <w:r w:rsidR="00C8221A" w:rsidRPr="007A3096">
          <w:rPr>
            <w:rStyle w:val="Lienhypertexte"/>
          </w:rPr>
          <w:t>4.6 - Courbes obtenues</w:t>
        </w:r>
        <w:r w:rsidR="00C8221A">
          <w:rPr>
            <w:webHidden/>
          </w:rPr>
          <w:tab/>
        </w:r>
        <w:r w:rsidR="00C8221A">
          <w:rPr>
            <w:webHidden/>
          </w:rPr>
          <w:fldChar w:fldCharType="begin"/>
        </w:r>
        <w:r w:rsidR="00C8221A">
          <w:rPr>
            <w:webHidden/>
          </w:rPr>
          <w:instrText xml:space="preserve"> PAGEREF _Toc33437942 \h </w:instrText>
        </w:r>
        <w:r w:rsidR="00C8221A">
          <w:rPr>
            <w:webHidden/>
          </w:rPr>
        </w:r>
        <w:r w:rsidR="00C8221A">
          <w:rPr>
            <w:webHidden/>
          </w:rPr>
          <w:fldChar w:fldCharType="separate"/>
        </w:r>
        <w:r w:rsidR="00C8221A">
          <w:rPr>
            <w:webHidden/>
          </w:rPr>
          <w:t>18</w:t>
        </w:r>
        <w:r w:rsidR="00C8221A">
          <w:rPr>
            <w:webHidden/>
          </w:rPr>
          <w:fldChar w:fldCharType="end"/>
        </w:r>
      </w:hyperlink>
    </w:p>
    <w:p w14:paraId="593CE45A" w14:textId="77777777" w:rsidR="00C8221A" w:rsidRDefault="00CA2736">
      <w:pPr>
        <w:pStyle w:val="TM2"/>
        <w:rPr>
          <w:rFonts w:asciiTheme="minorHAnsi" w:eastAsiaTheme="minorEastAsia" w:hAnsiTheme="minorHAnsi" w:cstheme="minorBidi"/>
          <w:caps w:val="0"/>
          <w:sz w:val="22"/>
          <w:szCs w:val="22"/>
        </w:rPr>
      </w:pPr>
      <w:hyperlink w:anchor="_Toc33437943" w:history="1">
        <w:r w:rsidR="00C8221A" w:rsidRPr="007A3096">
          <w:rPr>
            <w:rStyle w:val="Lienhypertexte"/>
          </w:rPr>
          <w:t>4.7 - Résultats</w:t>
        </w:r>
        <w:r w:rsidR="00C8221A">
          <w:rPr>
            <w:webHidden/>
          </w:rPr>
          <w:tab/>
        </w:r>
        <w:r w:rsidR="00C8221A">
          <w:rPr>
            <w:webHidden/>
          </w:rPr>
          <w:fldChar w:fldCharType="begin"/>
        </w:r>
        <w:r w:rsidR="00C8221A">
          <w:rPr>
            <w:webHidden/>
          </w:rPr>
          <w:instrText xml:space="preserve"> PAGEREF _Toc33437943 \h </w:instrText>
        </w:r>
        <w:r w:rsidR="00C8221A">
          <w:rPr>
            <w:webHidden/>
          </w:rPr>
        </w:r>
        <w:r w:rsidR="00C8221A">
          <w:rPr>
            <w:webHidden/>
          </w:rPr>
          <w:fldChar w:fldCharType="separate"/>
        </w:r>
        <w:r w:rsidR="00C8221A">
          <w:rPr>
            <w:webHidden/>
          </w:rPr>
          <w:t>18</w:t>
        </w:r>
        <w:r w:rsidR="00C8221A">
          <w:rPr>
            <w:webHidden/>
          </w:rPr>
          <w:fldChar w:fldCharType="end"/>
        </w:r>
      </w:hyperlink>
    </w:p>
    <w:p w14:paraId="10113301" w14:textId="77777777" w:rsidR="00C8221A" w:rsidRDefault="00CA2736">
      <w:pPr>
        <w:pStyle w:val="TM2"/>
        <w:rPr>
          <w:rFonts w:asciiTheme="minorHAnsi" w:eastAsiaTheme="minorEastAsia" w:hAnsiTheme="minorHAnsi" w:cstheme="minorBidi"/>
          <w:caps w:val="0"/>
          <w:sz w:val="22"/>
          <w:szCs w:val="22"/>
        </w:rPr>
      </w:pPr>
      <w:hyperlink w:anchor="_Toc33437944" w:history="1">
        <w:r w:rsidR="00C8221A" w:rsidRPr="007A3096">
          <w:rPr>
            <w:rStyle w:val="Lienhypertexte"/>
          </w:rPr>
          <w:t>4.8 - Interprétation</w:t>
        </w:r>
        <w:r w:rsidR="00C8221A">
          <w:rPr>
            <w:webHidden/>
          </w:rPr>
          <w:tab/>
        </w:r>
        <w:r w:rsidR="00C8221A">
          <w:rPr>
            <w:webHidden/>
          </w:rPr>
          <w:fldChar w:fldCharType="begin"/>
        </w:r>
        <w:r w:rsidR="00C8221A">
          <w:rPr>
            <w:webHidden/>
          </w:rPr>
          <w:instrText xml:space="preserve"> PAGEREF _Toc33437944 \h </w:instrText>
        </w:r>
        <w:r w:rsidR="00C8221A">
          <w:rPr>
            <w:webHidden/>
          </w:rPr>
        </w:r>
        <w:r w:rsidR="00C8221A">
          <w:rPr>
            <w:webHidden/>
          </w:rPr>
          <w:fldChar w:fldCharType="separate"/>
        </w:r>
        <w:r w:rsidR="00C8221A">
          <w:rPr>
            <w:webHidden/>
          </w:rPr>
          <w:t>18</w:t>
        </w:r>
        <w:r w:rsidR="00C8221A">
          <w:rPr>
            <w:webHidden/>
          </w:rPr>
          <w:fldChar w:fldCharType="end"/>
        </w:r>
      </w:hyperlink>
    </w:p>
    <w:p w14:paraId="7EDE6CD3" w14:textId="77777777" w:rsidR="00C8221A" w:rsidRDefault="00CA2736">
      <w:pPr>
        <w:pStyle w:val="TM2"/>
        <w:rPr>
          <w:rFonts w:asciiTheme="minorHAnsi" w:eastAsiaTheme="minorEastAsia" w:hAnsiTheme="minorHAnsi" w:cstheme="minorBidi"/>
          <w:caps w:val="0"/>
          <w:sz w:val="22"/>
          <w:szCs w:val="22"/>
        </w:rPr>
      </w:pPr>
      <w:hyperlink w:anchor="_Toc33437945" w:history="1">
        <w:r w:rsidR="00C8221A" w:rsidRPr="007A3096">
          <w:rPr>
            <w:rStyle w:val="Lienhypertexte"/>
          </w:rPr>
          <w:t>4.9 - Suites à donner</w:t>
        </w:r>
        <w:r w:rsidR="00C8221A">
          <w:rPr>
            <w:webHidden/>
          </w:rPr>
          <w:tab/>
        </w:r>
        <w:r w:rsidR="00C8221A">
          <w:rPr>
            <w:webHidden/>
          </w:rPr>
          <w:fldChar w:fldCharType="begin"/>
        </w:r>
        <w:r w:rsidR="00C8221A">
          <w:rPr>
            <w:webHidden/>
          </w:rPr>
          <w:instrText xml:space="preserve"> PAGEREF _Toc33437945 \h </w:instrText>
        </w:r>
        <w:r w:rsidR="00C8221A">
          <w:rPr>
            <w:webHidden/>
          </w:rPr>
        </w:r>
        <w:r w:rsidR="00C8221A">
          <w:rPr>
            <w:webHidden/>
          </w:rPr>
          <w:fldChar w:fldCharType="separate"/>
        </w:r>
        <w:r w:rsidR="00C8221A">
          <w:rPr>
            <w:webHidden/>
          </w:rPr>
          <w:t>19</w:t>
        </w:r>
        <w:r w:rsidR="00C8221A">
          <w:rPr>
            <w:webHidden/>
          </w:rPr>
          <w:fldChar w:fldCharType="end"/>
        </w:r>
      </w:hyperlink>
    </w:p>
    <w:p w14:paraId="3601D516" w14:textId="0CF450FC" w:rsidR="00C8221A" w:rsidRDefault="00CA2736">
      <w:pPr>
        <w:pStyle w:val="TM1"/>
        <w:rPr>
          <w:rFonts w:asciiTheme="minorHAnsi" w:eastAsiaTheme="minorEastAsia" w:hAnsiTheme="minorHAnsi" w:cstheme="minorBidi"/>
          <w:b w:val="0"/>
          <w:caps w:val="0"/>
          <w:color w:val="auto"/>
          <w:sz w:val="22"/>
          <w:szCs w:val="22"/>
        </w:rPr>
      </w:pPr>
      <w:hyperlink w:anchor="_Toc33437946" w:history="1">
        <w:r w:rsidR="00C8221A" w:rsidRPr="007A3096">
          <w:rPr>
            <w:rStyle w:val="Lienhypertexte"/>
          </w:rPr>
          <w:t xml:space="preserve">5 - COMITE DE </w:t>
        </w:r>
        <w:r w:rsidR="00613976">
          <w:rPr>
            <w:rStyle w:val="Lienhypertexte"/>
          </w:rPr>
          <w:t>suivi</w:t>
        </w:r>
        <w:r w:rsidR="00C8221A">
          <w:rPr>
            <w:webHidden/>
          </w:rPr>
          <w:tab/>
        </w:r>
        <w:r w:rsidR="00C8221A">
          <w:rPr>
            <w:webHidden/>
          </w:rPr>
          <w:fldChar w:fldCharType="begin"/>
        </w:r>
        <w:r w:rsidR="00C8221A">
          <w:rPr>
            <w:webHidden/>
          </w:rPr>
          <w:instrText xml:space="preserve"> PAGEREF _Toc33437946 \h </w:instrText>
        </w:r>
        <w:r w:rsidR="00C8221A">
          <w:rPr>
            <w:webHidden/>
          </w:rPr>
        </w:r>
        <w:r w:rsidR="00C8221A">
          <w:rPr>
            <w:webHidden/>
          </w:rPr>
          <w:fldChar w:fldCharType="separate"/>
        </w:r>
        <w:r w:rsidR="00C8221A">
          <w:rPr>
            <w:webHidden/>
          </w:rPr>
          <w:t>19</w:t>
        </w:r>
        <w:r w:rsidR="00C8221A">
          <w:rPr>
            <w:webHidden/>
          </w:rPr>
          <w:fldChar w:fldCharType="end"/>
        </w:r>
      </w:hyperlink>
    </w:p>
    <w:p w14:paraId="7F587F56" w14:textId="77777777" w:rsidR="00C8221A" w:rsidRDefault="00CA2736">
      <w:pPr>
        <w:pStyle w:val="TM1"/>
        <w:rPr>
          <w:rFonts w:asciiTheme="minorHAnsi" w:eastAsiaTheme="minorEastAsia" w:hAnsiTheme="minorHAnsi" w:cstheme="minorBidi"/>
          <w:b w:val="0"/>
          <w:caps w:val="0"/>
          <w:color w:val="auto"/>
          <w:sz w:val="22"/>
          <w:szCs w:val="22"/>
        </w:rPr>
      </w:pPr>
      <w:hyperlink w:anchor="_Toc33437947" w:history="1">
        <w:r w:rsidR="00C8221A" w:rsidRPr="007A3096">
          <w:rPr>
            <w:rStyle w:val="Lienhypertexte"/>
          </w:rPr>
          <w:t>6 - REUNIONS</w:t>
        </w:r>
        <w:r w:rsidR="00C8221A">
          <w:rPr>
            <w:webHidden/>
          </w:rPr>
          <w:tab/>
        </w:r>
        <w:r w:rsidR="00C8221A">
          <w:rPr>
            <w:webHidden/>
          </w:rPr>
          <w:fldChar w:fldCharType="begin"/>
        </w:r>
        <w:r w:rsidR="00C8221A">
          <w:rPr>
            <w:webHidden/>
          </w:rPr>
          <w:instrText xml:space="preserve"> PAGEREF _Toc33437947 \h </w:instrText>
        </w:r>
        <w:r w:rsidR="00C8221A">
          <w:rPr>
            <w:webHidden/>
          </w:rPr>
        </w:r>
        <w:r w:rsidR="00C8221A">
          <w:rPr>
            <w:webHidden/>
          </w:rPr>
          <w:fldChar w:fldCharType="separate"/>
        </w:r>
        <w:r w:rsidR="00C8221A">
          <w:rPr>
            <w:webHidden/>
          </w:rPr>
          <w:t>19</w:t>
        </w:r>
        <w:r w:rsidR="00C8221A">
          <w:rPr>
            <w:webHidden/>
          </w:rPr>
          <w:fldChar w:fldCharType="end"/>
        </w:r>
      </w:hyperlink>
    </w:p>
    <w:p w14:paraId="0119F7FD" w14:textId="77777777" w:rsidR="00C8221A" w:rsidRDefault="00CA2736">
      <w:pPr>
        <w:pStyle w:val="TM1"/>
        <w:rPr>
          <w:rFonts w:asciiTheme="minorHAnsi" w:eastAsiaTheme="minorEastAsia" w:hAnsiTheme="minorHAnsi" w:cstheme="minorBidi"/>
          <w:b w:val="0"/>
          <w:caps w:val="0"/>
          <w:color w:val="auto"/>
          <w:sz w:val="22"/>
          <w:szCs w:val="22"/>
        </w:rPr>
      </w:pPr>
      <w:hyperlink w:anchor="_Toc33437948" w:history="1">
        <w:r w:rsidR="00C8221A" w:rsidRPr="007A3096">
          <w:rPr>
            <w:rStyle w:val="Lienhypertexte"/>
          </w:rPr>
          <w:t>7 - DOCUMENTS</w:t>
        </w:r>
        <w:r w:rsidR="00C8221A">
          <w:rPr>
            <w:webHidden/>
          </w:rPr>
          <w:tab/>
        </w:r>
        <w:r w:rsidR="00C8221A">
          <w:rPr>
            <w:webHidden/>
          </w:rPr>
          <w:fldChar w:fldCharType="begin"/>
        </w:r>
        <w:r w:rsidR="00C8221A">
          <w:rPr>
            <w:webHidden/>
          </w:rPr>
          <w:instrText xml:space="preserve"> PAGEREF _Toc33437948 \h </w:instrText>
        </w:r>
        <w:r w:rsidR="00C8221A">
          <w:rPr>
            <w:webHidden/>
          </w:rPr>
        </w:r>
        <w:r w:rsidR="00C8221A">
          <w:rPr>
            <w:webHidden/>
          </w:rPr>
          <w:fldChar w:fldCharType="separate"/>
        </w:r>
        <w:r w:rsidR="00C8221A">
          <w:rPr>
            <w:webHidden/>
          </w:rPr>
          <w:t>19</w:t>
        </w:r>
        <w:r w:rsidR="00C8221A">
          <w:rPr>
            <w:webHidden/>
          </w:rPr>
          <w:fldChar w:fldCharType="end"/>
        </w:r>
      </w:hyperlink>
    </w:p>
    <w:p w14:paraId="5C4B4E32" w14:textId="77777777" w:rsidR="00C8221A" w:rsidRDefault="00CA2736">
      <w:pPr>
        <w:pStyle w:val="TM1"/>
        <w:rPr>
          <w:rFonts w:asciiTheme="minorHAnsi" w:eastAsiaTheme="minorEastAsia" w:hAnsiTheme="minorHAnsi" w:cstheme="minorBidi"/>
          <w:b w:val="0"/>
          <w:caps w:val="0"/>
          <w:color w:val="auto"/>
          <w:sz w:val="22"/>
          <w:szCs w:val="22"/>
        </w:rPr>
      </w:pPr>
      <w:hyperlink w:anchor="_Toc33437949" w:history="1">
        <w:r w:rsidR="00C8221A" w:rsidRPr="007A3096">
          <w:rPr>
            <w:rStyle w:val="Lienhypertexte"/>
          </w:rPr>
          <w:t>8 - PROPRIETE DES RESULTATS</w:t>
        </w:r>
        <w:r w:rsidR="00C8221A">
          <w:rPr>
            <w:webHidden/>
          </w:rPr>
          <w:tab/>
        </w:r>
        <w:r w:rsidR="00C8221A">
          <w:rPr>
            <w:webHidden/>
          </w:rPr>
          <w:fldChar w:fldCharType="begin"/>
        </w:r>
        <w:r w:rsidR="00C8221A">
          <w:rPr>
            <w:webHidden/>
          </w:rPr>
          <w:instrText xml:space="preserve"> PAGEREF _Toc33437949 \h </w:instrText>
        </w:r>
        <w:r w:rsidR="00C8221A">
          <w:rPr>
            <w:webHidden/>
          </w:rPr>
        </w:r>
        <w:r w:rsidR="00C8221A">
          <w:rPr>
            <w:webHidden/>
          </w:rPr>
          <w:fldChar w:fldCharType="separate"/>
        </w:r>
        <w:r w:rsidR="00C8221A">
          <w:rPr>
            <w:webHidden/>
          </w:rPr>
          <w:t>20</w:t>
        </w:r>
        <w:r w:rsidR="00C8221A">
          <w:rPr>
            <w:webHidden/>
          </w:rPr>
          <w:fldChar w:fldCharType="end"/>
        </w:r>
      </w:hyperlink>
    </w:p>
    <w:p w14:paraId="5003B13A" w14:textId="77777777" w:rsidR="00C8221A" w:rsidRDefault="00CA2736">
      <w:pPr>
        <w:pStyle w:val="TM1"/>
        <w:rPr>
          <w:rFonts w:asciiTheme="minorHAnsi" w:eastAsiaTheme="minorEastAsia" w:hAnsiTheme="minorHAnsi" w:cstheme="minorBidi"/>
          <w:b w:val="0"/>
          <w:caps w:val="0"/>
          <w:color w:val="auto"/>
          <w:sz w:val="22"/>
          <w:szCs w:val="22"/>
        </w:rPr>
      </w:pPr>
      <w:hyperlink w:anchor="_Toc33437950" w:history="1">
        <w:r w:rsidR="00C8221A" w:rsidRPr="007A3096">
          <w:rPr>
            <w:rStyle w:val="Lienhypertexte"/>
          </w:rPr>
          <w:t>9 - PRESTATAIRES D’ETUDES</w:t>
        </w:r>
        <w:r w:rsidR="00C8221A">
          <w:rPr>
            <w:webHidden/>
          </w:rPr>
          <w:tab/>
        </w:r>
        <w:r w:rsidR="00C8221A">
          <w:rPr>
            <w:webHidden/>
          </w:rPr>
          <w:fldChar w:fldCharType="begin"/>
        </w:r>
        <w:r w:rsidR="00C8221A">
          <w:rPr>
            <w:webHidden/>
          </w:rPr>
          <w:instrText xml:space="preserve"> PAGEREF _Toc33437950 \h </w:instrText>
        </w:r>
        <w:r w:rsidR="00C8221A">
          <w:rPr>
            <w:webHidden/>
          </w:rPr>
        </w:r>
        <w:r w:rsidR="00C8221A">
          <w:rPr>
            <w:webHidden/>
          </w:rPr>
          <w:fldChar w:fldCharType="separate"/>
        </w:r>
        <w:r w:rsidR="00C8221A">
          <w:rPr>
            <w:webHidden/>
          </w:rPr>
          <w:t>20</w:t>
        </w:r>
        <w:r w:rsidR="00C8221A">
          <w:rPr>
            <w:webHidden/>
          </w:rPr>
          <w:fldChar w:fldCharType="end"/>
        </w:r>
      </w:hyperlink>
    </w:p>
    <w:p w14:paraId="38B2D3F0" w14:textId="77777777" w:rsidR="00C8221A" w:rsidRDefault="00CA2736">
      <w:pPr>
        <w:pStyle w:val="TM1"/>
        <w:rPr>
          <w:rFonts w:asciiTheme="minorHAnsi" w:eastAsiaTheme="minorEastAsia" w:hAnsiTheme="minorHAnsi" w:cstheme="minorBidi"/>
          <w:b w:val="0"/>
          <w:caps w:val="0"/>
          <w:color w:val="auto"/>
          <w:sz w:val="22"/>
          <w:szCs w:val="22"/>
        </w:rPr>
      </w:pPr>
      <w:hyperlink w:anchor="_Toc33437951" w:history="1">
        <w:r w:rsidR="00C8221A" w:rsidRPr="007A3096">
          <w:rPr>
            <w:rStyle w:val="Lienhypertexte"/>
          </w:rPr>
          <w:t>10 - DELAIS DE REALISATION</w:t>
        </w:r>
        <w:r w:rsidR="00C8221A">
          <w:rPr>
            <w:webHidden/>
          </w:rPr>
          <w:tab/>
        </w:r>
        <w:r w:rsidR="00C8221A">
          <w:rPr>
            <w:webHidden/>
          </w:rPr>
          <w:fldChar w:fldCharType="begin"/>
        </w:r>
        <w:r w:rsidR="00C8221A">
          <w:rPr>
            <w:webHidden/>
          </w:rPr>
          <w:instrText xml:space="preserve"> PAGEREF _Toc33437951 \h </w:instrText>
        </w:r>
        <w:r w:rsidR="00C8221A">
          <w:rPr>
            <w:webHidden/>
          </w:rPr>
        </w:r>
        <w:r w:rsidR="00C8221A">
          <w:rPr>
            <w:webHidden/>
          </w:rPr>
          <w:fldChar w:fldCharType="separate"/>
        </w:r>
        <w:r w:rsidR="00C8221A">
          <w:rPr>
            <w:webHidden/>
          </w:rPr>
          <w:t>20</w:t>
        </w:r>
        <w:r w:rsidR="00C8221A">
          <w:rPr>
            <w:webHidden/>
          </w:rPr>
          <w:fldChar w:fldCharType="end"/>
        </w:r>
      </w:hyperlink>
    </w:p>
    <w:p w14:paraId="3F797E2C" w14:textId="77777777" w:rsidR="00C8221A" w:rsidRDefault="00CA2736">
      <w:pPr>
        <w:pStyle w:val="TM1"/>
        <w:rPr>
          <w:rFonts w:asciiTheme="minorHAnsi" w:eastAsiaTheme="minorEastAsia" w:hAnsiTheme="minorHAnsi" w:cstheme="minorBidi"/>
          <w:b w:val="0"/>
          <w:caps w:val="0"/>
          <w:color w:val="auto"/>
          <w:sz w:val="22"/>
          <w:szCs w:val="22"/>
        </w:rPr>
      </w:pPr>
      <w:hyperlink w:anchor="_Toc33437952" w:history="1">
        <w:r w:rsidR="00C8221A" w:rsidRPr="007A3096">
          <w:rPr>
            <w:rStyle w:val="Lienhypertexte"/>
          </w:rPr>
          <w:t>11 - RESTITUTION ET CONFIDENTIALITE</w:t>
        </w:r>
        <w:r w:rsidR="00C8221A">
          <w:rPr>
            <w:webHidden/>
          </w:rPr>
          <w:tab/>
        </w:r>
        <w:r w:rsidR="00C8221A">
          <w:rPr>
            <w:webHidden/>
          </w:rPr>
          <w:fldChar w:fldCharType="begin"/>
        </w:r>
        <w:r w:rsidR="00C8221A">
          <w:rPr>
            <w:webHidden/>
          </w:rPr>
          <w:instrText xml:space="preserve"> PAGEREF _Toc33437952 \h </w:instrText>
        </w:r>
        <w:r w:rsidR="00C8221A">
          <w:rPr>
            <w:webHidden/>
          </w:rPr>
        </w:r>
        <w:r w:rsidR="00C8221A">
          <w:rPr>
            <w:webHidden/>
          </w:rPr>
          <w:fldChar w:fldCharType="separate"/>
        </w:r>
        <w:r w:rsidR="00C8221A">
          <w:rPr>
            <w:webHidden/>
          </w:rPr>
          <w:t>20</w:t>
        </w:r>
        <w:r w:rsidR="00C8221A">
          <w:rPr>
            <w:webHidden/>
          </w:rPr>
          <w:fldChar w:fldCharType="end"/>
        </w:r>
      </w:hyperlink>
    </w:p>
    <w:p w14:paraId="32EA2B9C" w14:textId="77777777" w:rsidR="00C8221A" w:rsidRDefault="00CA2736">
      <w:pPr>
        <w:pStyle w:val="TM1"/>
        <w:rPr>
          <w:rFonts w:asciiTheme="minorHAnsi" w:eastAsiaTheme="minorEastAsia" w:hAnsiTheme="minorHAnsi" w:cstheme="minorBidi"/>
          <w:b w:val="0"/>
          <w:caps w:val="0"/>
          <w:color w:val="auto"/>
          <w:sz w:val="22"/>
          <w:szCs w:val="22"/>
        </w:rPr>
      </w:pPr>
      <w:hyperlink w:anchor="_Toc33437953" w:history="1">
        <w:r w:rsidR="00C8221A" w:rsidRPr="007A3096">
          <w:rPr>
            <w:rStyle w:val="Lienhypertexte"/>
          </w:rPr>
          <w:t>12 - COÛT DE LA MISSION</w:t>
        </w:r>
        <w:r w:rsidR="00C8221A">
          <w:rPr>
            <w:webHidden/>
          </w:rPr>
          <w:tab/>
        </w:r>
        <w:r w:rsidR="00C8221A">
          <w:rPr>
            <w:webHidden/>
          </w:rPr>
          <w:fldChar w:fldCharType="begin"/>
        </w:r>
        <w:r w:rsidR="00C8221A">
          <w:rPr>
            <w:webHidden/>
          </w:rPr>
          <w:instrText xml:space="preserve"> PAGEREF _Toc33437953 \h </w:instrText>
        </w:r>
        <w:r w:rsidR="00C8221A">
          <w:rPr>
            <w:webHidden/>
          </w:rPr>
        </w:r>
        <w:r w:rsidR="00C8221A">
          <w:rPr>
            <w:webHidden/>
          </w:rPr>
          <w:fldChar w:fldCharType="separate"/>
        </w:r>
        <w:r w:rsidR="00C8221A">
          <w:rPr>
            <w:webHidden/>
          </w:rPr>
          <w:t>21</w:t>
        </w:r>
        <w:r w:rsidR="00C8221A">
          <w:rPr>
            <w:webHidden/>
          </w:rPr>
          <w:fldChar w:fldCharType="end"/>
        </w:r>
      </w:hyperlink>
    </w:p>
    <w:p w14:paraId="5C97E067" w14:textId="77777777" w:rsidR="00C8221A" w:rsidRDefault="00CA2736">
      <w:pPr>
        <w:pStyle w:val="TM1"/>
        <w:rPr>
          <w:rFonts w:asciiTheme="minorHAnsi" w:eastAsiaTheme="minorEastAsia" w:hAnsiTheme="minorHAnsi" w:cstheme="minorBidi"/>
          <w:b w:val="0"/>
          <w:caps w:val="0"/>
          <w:color w:val="auto"/>
          <w:sz w:val="22"/>
          <w:szCs w:val="22"/>
        </w:rPr>
      </w:pPr>
      <w:hyperlink w:anchor="_Toc33437954" w:history="1">
        <w:r w:rsidR="00C8221A" w:rsidRPr="007A3096">
          <w:rPr>
            <w:rStyle w:val="Lienhypertexte"/>
          </w:rPr>
          <w:t>13 - CONTRÔLE</w:t>
        </w:r>
        <w:r w:rsidR="00C8221A">
          <w:rPr>
            <w:webHidden/>
          </w:rPr>
          <w:tab/>
        </w:r>
        <w:r w:rsidR="00C8221A">
          <w:rPr>
            <w:webHidden/>
          </w:rPr>
          <w:fldChar w:fldCharType="begin"/>
        </w:r>
        <w:r w:rsidR="00C8221A">
          <w:rPr>
            <w:webHidden/>
          </w:rPr>
          <w:instrText xml:space="preserve"> PAGEREF _Toc33437954 \h </w:instrText>
        </w:r>
        <w:r w:rsidR="00C8221A">
          <w:rPr>
            <w:webHidden/>
          </w:rPr>
        </w:r>
        <w:r w:rsidR="00C8221A">
          <w:rPr>
            <w:webHidden/>
          </w:rPr>
          <w:fldChar w:fldCharType="separate"/>
        </w:r>
        <w:r w:rsidR="00C8221A">
          <w:rPr>
            <w:webHidden/>
          </w:rPr>
          <w:t>21</w:t>
        </w:r>
        <w:r w:rsidR="00C8221A">
          <w:rPr>
            <w:webHidden/>
          </w:rPr>
          <w:fldChar w:fldCharType="end"/>
        </w:r>
      </w:hyperlink>
    </w:p>
    <w:p w14:paraId="4988BC5D" w14:textId="77777777" w:rsidR="00566319" w:rsidRDefault="00566319" w:rsidP="00566319">
      <w:r>
        <w:fldChar w:fldCharType="end"/>
      </w:r>
    </w:p>
    <w:p w14:paraId="1DAF19AC" w14:textId="77777777" w:rsidR="00566319" w:rsidRDefault="00566319" w:rsidP="00566319">
      <w:pPr>
        <w:pStyle w:val="NormalGrandTitre1Ademe"/>
      </w:pPr>
      <w:r>
        <w:t>Liste des annexes</w:t>
      </w:r>
    </w:p>
    <w:p w14:paraId="6178A5D0" w14:textId="77777777" w:rsidR="00566319" w:rsidRDefault="00566319" w:rsidP="00566319">
      <w:pPr>
        <w:rPr>
          <w:b/>
          <w:i/>
          <w:sz w:val="28"/>
        </w:rPr>
      </w:pPr>
      <w:r>
        <w:rPr>
          <w:b/>
          <w:i/>
          <w:sz w:val="28"/>
        </w:rPr>
        <w:t>Annexe 1 : Ordre de grandeur des résultats attendus</w:t>
      </w:r>
    </w:p>
    <w:p w14:paraId="6C7DFD98" w14:textId="3BA64579" w:rsidR="00566319" w:rsidRDefault="00566319" w:rsidP="00566319">
      <w:pPr>
        <w:rPr>
          <w:b/>
          <w:i/>
          <w:sz w:val="28"/>
        </w:rPr>
      </w:pPr>
      <w:r>
        <w:br w:type="page"/>
      </w:r>
    </w:p>
    <w:p w14:paraId="387692AD" w14:textId="77777777" w:rsidR="00566319" w:rsidRDefault="00566319" w:rsidP="00566319">
      <w:bookmarkStart w:id="0" w:name="_Toc331751540"/>
      <w:bookmarkStart w:id="1" w:name="_Toc333570675"/>
      <w:bookmarkEnd w:id="0"/>
      <w:bookmarkEnd w:id="1"/>
      <w:r>
        <w:lastRenderedPageBreak/>
        <w:t>PREAMBULE</w:t>
      </w:r>
    </w:p>
    <w:p w14:paraId="37E5C466" w14:textId="77777777" w:rsidR="00566319" w:rsidRDefault="00566319" w:rsidP="00566319">
      <w:pPr>
        <w:pStyle w:val="NormalGrandTitre1Ademe"/>
      </w:pPr>
      <w:r>
        <w:t>L’AIDE A LA DECISION DE L’ADEME</w:t>
      </w:r>
    </w:p>
    <w:p w14:paraId="04AC56D3" w14:textId="77777777" w:rsidR="00566319" w:rsidRDefault="00566319" w:rsidP="00566319">
      <w:pPr>
        <w:pStyle w:val="PrambuleNormalAdeme"/>
      </w:pPr>
      <w:r>
        <w:t xml:space="preserve">L’ADEME souhaite contribuer, avec ses partenaires institutionnels et techniques, à promouvoir la diffusion des bonnes pratiques sur les thématiques énergie et environnement. Pour cela, son dispositif de soutien </w:t>
      </w:r>
      <w:r>
        <w:rPr>
          <w:rStyle w:val="PrambuleGrasAdeme"/>
        </w:rPr>
        <w:t>aux études d'aide à la décision</w:t>
      </w:r>
      <w:r>
        <w:t xml:space="preserve"> (pré-diagnostics, diagnostics, étude de projets) est ouvert aux entreprises, aux collectivités et plus généralement à tous les bénéficiaires intervenant tant dans le champ concurrentiel que non concurrentiel, à l’exclusion des particuliers. </w:t>
      </w:r>
    </w:p>
    <w:p w14:paraId="628B80FE" w14:textId="77777777" w:rsidR="00566319" w:rsidRDefault="00566319" w:rsidP="00566319">
      <w:pPr>
        <w:pStyle w:val="PrambuleNormalAdeme"/>
      </w:pPr>
    </w:p>
    <w:p w14:paraId="1CE06DC9" w14:textId="77777777" w:rsidR="00566319" w:rsidRDefault="00566319" w:rsidP="00566319">
      <w:pPr>
        <w:pStyle w:val="PrambuleNormalAdeme"/>
      </w:pPr>
      <w:r>
        <w:t xml:space="preserve">Dans le cadre de son </w:t>
      </w:r>
      <w:r>
        <w:rPr>
          <w:rStyle w:val="PrambuleGrasAdeme"/>
        </w:rPr>
        <w:t>dispositif d’aide à la décision, l’ADEME soutient financièrement les études</w:t>
      </w:r>
      <w:r>
        <w:t xml:space="preserve"> avec un </w:t>
      </w:r>
      <w:r>
        <w:rPr>
          <w:rStyle w:val="PrambuleGrasAdeme"/>
        </w:rPr>
        <w:t xml:space="preserve">objectif de qualité et d’efficacité </w:t>
      </w:r>
      <w:r>
        <w:t xml:space="preserve">pour le bénéficiaire. </w:t>
      </w:r>
    </w:p>
    <w:p w14:paraId="68E085DE" w14:textId="77777777" w:rsidR="00566319" w:rsidRDefault="00566319" w:rsidP="00566319">
      <w:pPr>
        <w:pStyle w:val="PrambuleNormalAdeme"/>
      </w:pPr>
    </w:p>
    <w:p w14:paraId="087C8B4A" w14:textId="77777777" w:rsidR="00566319" w:rsidRDefault="00566319" w:rsidP="00566319">
      <w:pPr>
        <w:pStyle w:val="PrambuleEncadrTexteAdeme"/>
      </w:pPr>
    </w:p>
    <w:p w14:paraId="2CF8501B" w14:textId="77777777" w:rsidR="00566319" w:rsidRDefault="00566319" w:rsidP="00566319">
      <w:pPr>
        <w:pStyle w:val="PrambuleEncadrTitreAdeme"/>
      </w:pPr>
      <w:r>
        <w:t>Les Cahiers des Charges de l’ADEME</w:t>
      </w:r>
    </w:p>
    <w:p w14:paraId="4D25D474" w14:textId="77777777" w:rsidR="00566319" w:rsidRDefault="00566319" w:rsidP="00566319">
      <w:pPr>
        <w:pStyle w:val="PrambuleEncadrTexteAdeme"/>
      </w:pPr>
      <w:r>
        <w:t xml:space="preserve">Les cahiers des charges / guide pour la rédaction d’un cahier des charges de l’ADEME définissent le </w:t>
      </w:r>
      <w:r>
        <w:rPr>
          <w:rStyle w:val="PrambuleGrasAdeme"/>
        </w:rPr>
        <w:t>contenu des études que l’ADEME peut soutenir</w:t>
      </w:r>
      <w:r>
        <w:t>. Chaque étude est conduite par une société de conseils ci-après dénommée « le prestataire conseil » ou « Bureau d’études », pour un client ci-après dénommée « le bénéficiaire » ou le « Maître d’ouvrage ».</w:t>
      </w:r>
    </w:p>
    <w:p w14:paraId="3F544C45" w14:textId="77777777" w:rsidR="00566319" w:rsidRDefault="00566319" w:rsidP="00566319">
      <w:pPr>
        <w:pStyle w:val="PrambuleEncadrTexteAdeme"/>
      </w:pPr>
    </w:p>
    <w:p w14:paraId="1FFEBCA6" w14:textId="77777777" w:rsidR="00566319" w:rsidRDefault="00566319" w:rsidP="00566319">
      <w:pPr>
        <w:pStyle w:val="PrambuleEncadrTitreAdeme"/>
      </w:pPr>
      <w:r>
        <w:t>Le suivi technique de l’ADEME</w:t>
      </w:r>
    </w:p>
    <w:p w14:paraId="0A97EE05" w14:textId="77777777" w:rsidR="00566319" w:rsidRDefault="00566319" w:rsidP="00566319">
      <w:pPr>
        <w:pStyle w:val="PrambuleEncadrTexteAdeme"/>
      </w:pPr>
      <w:r>
        <w:t xml:space="preserve">L’ADEME assure un conseil technique et un suivi de la prestation. </w:t>
      </w:r>
    </w:p>
    <w:p w14:paraId="0192F4C3" w14:textId="77777777" w:rsidR="00566319" w:rsidRDefault="00566319" w:rsidP="00566319">
      <w:pPr>
        <w:pStyle w:val="PrambuleEncadrTexteAdeme"/>
      </w:pPr>
    </w:p>
    <w:p w14:paraId="7DC48021" w14:textId="26435EF9" w:rsidR="00566319" w:rsidRDefault="00566319" w:rsidP="00566319">
      <w:pPr>
        <w:pStyle w:val="PrambuleEncadrTexteAdeme"/>
      </w:pPr>
      <w:r>
        <w:t>Pour ce faire, l’aide de l’ADEME implique une transmission des résultats de l’étude. Cette transmission d’information se fera par l’utilisation d</w:t>
      </w:r>
      <w:r w:rsidR="00EB5C93">
        <w:t>e la</w:t>
      </w:r>
      <w:r>
        <w:t xml:space="preserve"> p</w:t>
      </w:r>
      <w:r w:rsidR="008F0BFE">
        <w:t xml:space="preserve">lateforme </w:t>
      </w:r>
      <w:r>
        <w:t xml:space="preserve">Internet </w:t>
      </w:r>
      <w:hyperlink r:id="rId13" w:history="1">
        <w:r w:rsidR="002B1D50" w:rsidRPr="00EB5C93">
          <w:rPr>
            <w:rStyle w:val="Lienhypertexte"/>
          </w:rPr>
          <w:t>AgirPour</w:t>
        </w:r>
        <w:r w:rsidR="002B1D50" w:rsidRPr="00EB5C93">
          <w:rPr>
            <w:rStyle w:val="Lienhypertexte"/>
          </w:rPr>
          <w:t>L</w:t>
        </w:r>
        <w:r w:rsidR="002B1D50" w:rsidRPr="00EB5C93">
          <w:rPr>
            <w:rStyle w:val="Lienhypertexte"/>
          </w:rPr>
          <w:t>aTransition</w:t>
        </w:r>
      </w:hyperlink>
      <w:r w:rsidR="00EB5C93">
        <w:rPr>
          <w:rStyle w:val="PrambuleGrasAdeme"/>
        </w:rPr>
        <w:t xml:space="preserve">, </w:t>
      </w:r>
      <w:r w:rsidR="00EB5C93" w:rsidRPr="00EB5C93">
        <w:rPr>
          <w:rStyle w:val="PrambuleGrasAdeme"/>
          <w:b w:val="0"/>
          <w:bCs/>
        </w:rPr>
        <w:t xml:space="preserve">via votre </w:t>
      </w:r>
      <w:r w:rsidR="00EB5C93">
        <w:rPr>
          <w:rStyle w:val="PrambuleGrasAdeme"/>
          <w:b w:val="0"/>
          <w:bCs/>
        </w:rPr>
        <w:t>compte</w:t>
      </w:r>
      <w:r w:rsidR="00EB5C93" w:rsidRPr="00EB5C93">
        <w:rPr>
          <w:rStyle w:val="PrambuleGrasAdeme"/>
          <w:b w:val="0"/>
          <w:bCs/>
        </w:rPr>
        <w:t>,</w:t>
      </w:r>
      <w:r w:rsidR="00EB5C93">
        <w:rPr>
          <w:rStyle w:val="PrambuleGrasAdeme"/>
          <w:b w:val="0"/>
          <w:bCs/>
        </w:rPr>
        <w:t xml:space="preserve"> et</w:t>
      </w:r>
      <w:r>
        <w:t xml:space="preserve"> compren</w:t>
      </w:r>
      <w:r w:rsidR="00EB5C93">
        <w:t>dra</w:t>
      </w:r>
      <w:r>
        <w:t xml:space="preserve"> :</w:t>
      </w:r>
    </w:p>
    <w:p w14:paraId="76746108" w14:textId="77777777" w:rsidR="00566319" w:rsidRDefault="00566319" w:rsidP="00566319">
      <w:pPr>
        <w:pStyle w:val="PrambuleEncadrTexteAdeme"/>
      </w:pPr>
    </w:p>
    <w:p w14:paraId="6D279327" w14:textId="4ADBBF4B" w:rsidR="00566319" w:rsidRDefault="00566319" w:rsidP="00566319">
      <w:pPr>
        <w:pStyle w:val="PrambuleEncadrTexteAdeme"/>
      </w:pPr>
      <w:r>
        <w:t>- Le rapport final d’étude</w:t>
      </w:r>
    </w:p>
    <w:p w14:paraId="3695CAD7" w14:textId="77777777" w:rsidR="00566319" w:rsidRDefault="00566319" w:rsidP="00566319">
      <w:pPr>
        <w:pStyle w:val="PrambuleEncadrTexteAdeme"/>
      </w:pPr>
    </w:p>
    <w:p w14:paraId="2B935839" w14:textId="77777777" w:rsidR="00566319" w:rsidRPr="008F0BFE" w:rsidRDefault="00566319" w:rsidP="00566319">
      <w:pPr>
        <w:pStyle w:val="PrambuleEncadrTitreAdeme"/>
      </w:pPr>
      <w:r w:rsidRPr="008F0BFE">
        <w:t>Contrôle – Bilan des études financées par l’ADEME</w:t>
      </w:r>
    </w:p>
    <w:p w14:paraId="4EAC4C70" w14:textId="3BD08DC6" w:rsidR="00566319" w:rsidRDefault="00566319" w:rsidP="00566319">
      <w:pPr>
        <w:pStyle w:val="PrambuleEncadrTexteAdeme"/>
      </w:pPr>
      <w:r w:rsidRPr="008F0BFE">
        <w:t>L’étude, une fois réalisée pourra faire l'objet - ce n'est pas systématique - d'un contrôle approfondi ou d’être analysée dans le cadre d’un bilan réalisé par l’ADEME. Eventuellement un contrôle sur site pourra être mené par un expert mandaté par l'ADEME afin de juger de la qualité de l'étude, de l'objectivité du rapport, de ses résultats, etc.. Dans tous les cas, le bénéficiaire pourr</w:t>
      </w:r>
      <w:r w:rsidR="008F0BFE">
        <w:t>a</w:t>
      </w:r>
      <w:r w:rsidRPr="008F0BFE">
        <w:t xml:space="preserve"> alors être interrogé sur l’étude et ses conséquences.</w:t>
      </w:r>
    </w:p>
    <w:p w14:paraId="42FD3456" w14:textId="77777777" w:rsidR="00566319" w:rsidRDefault="00566319" w:rsidP="00566319">
      <w:pPr>
        <w:pStyle w:val="PrambuleEncadrTexteAdeme"/>
      </w:pPr>
    </w:p>
    <w:p w14:paraId="06CDA44F" w14:textId="77777777" w:rsidR="00566319" w:rsidRDefault="00566319" w:rsidP="00566319">
      <w:pPr>
        <w:pStyle w:val="PrambuleNormalAdeme"/>
      </w:pPr>
    </w:p>
    <w:p w14:paraId="1A250EBE" w14:textId="77777777" w:rsidR="00566319" w:rsidRDefault="00566319" w:rsidP="00566319">
      <w:pPr>
        <w:pStyle w:val="PrambuleFondTexteAdeme"/>
        <w:sectPr w:rsidR="00566319">
          <w:footerReference w:type="default" r:id="rId14"/>
          <w:pgSz w:w="11906" w:h="16838"/>
          <w:pgMar w:top="902" w:right="1418" w:bottom="1418" w:left="1418" w:header="0" w:footer="709" w:gutter="0"/>
          <w:cols w:space="720"/>
          <w:formProt w:val="0"/>
          <w:docGrid w:linePitch="360"/>
        </w:sectPr>
      </w:pPr>
      <w:r>
        <w:t>Le présent document précise le contenu et les modalités de réalisation et de restitution de l’étude qui seront effectués par un intervenant extérieur au bénéficiaire de l’aide de l’ADEME.</w:t>
      </w:r>
    </w:p>
    <w:p w14:paraId="1AB350AA" w14:textId="77777777" w:rsidR="00566319" w:rsidRDefault="00566319" w:rsidP="00566319">
      <w:pPr>
        <w:pStyle w:val="PagedegardeTitre4Ademe"/>
        <w:rPr>
          <w:sz w:val="36"/>
        </w:rPr>
      </w:pPr>
      <w:r>
        <w:lastRenderedPageBreak/>
        <w:t>CAHIER DES CHARGES</w:t>
      </w:r>
      <w:r>
        <w:br/>
      </w:r>
    </w:p>
    <w:p w14:paraId="6C2A41BA" w14:textId="77777777" w:rsidR="00566319" w:rsidRDefault="00566319" w:rsidP="00566319">
      <w:pPr>
        <w:pStyle w:val="PagedegardeTitre4Ademe"/>
      </w:pPr>
      <w:r>
        <w:t>REALISATION D’UN TEST DE REPONSE THERMIQUE DE TERRAIN (TRT)</w:t>
      </w:r>
    </w:p>
    <w:p w14:paraId="2C2870B6" w14:textId="77777777" w:rsidR="00566319" w:rsidRDefault="00566319" w:rsidP="00566319">
      <w:pPr>
        <w:pStyle w:val="NormalGrandTitre1Ademe"/>
        <w:jc w:val="both"/>
      </w:pPr>
    </w:p>
    <w:p w14:paraId="2678BE93" w14:textId="77777777" w:rsidR="00566319" w:rsidRDefault="00566319" w:rsidP="00566319">
      <w:pPr>
        <w:pStyle w:val="NormalFondTexteAdeme"/>
        <w:rPr>
          <w:b/>
          <w:sz w:val="28"/>
        </w:rPr>
      </w:pPr>
      <w:r>
        <w:rPr>
          <w:b/>
          <w:sz w:val="28"/>
        </w:rPr>
        <w:t>EXIGENCES DE L’ADEME SUR LE PRESTATAIRE (cf chapitre « Prestataires d’études »)</w:t>
      </w:r>
    </w:p>
    <w:p w14:paraId="0133D9AF" w14:textId="77777777" w:rsidR="00566319" w:rsidRDefault="00566319" w:rsidP="00566319">
      <w:pPr>
        <w:pStyle w:val="NormalFondTexteAdeme"/>
      </w:pPr>
    </w:p>
    <w:p w14:paraId="3D32BE9B" w14:textId="77777777" w:rsidR="00566319" w:rsidRDefault="00566319" w:rsidP="00566319">
      <w:pPr>
        <w:pStyle w:val="NormalFondTexteAdeme"/>
      </w:pPr>
      <w:r>
        <w:t>Conformément au dispositif d’aide à la décision validé par le Conseil d’Administration de l’ADEME le 23 octobre 2014, les aides pour la prestation correspondant à ce cahier des charges ne pourront être accordées, à compter du 1</w:t>
      </w:r>
      <w:r>
        <w:rPr>
          <w:vertAlign w:val="superscript"/>
        </w:rPr>
        <w:t>er</w:t>
      </w:r>
      <w:r>
        <w:t xml:space="preserve"> janvier 2017, que si le prestataire détient un référencement bénéficiant de la reconnaissance RGE</w:t>
      </w:r>
      <w:r>
        <w:rPr>
          <w:rStyle w:val="Ancredenotedebasdepage"/>
        </w:rPr>
        <w:footnoteReference w:id="1"/>
      </w:r>
      <w:r>
        <w:t xml:space="preserve"> ou s’il peut attester de conditions équivalentes.</w:t>
      </w:r>
    </w:p>
    <w:p w14:paraId="5EC70458" w14:textId="77777777" w:rsidR="00566319" w:rsidRDefault="00566319" w:rsidP="00566319">
      <w:pPr>
        <w:pStyle w:val="NormalFondTexteAdeme"/>
      </w:pPr>
      <w:r>
        <w:br w:type="page"/>
      </w:r>
    </w:p>
    <w:p w14:paraId="13FE8694" w14:textId="77777777" w:rsidR="00566319" w:rsidRDefault="00566319" w:rsidP="00061972">
      <w:pPr>
        <w:pStyle w:val="Titre1"/>
        <w:numPr>
          <w:ilvl w:val="0"/>
          <w:numId w:val="7"/>
        </w:numPr>
      </w:pPr>
      <w:bookmarkStart w:id="2" w:name="_Toc333570676"/>
      <w:bookmarkStart w:id="3" w:name="_Toc314086841"/>
      <w:bookmarkStart w:id="4" w:name="_Toc33437921"/>
      <w:bookmarkEnd w:id="2"/>
      <w:bookmarkEnd w:id="3"/>
      <w:r>
        <w:lastRenderedPageBreak/>
        <w:t>OBJECTIFS DU DOCUMENT</w:t>
      </w:r>
      <w:bookmarkEnd w:id="4"/>
    </w:p>
    <w:p w14:paraId="267D90BE" w14:textId="77777777" w:rsidR="00566319" w:rsidRDefault="00566319" w:rsidP="00566319">
      <w:r>
        <w:t xml:space="preserve">Ce cahier des charges est destiné aux porteurs de projets qui envisagent la réalisation d’une opération de PAC sur champ de sondes géothermiques verticales (CSGV) </w:t>
      </w:r>
      <w:r w:rsidR="00D07746">
        <w:t xml:space="preserve">ou sur géostructures énergétiques </w:t>
      </w:r>
      <w:r>
        <w:t xml:space="preserve">dans les secteurs résidentiel collectif, tertiaire, industriel ou agricole. </w:t>
      </w:r>
    </w:p>
    <w:p w14:paraId="3A268C9C" w14:textId="77777777" w:rsidR="00566319" w:rsidRDefault="00566319" w:rsidP="00566319"/>
    <w:p w14:paraId="73ED105D" w14:textId="77777777" w:rsidR="00566319" w:rsidRDefault="00566319" w:rsidP="00566319">
      <w:r>
        <w:t>Le Test de Réponse Thermique (TRT) est une procédure qui permet de caractériser les propriétés thermiques moyennes des terrains traversés et de la sonde géothermique verticale (SGV) testée. Un TRT est nécessaire pour un nombre important de SGV (en général plus de 1000 mètres linéaires cumulés de sondes). Le TRT ne permet pas de dimensionner directement une installation de PAC sur CSGV. L’interprétation du TRT fournit des informations sur les propriétés thermiques moyennes des terrains traversés et de la SGV qui pourront être utilisées dans le processus de dimensionnement de la PAC et du CSGV au moyen d’un logiciel adapté. En fonction des conditions propres au projet le maître d’ouvrage peut demander la réalisation d’un TRT en-dessous du seuil de 1000 mètres linéaires cumulés de SGV.</w:t>
      </w:r>
    </w:p>
    <w:p w14:paraId="6899BBDD" w14:textId="77777777" w:rsidR="00566319" w:rsidRDefault="00566319" w:rsidP="00566319"/>
    <w:p w14:paraId="6CC905B1" w14:textId="77777777" w:rsidR="00566319" w:rsidRDefault="00566319" w:rsidP="00566319">
      <w:pPr>
        <w:autoSpaceDE w:val="0"/>
        <w:autoSpaceDN w:val="0"/>
        <w:adjustRightInd w:val="0"/>
      </w:pPr>
      <w:r>
        <w:t>Le présent document a pour but de rappeler les objectifs d’un test de réponse thermique de terrain, d’en décrire le déroulement ainsi que le contenu type du rapport attendu à l’issue du test. Les étapes du TRT qui demandent un soin particulier sont mentionnées et détaillées. Le document s’appuie en grande partie sur le rapport du BRGM (BRGM/RP-60816-FR de mars 2012 : Protocole de test de réponse thermique de terrain) et sur la norme NF EN ISO 17628 de mai</w:t>
      </w:r>
      <w:r w:rsidRPr="007F04F7">
        <w:t xml:space="preserve"> 2018</w:t>
      </w:r>
      <w:r>
        <w:t xml:space="preserve"> : </w:t>
      </w:r>
      <w:r w:rsidRPr="007F04F7">
        <w:t>Reconnais</w:t>
      </w:r>
      <w:r>
        <w:t xml:space="preserve">sance et essais géotechniques - </w:t>
      </w:r>
      <w:r w:rsidRPr="007F04F7">
        <w:t>Essai</w:t>
      </w:r>
      <w:r>
        <w:t xml:space="preserve">s géothermiques - Détermination </w:t>
      </w:r>
      <w:r w:rsidRPr="007F04F7">
        <w:t xml:space="preserve">de la </w:t>
      </w:r>
      <w:r>
        <w:t xml:space="preserve">conductivité thermique des sols </w:t>
      </w:r>
      <w:r w:rsidRPr="007F04F7">
        <w:t>et des roches dans les sondes géothermiques</w:t>
      </w:r>
      <w:r>
        <w:t>.</w:t>
      </w:r>
    </w:p>
    <w:p w14:paraId="76EC5387" w14:textId="77777777" w:rsidR="00566319" w:rsidRDefault="00566319" w:rsidP="00566319"/>
    <w:p w14:paraId="634D688A" w14:textId="77777777" w:rsidR="00566319" w:rsidRDefault="00566319" w:rsidP="00566319">
      <w:r>
        <w:t>La réalisation du test et la rédaction du rapport associé requièrent des compétences en sous-sol (hydrogéologie, géologie et forages) ainsi qu’en thermique.</w:t>
      </w:r>
    </w:p>
    <w:p w14:paraId="2BB051C6" w14:textId="77777777" w:rsidR="00566319" w:rsidRDefault="00566319" w:rsidP="00566319">
      <w:pPr>
        <w:spacing w:after="200" w:line="276" w:lineRule="auto"/>
        <w:jc w:val="left"/>
      </w:pPr>
      <w:r>
        <w:br w:type="page"/>
      </w:r>
    </w:p>
    <w:p w14:paraId="263DD207" w14:textId="77777777" w:rsidR="00566319" w:rsidRDefault="00566319" w:rsidP="00061972">
      <w:pPr>
        <w:pStyle w:val="Titre1"/>
        <w:numPr>
          <w:ilvl w:val="0"/>
          <w:numId w:val="7"/>
        </w:numPr>
      </w:pPr>
      <w:bookmarkStart w:id="5" w:name="_Toc33437922"/>
      <w:r>
        <w:lastRenderedPageBreak/>
        <w:t>REALISATION DU TEST DE REPONSE THERMIQUE DU TERRAIN</w:t>
      </w:r>
      <w:bookmarkStart w:id="6" w:name="_Toc333570677"/>
      <w:bookmarkStart w:id="7" w:name="_Toc314086842"/>
      <w:bookmarkEnd w:id="6"/>
      <w:bookmarkEnd w:id="7"/>
      <w:bookmarkEnd w:id="5"/>
      <w:r>
        <w:t xml:space="preserve"> </w:t>
      </w:r>
    </w:p>
    <w:p w14:paraId="2CAF19C1" w14:textId="77777777" w:rsidR="00566319" w:rsidRDefault="00566319" w:rsidP="00566319">
      <w:pPr>
        <w:jc w:val="center"/>
      </w:pPr>
    </w:p>
    <w:p w14:paraId="547BD854" w14:textId="77777777" w:rsidR="00566319" w:rsidRDefault="00566319" w:rsidP="00061972">
      <w:pPr>
        <w:pStyle w:val="Titre2"/>
        <w:numPr>
          <w:ilvl w:val="1"/>
          <w:numId w:val="7"/>
        </w:numPr>
        <w:spacing w:before="0"/>
      </w:pPr>
      <w:bookmarkStart w:id="8" w:name="_Toc33437923"/>
      <w:r>
        <w:t>Objectifs du TRT</w:t>
      </w:r>
      <w:bookmarkEnd w:id="8"/>
    </w:p>
    <w:p w14:paraId="2E26F8D7" w14:textId="77777777" w:rsidR="00566319" w:rsidRDefault="00566319" w:rsidP="00566319">
      <w:r>
        <w:t>Le Test de Réponse Thermique (TRT) est un procédé qui permet d’accéder à trois grandeurs clés pour le dimensionnement d’une PAC sur CSGV :</w:t>
      </w:r>
    </w:p>
    <w:p w14:paraId="28252048" w14:textId="77777777" w:rsidR="00566319" w:rsidRDefault="00566319" w:rsidP="00061972">
      <w:pPr>
        <w:numPr>
          <w:ilvl w:val="0"/>
          <w:numId w:val="29"/>
        </w:numPr>
      </w:pPr>
      <w:r>
        <w:t>La température non perturbée (initiale) du terrain (milieu souterrain) T</w:t>
      </w:r>
      <w:r>
        <w:rPr>
          <w:vertAlign w:val="subscript"/>
        </w:rPr>
        <w:t>0</w:t>
      </w:r>
      <w:r>
        <w:t xml:space="preserve"> (°C)</w:t>
      </w:r>
    </w:p>
    <w:p w14:paraId="33542B45" w14:textId="77777777" w:rsidR="00566319" w:rsidRDefault="00566319" w:rsidP="00061972">
      <w:pPr>
        <w:numPr>
          <w:ilvl w:val="0"/>
          <w:numId w:val="29"/>
        </w:numPr>
      </w:pPr>
      <w:r>
        <w:t xml:space="preserve">La conductivité thermique moyenne du terrain </w:t>
      </w:r>
      <w:r>
        <w:rPr>
          <w:rFonts w:cs="Calibri"/>
        </w:rPr>
        <w:t>λ</w:t>
      </w:r>
      <w:r>
        <w:rPr>
          <w:vertAlign w:val="subscript"/>
        </w:rPr>
        <w:t>m</w:t>
      </w:r>
      <w:r>
        <w:t xml:space="preserve"> (W.K</w:t>
      </w:r>
      <w:r>
        <w:rPr>
          <w:vertAlign w:val="superscript"/>
        </w:rPr>
        <w:t>-1</w:t>
      </w:r>
      <w:r>
        <w:t>.m</w:t>
      </w:r>
      <w:r>
        <w:rPr>
          <w:vertAlign w:val="superscript"/>
        </w:rPr>
        <w:t>-1</w:t>
      </w:r>
      <w:r>
        <w:t xml:space="preserve">) </w:t>
      </w:r>
    </w:p>
    <w:p w14:paraId="3F0CC9FD" w14:textId="77777777" w:rsidR="00566319" w:rsidRDefault="00566319" w:rsidP="00061972">
      <w:pPr>
        <w:numPr>
          <w:ilvl w:val="0"/>
          <w:numId w:val="29"/>
        </w:numPr>
      </w:pPr>
      <w:r>
        <w:t xml:space="preserve">La résistance équivalente de la SGV </w:t>
      </w:r>
      <w:r>
        <w:rPr>
          <w:rFonts w:cs="Arial"/>
        </w:rPr>
        <w:t>R</w:t>
      </w:r>
      <w:r>
        <w:rPr>
          <w:vertAlign w:val="subscript"/>
        </w:rPr>
        <w:t>f</w:t>
      </w:r>
      <w:r>
        <w:t xml:space="preserve"> (K.m.W</w:t>
      </w:r>
      <w:r>
        <w:rPr>
          <w:vertAlign w:val="superscript"/>
        </w:rPr>
        <w:t>-1</w:t>
      </w:r>
      <w:r>
        <w:t>),</w:t>
      </w:r>
    </w:p>
    <w:p w14:paraId="68ADB32B" w14:textId="77777777" w:rsidR="00566319" w:rsidRDefault="00566319" w:rsidP="00566319"/>
    <w:p w14:paraId="6ABF64AA" w14:textId="77777777" w:rsidR="00566319" w:rsidRDefault="00566319" w:rsidP="00566319">
      <w:r>
        <w:t xml:space="preserve">Pour réaliser un TRT, il faut mettre en place une sonde géothermique verticale « test » (cf norme NFX 10-970). Il s’agit en fait d’une sonde géothermique verticale dans le sol au droit du site d’implantation du futur champ de sondes. </w:t>
      </w:r>
      <w:r w:rsidRPr="00CC0FB0">
        <w:rPr>
          <w:b/>
        </w:rPr>
        <w:t>Cette SGV test doit être aussi représentative que possible des futures sondes implantées dans le champ</w:t>
      </w:r>
      <w:r>
        <w:t>.</w:t>
      </w:r>
    </w:p>
    <w:p w14:paraId="4B85CB1D" w14:textId="77777777" w:rsidR="00566319" w:rsidRDefault="00566319" w:rsidP="00566319"/>
    <w:p w14:paraId="66CDECF4" w14:textId="77777777" w:rsidR="00566319" w:rsidRDefault="00566319" w:rsidP="00061972">
      <w:pPr>
        <w:pStyle w:val="Titre2"/>
        <w:numPr>
          <w:ilvl w:val="1"/>
          <w:numId w:val="7"/>
        </w:numPr>
        <w:spacing w:before="0"/>
      </w:pPr>
      <w:bookmarkStart w:id="9" w:name="_Toc33437924"/>
      <w:r>
        <w:t>Principe du TRT</w:t>
      </w:r>
      <w:bookmarkEnd w:id="9"/>
    </w:p>
    <w:p w14:paraId="0508292E" w14:textId="77777777" w:rsidR="00566319" w:rsidRDefault="00566319" w:rsidP="00566319">
      <w:r>
        <w:t>Le principe du test repose sur l’observation depuis la surface du sol des régimes de température en entrée et en sortie (T</w:t>
      </w:r>
      <w:r>
        <w:rPr>
          <w:vertAlign w:val="subscript"/>
        </w:rPr>
        <w:t>e</w:t>
      </w:r>
      <w:r>
        <w:t xml:space="preserve"> et T</w:t>
      </w:r>
      <w:r>
        <w:rPr>
          <w:vertAlign w:val="subscript"/>
        </w:rPr>
        <w:t>s</w:t>
      </w:r>
      <w:r>
        <w:t>) de la SGV test lorsqu’un échelon de puissance lui est appliqué. Ce principe offre l’avantage de n’effectuer les mesures qu’à l’entrée et la sortie de la SGV ; c’est-à-dire au niveau du sol et ne nécessite pas d’instrumenter le sous-sol (i.e. pas de capteurs de mesure placés en sous-sol).</w:t>
      </w:r>
    </w:p>
    <w:p w14:paraId="252089B4" w14:textId="77777777" w:rsidR="00566319" w:rsidRDefault="00566319" w:rsidP="00566319"/>
    <w:p w14:paraId="6C4F7682" w14:textId="77777777" w:rsidR="00566319" w:rsidRDefault="00566319" w:rsidP="00566319">
      <w:r>
        <w:t xml:space="preserve">L’échelon de puissance est réalisé par une injection de chaleur dans le sol maintenue constante au cours du temps. Pour ce faire, un équipement de chauffage chauffe le fluide en sortie de SGV et le réinjecte en entrée de SGV. Le fluide caloporteur circule donc en boucle fermée (cf. </w:t>
      </w:r>
      <w:r>
        <w:fldChar w:fldCharType="begin"/>
      </w:r>
      <w:r>
        <w:instrText>REF _Ref404598507 \h</w:instrText>
      </w:r>
      <w:r>
        <w:fldChar w:fldCharType="separate"/>
      </w:r>
      <w:r>
        <w:t>Figure 1</w:t>
      </w:r>
      <w:r>
        <w:fldChar w:fldCharType="end"/>
      </w:r>
      <w:r>
        <w:t>). L’apport de chaleur est précédé d’une estimation de T</w:t>
      </w:r>
      <w:r>
        <w:rPr>
          <w:vertAlign w:val="subscript"/>
        </w:rPr>
        <w:t>0</w:t>
      </w:r>
      <w:r>
        <w:t>, la température non perturbée du terrain.</w:t>
      </w:r>
    </w:p>
    <w:p w14:paraId="3F825B4D" w14:textId="77777777" w:rsidR="00566319" w:rsidRDefault="00566319" w:rsidP="00566319">
      <w:pPr>
        <w:keepNext/>
        <w:jc w:val="center"/>
      </w:pPr>
      <w:r>
        <w:drawing>
          <wp:inline distT="0" distB="0" distL="0" distR="2540" wp14:anchorId="73CBA2A1" wp14:editId="662AFDC3">
            <wp:extent cx="2435860" cy="265366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15"/>
                    <a:srcRect l="32227" t="29012" r="42540" b="27020"/>
                    <a:stretch>
                      <a:fillRect/>
                    </a:stretch>
                  </pic:blipFill>
                  <pic:spPr bwMode="auto">
                    <a:xfrm>
                      <a:off x="0" y="0"/>
                      <a:ext cx="2435860" cy="2653665"/>
                    </a:xfrm>
                    <a:prstGeom prst="rect">
                      <a:avLst/>
                    </a:prstGeom>
                  </pic:spPr>
                </pic:pic>
              </a:graphicData>
            </a:graphic>
          </wp:inline>
        </w:drawing>
      </w:r>
    </w:p>
    <w:p w14:paraId="06F57F67" w14:textId="77777777" w:rsidR="00566319" w:rsidRDefault="00566319" w:rsidP="00566319">
      <w:pPr>
        <w:pStyle w:val="Lgende"/>
      </w:pPr>
      <w:bookmarkStart w:id="10" w:name="_Ref404598507"/>
      <w:bookmarkStart w:id="11" w:name="_Toc400094764"/>
      <w:r>
        <w:t xml:space="preserve">Figure </w:t>
      </w:r>
      <w:r>
        <w:fldChar w:fldCharType="begin"/>
      </w:r>
      <w:r>
        <w:instrText>SEQ Figure \* ARABIC</w:instrText>
      </w:r>
      <w:r>
        <w:fldChar w:fldCharType="separate"/>
      </w:r>
      <w:r>
        <w:t>1</w:t>
      </w:r>
      <w:r>
        <w:fldChar w:fldCharType="end"/>
      </w:r>
      <w:bookmarkEnd w:id="10"/>
      <w:r>
        <w:t> : Schéma d’un dispositif de TRT</w:t>
      </w:r>
      <w:bookmarkEnd w:id="11"/>
      <w:r>
        <w:t>. Source : Rapport BRGM/RP-60816-FR</w:t>
      </w:r>
    </w:p>
    <w:p w14:paraId="13255183" w14:textId="77777777" w:rsidR="00566319" w:rsidRDefault="00566319" w:rsidP="00566319"/>
    <w:p w14:paraId="19B4BFD2" w14:textId="77777777" w:rsidR="00566319" w:rsidRDefault="00566319" w:rsidP="00566319">
      <w:r>
        <w:lastRenderedPageBreak/>
        <w:t>La puissance injectée P (W) est :</w:t>
      </w:r>
    </w:p>
    <w:p w14:paraId="462F9BBA" w14:textId="77777777" w:rsidR="00566319" w:rsidRDefault="00566319" w:rsidP="00566319">
      <m:oMathPara>
        <m:oMath>
          <m:r>
            <w:rPr>
              <w:rFonts w:ascii="Cambria Math" w:hAnsi="Cambria Math"/>
            </w:rPr>
            <m:t>P=</m:t>
          </m:r>
          <m:sSub>
            <m:sSubPr>
              <m:ctrlPr>
                <w:rPr>
                  <w:rFonts w:ascii="Cambria Math" w:hAnsi="Cambria Math"/>
                </w:rPr>
              </m:ctrlPr>
            </m:sSubPr>
            <m:e>
              <m:r>
                <w:rPr>
                  <w:rFonts w:ascii="Cambria Math" w:hAnsi="Cambria Math"/>
                </w:rPr>
                <m:t>Q</m:t>
              </m:r>
            </m:e>
            <m:sub>
              <m:r>
                <w:rPr>
                  <w:rFonts w:ascii="Cambria Math" w:hAnsi="Cambria Math"/>
                </w:rPr>
                <m:t>m</m:t>
              </m:r>
            </m:sub>
          </m:sSub>
          <m:sSub>
            <m:sSubPr>
              <m:ctrlPr>
                <w:rPr>
                  <w:rFonts w:ascii="Cambria Math" w:hAnsi="Cambria Math"/>
                </w:rPr>
              </m:ctrlPr>
            </m:sSubPr>
            <m:e>
              <m:r>
                <w:rPr>
                  <w:rFonts w:ascii="Cambria Math" w:hAnsi="Cambria Math"/>
                </w:rPr>
                <m:t>C</m:t>
              </m:r>
            </m:e>
            <m:sub>
              <m:r>
                <w:rPr>
                  <w:rFonts w:ascii="Cambria Math" w:hAnsi="Cambria Math"/>
                </w:rPr>
                <m:t>pf</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m:t>
                  </m:r>
                </m:sub>
              </m:sSub>
            </m:e>
          </m:d>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f</m:t>
              </m:r>
            </m:sub>
          </m:sSub>
          <m:r>
            <w:rPr>
              <w:rFonts w:ascii="Cambria Math" w:hAnsi="Cambria Math"/>
            </w:rPr>
            <m:t>ρ</m:t>
          </m:r>
          <m:sSub>
            <m:sSubPr>
              <m:ctrlPr>
                <w:rPr>
                  <w:rFonts w:ascii="Cambria Math" w:hAnsi="Cambria Math"/>
                </w:rPr>
              </m:ctrlPr>
            </m:sSubPr>
            <m:e>
              <m:r>
                <w:rPr>
                  <w:rFonts w:ascii="Cambria Math" w:hAnsi="Cambria Math"/>
                </w:rPr>
                <m:t>C</m:t>
              </m:r>
            </m:e>
            <m:sub>
              <m:r>
                <w:rPr>
                  <w:rFonts w:ascii="Cambria Math" w:hAnsi="Cambria Math"/>
                </w:rPr>
                <m:t>pf</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m:t>
                  </m:r>
                </m:sub>
              </m:sSub>
            </m:e>
          </m:d>
        </m:oMath>
      </m:oMathPara>
    </w:p>
    <w:p w14:paraId="2B761081" w14:textId="77777777" w:rsidR="00566319" w:rsidRDefault="00566319" w:rsidP="00566319">
      <w:pPr>
        <w:pStyle w:val="Lgende"/>
      </w:pPr>
      <w:r>
        <w:t>(</w:t>
      </w:r>
      <w:r>
        <w:fldChar w:fldCharType="begin"/>
      </w:r>
      <w:r>
        <w:instrText>SEQ Équation \* ARABIC</w:instrText>
      </w:r>
      <w:r>
        <w:fldChar w:fldCharType="separate"/>
      </w:r>
      <w:r>
        <w:t>1</w:t>
      </w:r>
      <w:r>
        <w:fldChar w:fldCharType="end"/>
      </w:r>
      <w:r>
        <w:t>)</w:t>
      </w:r>
    </w:p>
    <w:p w14:paraId="6B63E7D9" w14:textId="77777777" w:rsidR="00566319" w:rsidRDefault="00566319" w:rsidP="00566319">
      <w:r>
        <w:t>Avec :</w:t>
      </w:r>
    </w:p>
    <w:p w14:paraId="72C25881" w14:textId="77777777" w:rsidR="00566319" w:rsidRDefault="00566319" w:rsidP="00061972">
      <w:pPr>
        <w:numPr>
          <w:ilvl w:val="0"/>
          <w:numId w:val="20"/>
        </w:numPr>
      </w:pPr>
      <w:r>
        <w:t>Q</w:t>
      </w:r>
      <w:r>
        <w:rPr>
          <w:vertAlign w:val="subscript"/>
        </w:rPr>
        <w:t>m</w:t>
      </w:r>
      <w:r>
        <w:t> : le débit massique de fluide caloporteur dans la SGV (kg.s</w:t>
      </w:r>
      <w:r>
        <w:rPr>
          <w:vertAlign w:val="superscript"/>
        </w:rPr>
        <w:t>-1</w:t>
      </w:r>
      <w:r>
        <w:t>)</w:t>
      </w:r>
    </w:p>
    <w:p w14:paraId="24CA43A0" w14:textId="77777777" w:rsidR="00566319" w:rsidRDefault="00566319" w:rsidP="00061972">
      <w:pPr>
        <w:numPr>
          <w:ilvl w:val="0"/>
          <w:numId w:val="20"/>
        </w:numPr>
      </w:pPr>
      <w:r>
        <w:t>Q</w:t>
      </w:r>
      <w:r>
        <w:rPr>
          <w:vertAlign w:val="subscript"/>
        </w:rPr>
        <w:t>f</w:t>
      </w:r>
      <w:r>
        <w:t> : le débit volumique de fluide caloporteur dans la SGV (m</w:t>
      </w:r>
      <w:r>
        <w:rPr>
          <w:vertAlign w:val="superscript"/>
        </w:rPr>
        <w:t>3</w:t>
      </w:r>
      <w:r>
        <w:t>.s</w:t>
      </w:r>
      <w:r>
        <w:rPr>
          <w:vertAlign w:val="superscript"/>
        </w:rPr>
        <w:t>-1</w:t>
      </w:r>
      <w:r>
        <w:t>)</w:t>
      </w:r>
    </w:p>
    <w:p w14:paraId="7E912737" w14:textId="77777777" w:rsidR="00566319" w:rsidRDefault="00566319" w:rsidP="00061972">
      <w:pPr>
        <w:numPr>
          <w:ilvl w:val="0"/>
          <w:numId w:val="20"/>
        </w:numPr>
      </w:pPr>
      <w:r>
        <w:rPr>
          <w:rFonts w:ascii="Symbol" w:hAnsi="Symbol"/>
        </w:rPr>
        <w:t></w:t>
      </w:r>
      <w:r>
        <w:t xml:space="preserve"> : la densité du fluide (kg.m</w:t>
      </w:r>
      <w:r>
        <w:rPr>
          <w:vertAlign w:val="superscript"/>
        </w:rPr>
        <w:t>-3</w:t>
      </w:r>
      <w:r>
        <w:t>)</w:t>
      </w:r>
    </w:p>
    <w:p w14:paraId="219A5DDF" w14:textId="77777777" w:rsidR="00566319" w:rsidRDefault="00566319" w:rsidP="00061972">
      <w:pPr>
        <w:numPr>
          <w:ilvl w:val="0"/>
          <w:numId w:val="20"/>
        </w:numPr>
      </w:pPr>
      <w:r>
        <w:t>C</w:t>
      </w:r>
      <w:r>
        <w:rPr>
          <w:vertAlign w:val="subscript"/>
        </w:rPr>
        <w:t>pf</w:t>
      </w:r>
      <w:r>
        <w:t> : la chaleur spécifique du fluide (ou capacité calorifique massique) (J.kg</w:t>
      </w:r>
      <w:r>
        <w:rPr>
          <w:vertAlign w:val="superscript"/>
        </w:rPr>
        <w:t>-1</w:t>
      </w:r>
      <w:r>
        <w:t>.K</w:t>
      </w:r>
      <w:r>
        <w:rPr>
          <w:vertAlign w:val="superscript"/>
        </w:rPr>
        <w:t>-1</w:t>
      </w:r>
      <w:r>
        <w:t>)</w:t>
      </w:r>
    </w:p>
    <w:p w14:paraId="3A0FF546" w14:textId="77777777" w:rsidR="00566319" w:rsidRDefault="00566319" w:rsidP="00566319"/>
    <w:p w14:paraId="1141604A" w14:textId="77777777" w:rsidR="00566319" w:rsidRDefault="00566319" w:rsidP="00566319">
      <w:r>
        <w:t>Il est important de connaître ces paramètres avec précision. On recommande ainsi d’utiliser de l’eau dont les propriétés physico-chimiques sont bien connues (C</w:t>
      </w:r>
      <w:r>
        <w:rPr>
          <w:vertAlign w:val="subscript"/>
        </w:rPr>
        <w:t>pf</w:t>
      </w:r>
      <w:r>
        <w:t xml:space="preserve"> = 4 180 J/kg.K ; </w:t>
      </w:r>
      <w:r>
        <w:rPr>
          <w:rFonts w:ascii="Symbol" w:hAnsi="Symbol"/>
        </w:rPr>
        <w:t></w:t>
      </w:r>
      <w:r>
        <w:t xml:space="preserve"> = 1 000 kg/m</w:t>
      </w:r>
      <w:r>
        <w:rPr>
          <w:vertAlign w:val="superscript"/>
        </w:rPr>
        <w:t>3</w:t>
      </w:r>
      <w:r>
        <w:t>). On évitera les mélanges d’eau et d’antigel (eau glycolée par exemple).</w:t>
      </w:r>
    </w:p>
    <w:p w14:paraId="1417B2E7" w14:textId="77777777" w:rsidR="00566319" w:rsidRDefault="00566319" w:rsidP="00566319"/>
    <w:p w14:paraId="6C370E59" w14:textId="77777777" w:rsidR="00566319" w:rsidRDefault="00566319" w:rsidP="00566319"/>
    <w:p w14:paraId="172E62A6" w14:textId="77777777" w:rsidR="00566319" w:rsidRDefault="00566319" w:rsidP="00566319">
      <w:r>
        <w:t xml:space="preserve">Un exemple d’évolution des températures d’entrée et de sortie de SGV pendant un TRT est donné en </w:t>
      </w:r>
      <w:r>
        <w:fldChar w:fldCharType="begin"/>
      </w:r>
      <w:r>
        <w:instrText>REF _Ref429147678 \h</w:instrText>
      </w:r>
      <w:r>
        <w:fldChar w:fldCharType="separate"/>
      </w:r>
      <w:r>
        <w:t>Figure 2</w:t>
      </w:r>
      <w:r>
        <w:fldChar w:fldCharType="end"/>
      </w:r>
      <w:r>
        <w:t>.</w:t>
      </w:r>
    </w:p>
    <w:p w14:paraId="698B2696" w14:textId="77777777" w:rsidR="00566319" w:rsidRDefault="00566319" w:rsidP="00566319">
      <w:pPr>
        <w:jc w:val="center"/>
      </w:pPr>
      <w:r>
        <w:drawing>
          <wp:inline distT="0" distB="0" distL="0" distR="8890" wp14:anchorId="1A5604AC" wp14:editId="70FE045C">
            <wp:extent cx="4049395" cy="2419350"/>
            <wp:effectExtent l="0" t="0" r="0" b="0"/>
            <wp:docPr id="1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4"/>
                    <pic:cNvPicPr>
                      <a:picLocks noChangeAspect="1" noChangeArrowheads="1"/>
                    </pic:cNvPicPr>
                  </pic:nvPicPr>
                  <pic:blipFill>
                    <a:blip r:embed="rId16"/>
                    <a:srcRect l="19290" t="49030" r="40659" b="12679"/>
                    <a:stretch>
                      <a:fillRect/>
                    </a:stretch>
                  </pic:blipFill>
                  <pic:spPr bwMode="auto">
                    <a:xfrm>
                      <a:off x="0" y="0"/>
                      <a:ext cx="4049395" cy="2419350"/>
                    </a:xfrm>
                    <a:prstGeom prst="rect">
                      <a:avLst/>
                    </a:prstGeom>
                  </pic:spPr>
                </pic:pic>
              </a:graphicData>
            </a:graphic>
          </wp:inline>
        </w:drawing>
      </w:r>
    </w:p>
    <w:p w14:paraId="1A542FBF" w14:textId="77777777" w:rsidR="00566319" w:rsidRDefault="00566319" w:rsidP="00566319">
      <w:pPr>
        <w:pStyle w:val="Lgende"/>
      </w:pPr>
      <w:bookmarkStart w:id="12" w:name="_Ref429147678"/>
      <w:r>
        <w:t xml:space="preserve">Figure </w:t>
      </w:r>
      <w:r>
        <w:fldChar w:fldCharType="begin"/>
      </w:r>
      <w:r>
        <w:instrText>SEQ Figure \* ARABIC</w:instrText>
      </w:r>
      <w:r>
        <w:fldChar w:fldCharType="separate"/>
      </w:r>
      <w:r>
        <w:t>2</w:t>
      </w:r>
      <w:r>
        <w:fldChar w:fldCharType="end"/>
      </w:r>
      <w:bookmarkEnd w:id="12"/>
      <w:r>
        <w:t> : Exemple d’évolution des températures d’entrée et de sortie de SGV pendant un TRT. Source : Rapport BRGM/RP-60816-FR</w:t>
      </w:r>
    </w:p>
    <w:p w14:paraId="2AB87167" w14:textId="77777777" w:rsidR="00566319" w:rsidRDefault="00566319" w:rsidP="00566319"/>
    <w:p w14:paraId="00E34D0C" w14:textId="77777777" w:rsidR="00566319" w:rsidRDefault="00566319" w:rsidP="00566319">
      <w:r>
        <w:t>Par ailleurs, la stabilité de la puissance injectée est un facteur déterminant pour le bon déroulement de la mesure. Ceci implique donc que le test permette :</w:t>
      </w:r>
    </w:p>
    <w:p w14:paraId="2B0F638F" w14:textId="77777777" w:rsidR="00566319" w:rsidRDefault="00566319" w:rsidP="00061972">
      <w:pPr>
        <w:numPr>
          <w:ilvl w:val="0"/>
          <w:numId w:val="21"/>
        </w:numPr>
      </w:pPr>
      <w:r>
        <w:t>Un débit aussi stable que possible ;</w:t>
      </w:r>
    </w:p>
    <w:p w14:paraId="086B2026" w14:textId="77777777" w:rsidR="00566319" w:rsidRDefault="00566319" w:rsidP="00061972">
      <w:pPr>
        <w:numPr>
          <w:ilvl w:val="0"/>
          <w:numId w:val="21"/>
        </w:numPr>
      </w:pPr>
      <w:r>
        <w:t>Une différence de température (T</w:t>
      </w:r>
      <w:r>
        <w:rPr>
          <w:vertAlign w:val="subscript"/>
        </w:rPr>
        <w:t>e</w:t>
      </w:r>
      <w:r>
        <w:t>-T</w:t>
      </w:r>
      <w:r>
        <w:rPr>
          <w:vertAlign w:val="subscript"/>
        </w:rPr>
        <w:t>s</w:t>
      </w:r>
      <w:r>
        <w:t>) aussi stable que possible.</w:t>
      </w:r>
    </w:p>
    <w:p w14:paraId="10BCFD74" w14:textId="77777777" w:rsidR="00566319" w:rsidRDefault="00566319" w:rsidP="00566319"/>
    <w:p w14:paraId="3D540A58" w14:textId="77777777" w:rsidR="00566319" w:rsidRDefault="00566319" w:rsidP="00566319">
      <w:r>
        <w:t xml:space="preserve">Un exemple de TRT où la stabilité de ces paramètres est assurée est représenté en </w:t>
      </w:r>
      <w:r>
        <w:fldChar w:fldCharType="begin"/>
      </w:r>
      <w:r>
        <w:instrText>REF _Ref429148482 \h</w:instrText>
      </w:r>
      <w:r>
        <w:fldChar w:fldCharType="separate"/>
      </w:r>
      <w:r>
        <w:t>Figure 3</w:t>
      </w:r>
      <w:r>
        <w:fldChar w:fldCharType="end"/>
      </w:r>
      <w:r>
        <w:t>.</w:t>
      </w:r>
    </w:p>
    <w:p w14:paraId="5C1DA0D4" w14:textId="77777777" w:rsidR="00566319" w:rsidRDefault="00566319" w:rsidP="00566319"/>
    <w:p w14:paraId="77AFD8DA" w14:textId="77777777" w:rsidR="00566319" w:rsidRDefault="00566319" w:rsidP="00566319">
      <w:pPr>
        <w:jc w:val="center"/>
      </w:pPr>
      <w:r>
        <w:lastRenderedPageBreak/>
        <w:drawing>
          <wp:inline distT="0" distB="7620" distL="0" distR="6985" wp14:anchorId="5BFA415F" wp14:editId="2AAAAE68">
            <wp:extent cx="3841750" cy="2011680"/>
            <wp:effectExtent l="0" t="0" r="0" b="0"/>
            <wp:docPr id="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9"/>
                    <pic:cNvPicPr>
                      <a:picLocks noChangeAspect="1" noChangeArrowheads="1"/>
                    </pic:cNvPicPr>
                  </pic:nvPicPr>
                  <pic:blipFill>
                    <a:blip r:embed="rId17"/>
                    <a:srcRect l="24545" t="50988" r="34189" b="14431"/>
                    <a:stretch>
                      <a:fillRect/>
                    </a:stretch>
                  </pic:blipFill>
                  <pic:spPr bwMode="auto">
                    <a:xfrm>
                      <a:off x="0" y="0"/>
                      <a:ext cx="3841750" cy="2011680"/>
                    </a:xfrm>
                    <a:prstGeom prst="rect">
                      <a:avLst/>
                    </a:prstGeom>
                  </pic:spPr>
                </pic:pic>
              </a:graphicData>
            </a:graphic>
          </wp:inline>
        </w:drawing>
      </w:r>
    </w:p>
    <w:p w14:paraId="301F1C5B" w14:textId="77777777" w:rsidR="00566319" w:rsidRDefault="00566319" w:rsidP="00566319">
      <w:pPr>
        <w:pStyle w:val="Lgende"/>
      </w:pPr>
      <w:bookmarkStart w:id="13" w:name="_Ref429148482"/>
      <w:r>
        <w:t xml:space="preserve">Figure </w:t>
      </w:r>
      <w:r>
        <w:fldChar w:fldCharType="begin"/>
      </w:r>
      <w:r>
        <w:instrText>SEQ Figure \* ARABIC</w:instrText>
      </w:r>
      <w:r>
        <w:fldChar w:fldCharType="separate"/>
      </w:r>
      <w:r>
        <w:t>3</w:t>
      </w:r>
      <w:r>
        <w:fldChar w:fldCharType="end"/>
      </w:r>
      <w:bookmarkEnd w:id="13"/>
      <w:r>
        <w:t> : Exemple d’évolution de différence de température (</w:t>
      </w:r>
      <w:proofErr w:type="spellStart"/>
      <w:r>
        <w:t>T</w:t>
      </w:r>
      <w:r>
        <w:rPr>
          <w:vertAlign w:val="subscript"/>
        </w:rPr>
        <w:t>e</w:t>
      </w:r>
      <w:r>
        <w:t>-T</w:t>
      </w:r>
      <w:r>
        <w:rPr>
          <w:vertAlign w:val="subscript"/>
        </w:rPr>
        <w:t>s</w:t>
      </w:r>
      <w:proofErr w:type="spellEnd"/>
      <w:r>
        <w:t>), de débit et de puissance échangée pendant un TRT. Source : Rapport BRGM/RP-60816-FR</w:t>
      </w:r>
    </w:p>
    <w:p w14:paraId="348F9DF6" w14:textId="77777777" w:rsidR="00566319" w:rsidRDefault="00566319" w:rsidP="00566319"/>
    <w:p w14:paraId="04ABA41D" w14:textId="77777777" w:rsidR="00566319" w:rsidRDefault="00566319" w:rsidP="00566319">
      <w:r>
        <w:t>On note T</w:t>
      </w:r>
      <w:r>
        <w:rPr>
          <w:vertAlign w:val="subscript"/>
        </w:rPr>
        <w:t>f</w:t>
      </w:r>
      <w:r>
        <w:t xml:space="preserve"> la température moyenne du fluide entre l’entrée et la sortie de la SGV définie par : T</w:t>
      </w:r>
      <w:r>
        <w:rPr>
          <w:vertAlign w:val="subscript"/>
        </w:rPr>
        <w:t>f</w:t>
      </w:r>
      <w:r>
        <w:t xml:space="preserve"> = (T</w:t>
      </w:r>
      <w:r>
        <w:rPr>
          <w:vertAlign w:val="subscript"/>
        </w:rPr>
        <w:t>e</w:t>
      </w:r>
      <w:r>
        <w:t>+T</w:t>
      </w:r>
      <w:r>
        <w:rPr>
          <w:vertAlign w:val="subscript"/>
        </w:rPr>
        <w:t>s</w:t>
      </w:r>
      <w:r>
        <w:t xml:space="preserve">)/2. En l’absence d’écoulements souterrains, la température moyenne du fluide varie linéairement avec le logarithme du temps (cf. </w:t>
      </w:r>
      <w:r>
        <w:fldChar w:fldCharType="begin"/>
      </w:r>
      <w:r>
        <w:instrText>REF _Ref429150032 \h</w:instrText>
      </w:r>
      <w:r>
        <w:fldChar w:fldCharType="separate"/>
      </w:r>
      <w:r>
        <w:t>Figure 4</w:t>
      </w:r>
      <w:r>
        <w:fldChar w:fldCharType="end"/>
      </w:r>
      <w:r>
        <w:t>).</w:t>
      </w:r>
    </w:p>
    <w:p w14:paraId="47C3936C" w14:textId="77777777" w:rsidR="00566319" w:rsidRDefault="00566319" w:rsidP="00566319">
      <w:pPr>
        <w:jc w:val="center"/>
      </w:pPr>
      <w:r>
        <w:drawing>
          <wp:inline distT="0" distB="0" distL="0" distR="0" wp14:anchorId="70F19DE6" wp14:editId="004383C2">
            <wp:extent cx="4004945" cy="2230120"/>
            <wp:effectExtent l="0" t="0" r="0" b="0"/>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6"/>
                    <pic:cNvPicPr>
                      <a:picLocks noChangeAspect="1" noChangeArrowheads="1"/>
                    </pic:cNvPicPr>
                  </pic:nvPicPr>
                  <pic:blipFill>
                    <a:blip r:embed="rId18"/>
                    <a:srcRect l="23810" t="22662" r="32116" b="38068"/>
                    <a:stretch>
                      <a:fillRect/>
                    </a:stretch>
                  </pic:blipFill>
                  <pic:spPr bwMode="auto">
                    <a:xfrm>
                      <a:off x="0" y="0"/>
                      <a:ext cx="4004945" cy="2230120"/>
                    </a:xfrm>
                    <a:prstGeom prst="rect">
                      <a:avLst/>
                    </a:prstGeom>
                  </pic:spPr>
                </pic:pic>
              </a:graphicData>
            </a:graphic>
          </wp:inline>
        </w:drawing>
      </w:r>
    </w:p>
    <w:p w14:paraId="34FB7A7D" w14:textId="77777777" w:rsidR="00566319" w:rsidRDefault="00566319" w:rsidP="00566319">
      <w:pPr>
        <w:pStyle w:val="Lgende"/>
      </w:pPr>
      <w:bookmarkStart w:id="14" w:name="_Ref429150032"/>
      <w:r>
        <w:t xml:space="preserve">Figure </w:t>
      </w:r>
      <w:r>
        <w:fldChar w:fldCharType="begin"/>
      </w:r>
      <w:r>
        <w:instrText>SEQ Figure \* ARABIC</w:instrText>
      </w:r>
      <w:r>
        <w:fldChar w:fldCharType="separate"/>
      </w:r>
      <w:r>
        <w:t>4</w:t>
      </w:r>
      <w:r>
        <w:fldChar w:fldCharType="end"/>
      </w:r>
      <w:bookmarkEnd w:id="14"/>
      <w:r>
        <w:t> : Exemple d’évolution de la température moyenne d’entrée et de sortie de SGV pendant un TRT en fonction du logarithme du temps. Source : Rapport BRGM/RP-60816-FR</w:t>
      </w:r>
    </w:p>
    <w:p w14:paraId="2E96E899" w14:textId="77777777" w:rsidR="00566319" w:rsidRDefault="00566319" w:rsidP="00566319">
      <w:pPr>
        <w:jc w:val="center"/>
      </w:pPr>
    </w:p>
    <w:p w14:paraId="6E661197" w14:textId="77777777" w:rsidR="00566319" w:rsidRDefault="00566319" w:rsidP="00061972">
      <w:pPr>
        <w:pStyle w:val="Titre2"/>
        <w:numPr>
          <w:ilvl w:val="1"/>
          <w:numId w:val="7"/>
        </w:numPr>
        <w:spacing w:before="0"/>
      </w:pPr>
      <w:bookmarkStart w:id="15" w:name="_Toc33437925"/>
      <w:r>
        <w:t>Composants du TRT</w:t>
      </w:r>
      <w:bookmarkEnd w:id="15"/>
    </w:p>
    <w:p w14:paraId="5CBDD028" w14:textId="77777777" w:rsidR="00566319" w:rsidRDefault="00566319" w:rsidP="00061972">
      <w:pPr>
        <w:pStyle w:val="Titre3"/>
        <w:numPr>
          <w:ilvl w:val="2"/>
          <w:numId w:val="7"/>
        </w:numPr>
        <w:spacing w:before="0" w:after="0"/>
      </w:pPr>
      <w:bookmarkStart w:id="16" w:name="_Toc33437926"/>
      <w:r>
        <w:t>SGV de test</w:t>
      </w:r>
      <w:bookmarkEnd w:id="16"/>
    </w:p>
    <w:p w14:paraId="78E76392" w14:textId="77777777" w:rsidR="00566319" w:rsidRDefault="00566319" w:rsidP="00566319">
      <w:r>
        <w:t>La SGV doit être représentative des SGV prévues dans le chantier futur. Lorsque la théorie de la source linéaire de chaleur est appliquée, la SGV de test doit être conforme au modèle retenu, c’est-à-dire présenter des caractéristiques telles que son diamètre puisse être considéré comme négligeable par rapport à sa longueur (cf. la section « Interprétation »). De ce fait, les SGV de type simple U, double U, coaxiale ou spiralée dans des forages de diamètres usuels (de 100 mm à 200 mm, avec recommandation de 125 mm à 165 mm par la norme NF X10-970) sont acceptables.</w:t>
      </w:r>
    </w:p>
    <w:p w14:paraId="5FE3DE75" w14:textId="77777777" w:rsidR="00566319" w:rsidRDefault="00566319" w:rsidP="00566319">
      <w:r>
        <w:t>L’interprétation d’un TRT sur des corbeilles géothermiques ou des capteurs horizontaux s’appuie sur d’autres équations, et n’est pas considérée par le présent document.</w:t>
      </w:r>
    </w:p>
    <w:p w14:paraId="43DA299C" w14:textId="77777777" w:rsidR="00566319" w:rsidRDefault="00566319" w:rsidP="00566319"/>
    <w:p w14:paraId="237B3039" w14:textId="77777777" w:rsidR="00566319" w:rsidRDefault="00566319" w:rsidP="00566319"/>
    <w:p w14:paraId="47F5B96C" w14:textId="77777777" w:rsidR="00566319" w:rsidRDefault="00566319" w:rsidP="00566319"/>
    <w:p w14:paraId="38D73F59" w14:textId="77777777" w:rsidR="00566319" w:rsidRDefault="00566319" w:rsidP="00061972">
      <w:pPr>
        <w:pStyle w:val="Titre3"/>
        <w:numPr>
          <w:ilvl w:val="2"/>
          <w:numId w:val="7"/>
        </w:numPr>
        <w:spacing w:before="0" w:after="0"/>
      </w:pPr>
      <w:bookmarkStart w:id="17" w:name="_Toc33437927"/>
      <w:r>
        <w:lastRenderedPageBreak/>
        <w:t>Présentation d’un appareil type</w:t>
      </w:r>
      <w:bookmarkEnd w:id="17"/>
    </w:p>
    <w:p w14:paraId="34A60E60" w14:textId="77777777" w:rsidR="00566319" w:rsidRDefault="00566319" w:rsidP="00566319">
      <w:r>
        <w:t>Un appareil de TRT fonctionne en mode chauffage. Bien que théoriquement, la source linéaire de chaleur puisse être appliquée en refroidissement, il est en effet plus simple de contrôler la puissance de chauffe que la puissance de refroidissement. La production contrôlée de chaleur (par exemple : le réglage d’une intensité électrique parcourant une résistance de chauffage) est en effet plus facile à mettre en œuvre que la production d’une puissance frigorifique (nécessitant un groupe de production de froid plus conséquent que la simple résistance). L’appareil doit comporter au minimum :</w:t>
      </w:r>
    </w:p>
    <w:p w14:paraId="618258EE" w14:textId="77777777" w:rsidR="00566319" w:rsidRDefault="00566319" w:rsidP="00061972">
      <w:pPr>
        <w:numPr>
          <w:ilvl w:val="0"/>
          <w:numId w:val="26"/>
        </w:numPr>
      </w:pPr>
      <w:r>
        <w:t>Un organe de chauffage permettant de réguler, ou à défaut de calibrer, la puissance injectée dans le sol ;</w:t>
      </w:r>
    </w:p>
    <w:p w14:paraId="609A9D6B" w14:textId="77777777" w:rsidR="00566319" w:rsidRDefault="00566319" w:rsidP="00061972">
      <w:pPr>
        <w:numPr>
          <w:ilvl w:val="0"/>
          <w:numId w:val="26"/>
        </w:numPr>
      </w:pPr>
      <w:r>
        <w:t>Une pompe de circulation permettant de réguler, ou à défaut de calibrer, le débit de circulation dans la SGV ;</w:t>
      </w:r>
    </w:p>
    <w:p w14:paraId="2695EE7C" w14:textId="77777777" w:rsidR="00566319" w:rsidRDefault="00566319" w:rsidP="00061972">
      <w:pPr>
        <w:numPr>
          <w:ilvl w:val="0"/>
          <w:numId w:val="26"/>
        </w:numPr>
      </w:pPr>
      <w:r>
        <w:t>Des capteurs de température platine, minimum Pt100 classe B ou équivalent, permettant de relever :</w:t>
      </w:r>
    </w:p>
    <w:p w14:paraId="60EAD201" w14:textId="77777777" w:rsidR="00566319" w:rsidRDefault="00566319" w:rsidP="00061972">
      <w:pPr>
        <w:numPr>
          <w:ilvl w:val="0"/>
          <w:numId w:val="27"/>
        </w:numPr>
      </w:pPr>
      <w:r>
        <w:t>La température en sortie de l’appareil (entrée de SGV)</w:t>
      </w:r>
    </w:p>
    <w:p w14:paraId="2B874ABA" w14:textId="77777777" w:rsidR="00566319" w:rsidRDefault="00566319" w:rsidP="00061972">
      <w:pPr>
        <w:numPr>
          <w:ilvl w:val="0"/>
          <w:numId w:val="27"/>
        </w:numPr>
      </w:pPr>
      <w:r>
        <w:t>La température en entrée de l’appareil (sortie de SGV)</w:t>
      </w:r>
    </w:p>
    <w:p w14:paraId="004A9DA9" w14:textId="77777777" w:rsidR="00566319" w:rsidRDefault="00566319" w:rsidP="00061972">
      <w:pPr>
        <w:numPr>
          <w:ilvl w:val="0"/>
          <w:numId w:val="26"/>
        </w:numPr>
      </w:pPr>
      <w:r>
        <w:t>Un système de mesure d’énergie : soit par relevé de la puissance thermique injectée (puissance du réchauffeur, par exemple par mesure tension/intensité électrique consommée ou énergie primaire consommée), et/ou par mesure de débit (permettant le calcul plus précis de la puissance injectée)</w:t>
      </w:r>
    </w:p>
    <w:p w14:paraId="498F18F0" w14:textId="77777777" w:rsidR="00566319" w:rsidRDefault="00566319" w:rsidP="00061972">
      <w:pPr>
        <w:numPr>
          <w:ilvl w:val="0"/>
          <w:numId w:val="26"/>
        </w:numPr>
      </w:pPr>
      <w:r>
        <w:t xml:space="preserve">Un système d’enregistrement à intervalles réguliers des grandeurs mesurées décrites précédemment. </w:t>
      </w:r>
      <w:r>
        <w:rPr>
          <w:b/>
        </w:rPr>
        <w:t>La période d’enregistrement des mesures est au minimum de 10 minutes et peut descendre jusqu’à 30 secondes</w:t>
      </w:r>
      <w:r>
        <w:t>.</w:t>
      </w:r>
    </w:p>
    <w:p w14:paraId="11BC800A" w14:textId="77777777" w:rsidR="00566319" w:rsidRDefault="00566319" w:rsidP="00566319">
      <w:r>
        <w:t>L’appareil doit de plus intégrer les sécurités nécessaires à la protection des personnes (protection contre la surchauffe notamment) et de manière générale être conçu selon les normes en vigueur.</w:t>
      </w:r>
    </w:p>
    <w:p w14:paraId="0788C120" w14:textId="77777777" w:rsidR="00566319" w:rsidRDefault="00566319" w:rsidP="00566319">
      <w:r>
        <w:t>L’utilisateur doit pouvoir justifier de la précision des capteurs de mesure utilisés dans l’appareil. Lorsque la puissance injectée est mesurée par le biais du relevé de la consommation électrique ou primaire consommée, le comptage ne doit concerner que l’énergie consommée par l’organe de chauffage et non par l’appareil dans son ensemble, ce qui conduirait à surestimer la puissance effectivement apportée au terrain.</w:t>
      </w:r>
    </w:p>
    <w:p w14:paraId="246592A9" w14:textId="77777777" w:rsidR="00566319" w:rsidRDefault="00566319" w:rsidP="00061972">
      <w:pPr>
        <w:pStyle w:val="Titre3"/>
        <w:numPr>
          <w:ilvl w:val="2"/>
          <w:numId w:val="7"/>
        </w:numPr>
        <w:spacing w:before="0" w:after="0"/>
      </w:pPr>
      <w:bookmarkStart w:id="18" w:name="_Toc33437928"/>
      <w:r>
        <w:t>Précision de l’appareil de TRT</w:t>
      </w:r>
      <w:bookmarkEnd w:id="18"/>
    </w:p>
    <w:p w14:paraId="67B83369" w14:textId="77777777" w:rsidR="00566319" w:rsidRDefault="00566319" w:rsidP="00566319">
      <w:r>
        <w:t>Outre la précision des capteurs servant à la mesure, deux facteurs influent sur la précision de celle-ci :</w:t>
      </w:r>
    </w:p>
    <w:p w14:paraId="20993111" w14:textId="77777777" w:rsidR="00566319" w:rsidRDefault="00566319" w:rsidP="00061972">
      <w:pPr>
        <w:numPr>
          <w:ilvl w:val="0"/>
          <w:numId w:val="19"/>
        </w:numPr>
      </w:pPr>
      <w:r>
        <w:t>La présence ou non de régulation de la puissance injectée ;</w:t>
      </w:r>
    </w:p>
    <w:p w14:paraId="2FFC1E90" w14:textId="77777777" w:rsidR="00566319" w:rsidRDefault="00566319" w:rsidP="00061972">
      <w:pPr>
        <w:numPr>
          <w:ilvl w:val="0"/>
          <w:numId w:val="19"/>
        </w:numPr>
      </w:pPr>
      <w:r>
        <w:t>Les pertes thermiques sur la chaîne de mesure.</w:t>
      </w:r>
    </w:p>
    <w:p w14:paraId="762D356E" w14:textId="77777777" w:rsidR="00566319" w:rsidRDefault="00566319" w:rsidP="00566319"/>
    <w:p w14:paraId="3F67A2DD" w14:textId="77777777" w:rsidR="00566319" w:rsidRDefault="00566319" w:rsidP="00566319">
      <w:pPr>
        <w:widowControl w:val="0"/>
      </w:pPr>
      <w:r>
        <w:rPr>
          <w:i/>
          <w:u w:val="single"/>
        </w:rPr>
        <w:t>Régulation</w:t>
      </w:r>
    </w:p>
    <w:p w14:paraId="05DFD354" w14:textId="77777777" w:rsidR="00566319" w:rsidRDefault="00566319" w:rsidP="00566319">
      <w:r>
        <w:t>La régulation consiste à maintenir la puissance injectée par la SGV test aussi stable que possible. Etant donné que la puissance injectée est fonction du débit de circulation et des températures entrée et sortie de la SGV test, la régulation concerne simultanément :</w:t>
      </w:r>
    </w:p>
    <w:p w14:paraId="76BAE53A" w14:textId="77777777" w:rsidR="00566319" w:rsidRDefault="00566319" w:rsidP="00061972">
      <w:pPr>
        <w:numPr>
          <w:ilvl w:val="0"/>
          <w:numId w:val="19"/>
        </w:numPr>
      </w:pPr>
      <w:r>
        <w:t>Le maintien d’un débit de circulation Q</w:t>
      </w:r>
      <w:r>
        <w:rPr>
          <w:vertAlign w:val="subscript"/>
        </w:rPr>
        <w:t>m</w:t>
      </w:r>
      <w:r>
        <w:t xml:space="preserve"> constant ;</w:t>
      </w:r>
    </w:p>
    <w:p w14:paraId="7AF8C63F" w14:textId="77777777" w:rsidR="00566319" w:rsidRDefault="00566319" w:rsidP="00061972">
      <w:pPr>
        <w:numPr>
          <w:ilvl w:val="0"/>
          <w:numId w:val="19"/>
        </w:numPr>
      </w:pPr>
      <w:r>
        <w:t>Le maintien d’un écart de température constant T</w:t>
      </w:r>
      <w:r>
        <w:rPr>
          <w:vertAlign w:val="subscript"/>
        </w:rPr>
        <w:t>e</w:t>
      </w:r>
      <w:r>
        <w:t>-T</w:t>
      </w:r>
      <w:r>
        <w:rPr>
          <w:vertAlign w:val="subscript"/>
        </w:rPr>
        <w:t>s</w:t>
      </w:r>
      <w:r>
        <w:t>. Ceci peut être fait soit en régulant l’écart de température voulu (régulation directe), soit en régulant la puissance électrique consommée par le dispositif de chauffage (régulation indirecte).</w:t>
      </w:r>
    </w:p>
    <w:p w14:paraId="34DA598C" w14:textId="77777777" w:rsidR="00566319" w:rsidRDefault="00566319" w:rsidP="00566319">
      <w:r>
        <w:lastRenderedPageBreak/>
        <w:t>Un appareil régulé permet l’ajustement précis des consignes de débit et de chauffage afin de s’adapter à tous les cas de figure.</w:t>
      </w:r>
    </w:p>
    <w:p w14:paraId="37AA10AC" w14:textId="77777777" w:rsidR="00566319" w:rsidRDefault="00566319" w:rsidP="00566319"/>
    <w:p w14:paraId="124E74E6" w14:textId="77777777" w:rsidR="00566319" w:rsidRDefault="00566319" w:rsidP="00566319">
      <w:pPr>
        <w:widowControl w:val="0"/>
      </w:pPr>
      <w:r>
        <w:rPr>
          <w:i/>
          <w:u w:val="single"/>
        </w:rPr>
        <w:t>Erreur due à l’absence de régulation</w:t>
      </w:r>
    </w:p>
    <w:p w14:paraId="66E749EF" w14:textId="77777777" w:rsidR="00566319" w:rsidRDefault="00566319" w:rsidP="00566319">
      <w:r>
        <w:t xml:space="preserve"> Lorsque l’appareil est alimenté par le réseau électrique, l’absence de régulation va entacher la mesure d’une erreur inhérente à la variation de tension de celui-ci. Ce phénomène ne se produira pas si la source d’énergie est stable (par exemple, groupe électrogène régulé). En effet, la tension peut varier de 10% par rapport à sa valeur nominale du fait de la stabilité inhérente au réseau (producteurs, consommateurs instantanés). Ainsi, la puissance d’un appareil de test non régulé et raccordé au réseau peut varier de 20% pendant le test, ce qui ne permet pas d’observer finement le comportement thermique de la SGV (à cause d’un bruit de fond important).</w:t>
      </w:r>
    </w:p>
    <w:p w14:paraId="520C405F" w14:textId="77777777" w:rsidR="00566319" w:rsidRDefault="00566319" w:rsidP="00566319"/>
    <w:p w14:paraId="3B0E6197" w14:textId="77777777" w:rsidR="00566319" w:rsidRDefault="00566319" w:rsidP="00566319">
      <w:pPr>
        <w:widowControl w:val="0"/>
        <w:rPr>
          <w:i/>
          <w:u w:val="single"/>
        </w:rPr>
      </w:pPr>
      <w:r>
        <w:rPr>
          <w:i/>
          <w:u w:val="single"/>
        </w:rPr>
        <w:t>Pertes et apports thermiques, isolation</w:t>
      </w:r>
    </w:p>
    <w:p w14:paraId="31C2B8F8" w14:textId="77777777" w:rsidR="00566319" w:rsidRDefault="00566319" w:rsidP="00566319">
      <w:pPr>
        <w:widowControl w:val="0"/>
      </w:pPr>
      <w:r>
        <w:t>Les pertes thermiques concernent :</w:t>
      </w:r>
    </w:p>
    <w:p w14:paraId="163ED724" w14:textId="77777777" w:rsidR="00566319" w:rsidRDefault="00566319" w:rsidP="00061972">
      <w:pPr>
        <w:numPr>
          <w:ilvl w:val="0"/>
          <w:numId w:val="19"/>
        </w:numPr>
      </w:pPr>
      <w:r>
        <w:t>La dissipation thermique parasite lorsque l’appareil fonctionne par température ambiante froide ;</w:t>
      </w:r>
    </w:p>
    <w:p w14:paraId="03D039C7" w14:textId="77777777" w:rsidR="00566319" w:rsidRDefault="00566319" w:rsidP="00061972">
      <w:pPr>
        <w:numPr>
          <w:ilvl w:val="0"/>
          <w:numId w:val="19"/>
        </w:numPr>
      </w:pPr>
      <w:r>
        <w:t>Les apports thermiques parasites lorsque l’appareil fonctionne par température ambiante chaude.</w:t>
      </w:r>
    </w:p>
    <w:p w14:paraId="66453586" w14:textId="77777777" w:rsidR="00566319" w:rsidRDefault="00566319" w:rsidP="00566319">
      <w:r>
        <w:t>Une distance pouvant atteindre la dizaine de mètres sépare généralement l’appareil de la SGV de test, le raccordement entre les deux étant réalisé par des canalisations (aller/retour).</w:t>
      </w:r>
    </w:p>
    <w:p w14:paraId="0823324B" w14:textId="77777777" w:rsidR="00566319" w:rsidRDefault="00566319" w:rsidP="00061972">
      <w:pPr>
        <w:numPr>
          <w:ilvl w:val="0"/>
          <w:numId w:val="24"/>
        </w:numPr>
      </w:pPr>
      <w:r>
        <w:t>Lorsque les capteurs de température sont solidaires de l’appareil, la mesure des régimes de température ne doit pas être perturbée par les déperditions au niveau des canalisations : celles-ci doivent être impérativement calorifugées (appareil régulé ou non régulé).</w:t>
      </w:r>
    </w:p>
    <w:p w14:paraId="494D2E34" w14:textId="77777777" w:rsidR="00566319" w:rsidRDefault="00566319" w:rsidP="00061972">
      <w:pPr>
        <w:numPr>
          <w:ilvl w:val="0"/>
          <w:numId w:val="24"/>
        </w:numPr>
      </w:pPr>
      <w:r>
        <w:t>Lorsque les capteurs de température sont placés directement sur les SGV donc à distance de l’appareil :</w:t>
      </w:r>
    </w:p>
    <w:p w14:paraId="30F25B41" w14:textId="77777777" w:rsidR="00566319" w:rsidRDefault="00566319" w:rsidP="00061972">
      <w:pPr>
        <w:numPr>
          <w:ilvl w:val="0"/>
          <w:numId w:val="25"/>
        </w:numPr>
      </w:pPr>
      <w:r>
        <w:t>Soit l’appareil n’est pas régulé, dans ce cas, la mesure des régimes de température ne doit pas être perturbée par les déperditions au niveau des canalisations : celles-ci doivent être impérativement calorifugées.</w:t>
      </w:r>
    </w:p>
    <w:p w14:paraId="5CA3A8B3" w14:textId="77777777" w:rsidR="00566319" w:rsidRDefault="00566319" w:rsidP="00061972">
      <w:pPr>
        <w:numPr>
          <w:ilvl w:val="0"/>
          <w:numId w:val="25"/>
        </w:numPr>
      </w:pPr>
      <w:r>
        <w:t>Soit l’appareil est régulé et la régulation s’effectue sur les températures mesurées sur la SGV de test ; dans ce cas, les déperditions sont prises en compte par la régulation, le calorifugeage des canalisations est alors inutile.</w:t>
      </w:r>
    </w:p>
    <w:p w14:paraId="0D8BBDF0" w14:textId="77777777" w:rsidR="00566319" w:rsidRDefault="00566319" w:rsidP="00566319">
      <w:pPr>
        <w:ind w:left="360"/>
      </w:pPr>
    </w:p>
    <w:p w14:paraId="45024AAC" w14:textId="77777777" w:rsidR="00566319" w:rsidRDefault="00566319" w:rsidP="00061972">
      <w:pPr>
        <w:pStyle w:val="Titre2"/>
        <w:numPr>
          <w:ilvl w:val="1"/>
          <w:numId w:val="7"/>
        </w:numPr>
        <w:spacing w:before="0"/>
      </w:pPr>
      <w:bookmarkStart w:id="19" w:name="_Toc426538453"/>
      <w:bookmarkStart w:id="20" w:name="_Toc426538452"/>
      <w:bookmarkStart w:id="21" w:name="_Toc33437929"/>
      <w:bookmarkEnd w:id="19"/>
      <w:bookmarkEnd w:id="20"/>
      <w:r>
        <w:t>Procédure de mise en œuvre</w:t>
      </w:r>
      <w:bookmarkEnd w:id="21"/>
    </w:p>
    <w:p w14:paraId="03F781F4" w14:textId="77777777" w:rsidR="00566319" w:rsidRDefault="00566319" w:rsidP="00061972">
      <w:pPr>
        <w:pStyle w:val="Titre3"/>
        <w:numPr>
          <w:ilvl w:val="2"/>
          <w:numId w:val="7"/>
        </w:numPr>
        <w:spacing w:before="0" w:after="0"/>
      </w:pPr>
      <w:bookmarkStart w:id="22" w:name="_Toc33437930"/>
      <w:r>
        <w:t>Délai entre la pose et la mesure</w:t>
      </w:r>
      <w:bookmarkEnd w:id="22"/>
    </w:p>
    <w:p w14:paraId="49411C78" w14:textId="77777777" w:rsidR="00566319" w:rsidRDefault="00566319" w:rsidP="00566319">
      <w:pPr>
        <w:widowControl w:val="0"/>
      </w:pPr>
      <w:r>
        <w:t>La SGV de test étant posée, la cimentation effectuée, il est nécessaire de s'assurer que celle-ci soit prise pour, d'une part, atteindre un niveau de performance (conductivité) stable, et d'autre part pour éviter que la prise de la cimentation, plus ou moins exothermique (i.e. génératrice de chaleur) ne vienne interférer avec les mesures en cours.</w:t>
      </w:r>
      <w:r>
        <w:rPr>
          <w:rFonts w:ascii="Times New Roman" w:hAnsi="Times New Roman"/>
          <w:color w:val="000000"/>
          <w:spacing w:val="-1"/>
          <w:sz w:val="27"/>
          <w:szCs w:val="27"/>
        </w:rPr>
        <w:t xml:space="preserve"> </w:t>
      </w:r>
      <w:r>
        <w:t xml:space="preserve">De ce fait, on admet généralement un </w:t>
      </w:r>
      <w:r>
        <w:rPr>
          <w:b/>
        </w:rPr>
        <w:t>délai minimum de 5 à 7 jours entre la cimentation et le début du test</w:t>
      </w:r>
      <w:r>
        <w:t>.</w:t>
      </w:r>
    </w:p>
    <w:p w14:paraId="61EE1596" w14:textId="77777777" w:rsidR="00566319" w:rsidRDefault="00566319" w:rsidP="00061972">
      <w:pPr>
        <w:pStyle w:val="Titre3"/>
        <w:numPr>
          <w:ilvl w:val="2"/>
          <w:numId w:val="7"/>
        </w:numPr>
        <w:spacing w:before="0" w:after="0"/>
      </w:pPr>
      <w:bookmarkStart w:id="23" w:name="_Toc33437931"/>
      <w:r>
        <w:t>Mesure de la température stabilisée du sous-sol</w:t>
      </w:r>
      <w:bookmarkEnd w:id="23"/>
    </w:p>
    <w:p w14:paraId="05BF0E36" w14:textId="77777777" w:rsidR="00566319" w:rsidRDefault="00566319" w:rsidP="00566319">
      <w:pPr>
        <w:framePr w:w="241" w:h="276" w:hRule="exact" w:wrap="auto" w:vAnchor="page" w:hAnchor="page" w:x="13285" w:y="19739"/>
        <w:widowControl w:val="0"/>
      </w:pPr>
      <w:r>
        <w:rPr>
          <w:rFonts w:ascii="Times New Roman" w:hAnsi="Times New Roman"/>
          <w:color w:val="000000"/>
          <w:spacing w:val="-1"/>
        </w:rPr>
        <w:t>31</w:t>
      </w:r>
    </w:p>
    <w:p w14:paraId="0D90E49E" w14:textId="77777777" w:rsidR="00566319" w:rsidRDefault="00566319" w:rsidP="00566319">
      <w:r>
        <w:t>La mesure de la température stabilisée du sous-sol T</w:t>
      </w:r>
      <w:r>
        <w:rPr>
          <w:vertAlign w:val="subscript"/>
        </w:rPr>
        <w:t>0</w:t>
      </w:r>
      <w:r>
        <w:t xml:space="preserve"> nécessite que la SGV de test soit au repos et en équilibre thermique avec le sous-sol. La mesure doit donc impérativement être </w:t>
      </w:r>
      <w:r>
        <w:lastRenderedPageBreak/>
        <w:t>réalisée avant l’injection de chaleur. On peut alors, à cette condition seulement, relever la température non perturbée du sous-sol, selon deux méthodes: le relevé du log thermique ou la mesure par circulation.</w:t>
      </w:r>
    </w:p>
    <w:p w14:paraId="0A9F4151" w14:textId="77777777" w:rsidR="00566319" w:rsidRDefault="00566319" w:rsidP="00061972">
      <w:pPr>
        <w:pStyle w:val="Titre4"/>
        <w:numPr>
          <w:ilvl w:val="3"/>
          <w:numId w:val="6"/>
        </w:numPr>
        <w:spacing w:before="0" w:after="0"/>
      </w:pPr>
      <w:r>
        <w:t>Cas du relevé du log thermique</w:t>
      </w:r>
    </w:p>
    <w:p w14:paraId="1A997195" w14:textId="77777777" w:rsidR="00566319" w:rsidRDefault="00566319" w:rsidP="00566319">
      <w:r>
        <w:t>Le relevé du log thermique se fait en introduisant dans la SGV un capteur de température relié à la surface par un câble, par lequel on relève la température mesurée. Le capteur est descendu doucement par palier. A chaque palier, l’opérateur attend que la mesure soit stabilisée et l’enregistre. La délicatesse doit être de rigueur afin de créer le moins de mélange possible du fluide dans la SGV pendant la descente du capteur et obtenir les mesures les plus précises :</w:t>
      </w:r>
    </w:p>
    <w:p w14:paraId="0BA71A9A" w14:textId="77777777" w:rsidR="00566319" w:rsidRDefault="00566319" w:rsidP="00061972">
      <w:pPr>
        <w:numPr>
          <w:ilvl w:val="0"/>
          <w:numId w:val="22"/>
        </w:numPr>
      </w:pPr>
      <w:r>
        <w:t>Avantage : on dispose du gradient de température sur la hauteur de la SGV avec une mesure précise ;</w:t>
      </w:r>
    </w:p>
    <w:p w14:paraId="24B445A3" w14:textId="77777777" w:rsidR="00566319" w:rsidRDefault="00566319" w:rsidP="00061972">
      <w:pPr>
        <w:numPr>
          <w:ilvl w:val="0"/>
          <w:numId w:val="22"/>
        </w:numPr>
      </w:pPr>
      <w:r>
        <w:t>Inconvénient : opération fastidieuse dont la précision dépend de la qualité de l’opérateur.</w:t>
      </w:r>
    </w:p>
    <w:p w14:paraId="32E040D4" w14:textId="77777777" w:rsidR="00566319" w:rsidRDefault="00566319" w:rsidP="00566319">
      <w:r>
        <w:t>L’enregistrement doit faire apparaître l’augmentation de la température en fonction de la profondeur.</w:t>
      </w:r>
    </w:p>
    <w:p w14:paraId="6023CAD9" w14:textId="77777777" w:rsidR="00566319" w:rsidRDefault="00566319" w:rsidP="00566319">
      <w:pPr>
        <w:widowControl w:val="0"/>
      </w:pPr>
    </w:p>
    <w:p w14:paraId="5829CBC2" w14:textId="77777777" w:rsidR="00566319" w:rsidRDefault="00566319" w:rsidP="00566319">
      <w:pPr>
        <w:widowControl w:val="0"/>
      </w:pPr>
      <w:r>
        <w:t>Lorsque la mesure est effectuée par relevé du gradient thermique le long de la SGV, il est impératif de minimiser le déplacement du fluide dans la SGV lorsque le capteur de température y est introduit. Il est donc nécessaire de boucher, avec des bouchons prévus à cet effet, les extrémités de la SGV en surface autres que celle utilisée pour l'introduction du capteur de température.</w:t>
      </w:r>
    </w:p>
    <w:p w14:paraId="567AC504" w14:textId="77777777" w:rsidR="00566319" w:rsidRDefault="00566319" w:rsidP="00061972">
      <w:pPr>
        <w:pStyle w:val="Titre4"/>
        <w:numPr>
          <w:ilvl w:val="3"/>
          <w:numId w:val="6"/>
        </w:numPr>
        <w:spacing w:before="0" w:after="0"/>
      </w:pPr>
      <w:r>
        <w:t>Cas du relevé par circulation</w:t>
      </w:r>
    </w:p>
    <w:p w14:paraId="3EE507BD" w14:textId="77777777" w:rsidR="00566319" w:rsidRDefault="00566319" w:rsidP="00566319">
      <w:r>
        <w:t>La mesure par circulation est de loin la plus utilisée. Cependant, elle ne permet que de relever la température moyenne sur la hauteur de la SGV. La température de stabilité est obtenue par simple circulation dans les SGV, chauffage à l’arrêt. La mesure s’effectue sur T</w:t>
      </w:r>
      <w:r>
        <w:rPr>
          <w:vertAlign w:val="subscript"/>
        </w:rPr>
        <w:t>e</w:t>
      </w:r>
      <w:r>
        <w:t xml:space="preserve"> et T</w:t>
      </w:r>
      <w:r>
        <w:rPr>
          <w:vertAlign w:val="subscript"/>
        </w:rPr>
        <w:t>s</w:t>
      </w:r>
      <w:r>
        <w:t>. Du fait de la différence de température du sol entre le haut et la base de la SGV, la mesure de la température moyenne du fluide T</w:t>
      </w:r>
      <w:r>
        <w:rPr>
          <w:vertAlign w:val="subscript"/>
        </w:rPr>
        <w:t>f</w:t>
      </w:r>
      <w:r>
        <w:t xml:space="preserve"> = (T</w:t>
      </w:r>
      <w:r>
        <w:rPr>
          <w:vertAlign w:val="subscript"/>
        </w:rPr>
        <w:t>e</w:t>
      </w:r>
      <w:r>
        <w:t>+T</w:t>
      </w:r>
      <w:r>
        <w:rPr>
          <w:vertAlign w:val="subscript"/>
        </w:rPr>
        <w:t>s</w:t>
      </w:r>
      <w:r>
        <w:t>)/2 va présenter des oscillations qui vont tendre à disparaître au fur et à mesure que la température du fluide s’homogénéise. Il faut donc attendre que la mesure soit stable pour obtenir la température moyenne du fluide, qui correspond à la température moyenne du sous-sol.</w:t>
      </w:r>
    </w:p>
    <w:p w14:paraId="7366BCF7" w14:textId="77777777" w:rsidR="00566319" w:rsidRDefault="00566319" w:rsidP="00566319"/>
    <w:p w14:paraId="476C51BB" w14:textId="77777777" w:rsidR="00566319" w:rsidRDefault="00566319" w:rsidP="00566319">
      <w:r>
        <w:t>La durée moyenne de la circulation est d’environ ½ heure pour une SGV de 100 m de profondeur, cette durée variant avec la profondeur de la SGV (i.e. plus la SGV est profonde, plus la durée de circulation nécessaire à l’obtention d’une température stable est longue) :</w:t>
      </w:r>
    </w:p>
    <w:p w14:paraId="21885278" w14:textId="77777777" w:rsidR="00566319" w:rsidRDefault="00566319" w:rsidP="00061972">
      <w:pPr>
        <w:numPr>
          <w:ilvl w:val="0"/>
          <w:numId w:val="22"/>
        </w:numPr>
      </w:pPr>
      <w:r>
        <w:t>Avantage : procédé intégré au test de réponse thermique ; la circulation sans apport de chaleur est préalable à celle avec apport de chaleur ;</w:t>
      </w:r>
    </w:p>
    <w:p w14:paraId="05D08FC7" w14:textId="77777777" w:rsidR="00566319" w:rsidRDefault="00566319" w:rsidP="00061972">
      <w:pPr>
        <w:numPr>
          <w:ilvl w:val="0"/>
          <w:numId w:val="22"/>
        </w:numPr>
      </w:pPr>
      <w:r>
        <w:t>Inconvénient : mesure d’une température moyenne dont la précision est discutable (influence de la température du liquide caloporteur de l’appareil de test au moment du TRT, influence thermique de la pompe de circulation).</w:t>
      </w:r>
    </w:p>
    <w:p w14:paraId="2D287207" w14:textId="77777777" w:rsidR="00566319" w:rsidRDefault="00566319" w:rsidP="00566319">
      <w:pPr>
        <w:widowControl w:val="0"/>
      </w:pPr>
    </w:p>
    <w:p w14:paraId="03AB3AE2" w14:textId="77777777" w:rsidR="00566319" w:rsidRDefault="00566319" w:rsidP="00566319">
      <w:pPr>
        <w:widowControl w:val="0"/>
      </w:pPr>
    </w:p>
    <w:p w14:paraId="5AFE9663" w14:textId="77777777" w:rsidR="00566319" w:rsidRDefault="00566319" w:rsidP="00566319">
      <w:pPr>
        <w:widowControl w:val="0"/>
        <w:rPr>
          <w:u w:val="single"/>
        </w:rPr>
      </w:pPr>
      <w:r>
        <w:rPr>
          <w:u w:val="single"/>
        </w:rPr>
        <w:t>Influence de la pompe de circulation :</w:t>
      </w:r>
    </w:p>
    <w:p w14:paraId="73DC4D32" w14:textId="77777777" w:rsidR="00566319" w:rsidRDefault="00566319" w:rsidP="00566319">
      <w:pPr>
        <w:widowControl w:val="0"/>
      </w:pPr>
      <w:r>
        <w:t>Dans ce cas, la pompe de circulation va naturellement dissiper une petite quantité de chaleur dans le fluide : celui-ci va donc se réchauffer tant que la circulation aura lieu. Ainsi, une fois que les oscillations sont amorties, la mesure doit être relevée sans tarder.</w:t>
      </w:r>
      <w:r>
        <w:rPr>
          <w:rFonts w:ascii="Times New Roman" w:hAnsi="Times New Roman"/>
          <w:color w:val="000000"/>
          <w:spacing w:val="-1"/>
          <w:sz w:val="27"/>
          <w:szCs w:val="27"/>
        </w:rPr>
        <w:t xml:space="preserve"> </w:t>
      </w:r>
      <w:r>
        <w:t xml:space="preserve">Dans la pratique, la </w:t>
      </w:r>
      <w:r>
        <w:rPr>
          <w:b/>
        </w:rPr>
        <w:lastRenderedPageBreak/>
        <w:t>durée de circulation nécessaire ne devrait pas dépasser 30 mn</w:t>
      </w:r>
      <w:r>
        <w:t>.</w:t>
      </w:r>
    </w:p>
    <w:p w14:paraId="658A7351" w14:textId="77777777" w:rsidR="00566319" w:rsidRDefault="00566319" w:rsidP="00566319"/>
    <w:p w14:paraId="0B76E9E2" w14:textId="77777777" w:rsidR="00566319" w:rsidRDefault="00566319" w:rsidP="00566319">
      <w:pPr>
        <w:widowControl w:val="0"/>
        <w:rPr>
          <w:u w:val="single"/>
        </w:rPr>
      </w:pPr>
      <w:r>
        <w:rPr>
          <w:u w:val="single"/>
        </w:rPr>
        <w:t>Influence de la mise en eau de l'appareil de test :</w:t>
      </w:r>
    </w:p>
    <w:p w14:paraId="6BF73573" w14:textId="77777777" w:rsidR="00566319" w:rsidRDefault="00566319" w:rsidP="00566319">
      <w:pPr>
        <w:widowControl w:val="0"/>
      </w:pPr>
      <w:r>
        <w:t>Il est nécessaire de limiter autant que possible le volume d'eau additionnel qui est introduit dans le circuit lors de la mise en eau de l'équipement de test afin de ne pas fausser la mesure. Idéalement, il convient de mesurer le volume additionnel mis en oeuvre ainsi que la température de celui-ci avant remplissage de l'appareil pour corriger la valeur mesurée.</w:t>
      </w:r>
    </w:p>
    <w:p w14:paraId="05CA7F62" w14:textId="77777777" w:rsidR="00566319" w:rsidRDefault="00566319" w:rsidP="00566319">
      <w:pPr>
        <w:widowControl w:val="0"/>
      </w:pPr>
    </w:p>
    <w:p w14:paraId="448576CB" w14:textId="77777777" w:rsidR="00566319" w:rsidRDefault="00566319" w:rsidP="00061972">
      <w:pPr>
        <w:pStyle w:val="Titre3"/>
        <w:numPr>
          <w:ilvl w:val="2"/>
          <w:numId w:val="7"/>
        </w:numPr>
        <w:spacing w:before="0" w:after="0"/>
      </w:pPr>
      <w:bookmarkStart w:id="24" w:name="_Toc33437932"/>
      <w:r>
        <w:t>Choix des paramètres du test</w:t>
      </w:r>
      <w:bookmarkEnd w:id="24"/>
    </w:p>
    <w:p w14:paraId="4F2B1952" w14:textId="77777777" w:rsidR="00566319" w:rsidRDefault="00566319" w:rsidP="00566319">
      <w:pPr>
        <w:widowControl w:val="0"/>
      </w:pPr>
      <w:r>
        <w:t>Pour la mesure de la conductivité et le calcul de la résistance thermique de la SGV, la puissance injectée dans le sol est choisie dans une fourchette comprise entre 40 et 80 W.m</w:t>
      </w:r>
      <w:r>
        <w:rPr>
          <w:vertAlign w:val="superscript"/>
        </w:rPr>
        <w:t>-1</w:t>
      </w:r>
      <w:r>
        <w:t xml:space="preserve"> de SGV test. Idéalement, la puissance injectée pendant le test est d’environ </w:t>
      </w:r>
      <w:r>
        <w:rPr>
          <w:b/>
        </w:rPr>
        <w:t>50 W.m</w:t>
      </w:r>
      <w:r>
        <w:rPr>
          <w:b/>
          <w:vertAlign w:val="superscript"/>
        </w:rPr>
        <w:t>-1</w:t>
      </w:r>
      <w:r>
        <w:t>.</w:t>
      </w:r>
    </w:p>
    <w:p w14:paraId="437734E2" w14:textId="77777777" w:rsidR="00566319" w:rsidRDefault="00566319" w:rsidP="00566319">
      <w:pPr>
        <w:widowControl w:val="0"/>
      </w:pPr>
      <w:r>
        <w:t>La différence de température entre l’entrée et la sortie de SGV doit être comprise entre 3°C et 7°C.</w:t>
      </w:r>
    </w:p>
    <w:p w14:paraId="4F3490A0" w14:textId="77777777" w:rsidR="00566319" w:rsidRDefault="00566319" w:rsidP="00566319">
      <w:pPr>
        <w:widowControl w:val="0"/>
      </w:pPr>
      <w:r>
        <w:t>Il est recommandé que le débit de fluide caloporteur dans la SGV soit déterminé pour garantir un régime d’écoulement turbulent dans les tubes (Re &gt; 2500). En effet, si l’écoulement était laminaire, la résistance de convection dans le tube ne serait pas négligeable devant la résistance propre à la SGV. L’interprétation du TRT se trouverait compliquée dans la mesure où il serait difficile de différencier la résistance de convection de la résistance propre à la SGV.</w:t>
      </w:r>
    </w:p>
    <w:p w14:paraId="2E9D31C1" w14:textId="77777777" w:rsidR="00566319" w:rsidRDefault="00566319" w:rsidP="00566319">
      <w:pPr>
        <w:widowControl w:val="0"/>
      </w:pPr>
      <w:r>
        <w:t>Dans la pratique, le débit peut être de l’ordre de :</w:t>
      </w:r>
    </w:p>
    <w:p w14:paraId="5F8A749B" w14:textId="77777777" w:rsidR="00566319" w:rsidRDefault="00566319" w:rsidP="00061972">
      <w:pPr>
        <w:widowControl w:val="0"/>
        <w:numPr>
          <w:ilvl w:val="0"/>
          <w:numId w:val="28"/>
        </w:numPr>
      </w:pPr>
      <w:r>
        <w:t>0,5 à 1 m</w:t>
      </w:r>
      <w:r>
        <w:rPr>
          <w:vertAlign w:val="superscript"/>
        </w:rPr>
        <w:t>3</w:t>
      </w:r>
      <w:r>
        <w:t>/h pour une SGV double U DN25 (i.e. la moitié pour une SGV simple U)</w:t>
      </w:r>
    </w:p>
    <w:p w14:paraId="5DA840B0" w14:textId="77777777" w:rsidR="00566319" w:rsidRDefault="00566319" w:rsidP="00061972">
      <w:pPr>
        <w:widowControl w:val="0"/>
        <w:numPr>
          <w:ilvl w:val="0"/>
          <w:numId w:val="28"/>
        </w:numPr>
      </w:pPr>
      <w:r>
        <w:t>0,7 à 1,4 m</w:t>
      </w:r>
      <w:r>
        <w:rPr>
          <w:vertAlign w:val="superscript"/>
        </w:rPr>
        <w:t>3</w:t>
      </w:r>
      <w:r>
        <w:t>/h pour une SGV double U DN32 (i.e. la moitié pour une SGV simple U)</w:t>
      </w:r>
    </w:p>
    <w:p w14:paraId="1AC68CBC" w14:textId="77777777" w:rsidR="00566319" w:rsidRDefault="00566319" w:rsidP="00061972">
      <w:pPr>
        <w:widowControl w:val="0"/>
        <w:numPr>
          <w:ilvl w:val="0"/>
          <w:numId w:val="28"/>
        </w:numPr>
      </w:pPr>
      <w:r>
        <w:t>0,9 à 1,6 m</w:t>
      </w:r>
      <w:r>
        <w:rPr>
          <w:vertAlign w:val="superscript"/>
        </w:rPr>
        <w:t>3</w:t>
      </w:r>
      <w:r>
        <w:t>/h pour une SGV double U DN40 (i.e. la moitié pour une SGV simple U)</w:t>
      </w:r>
    </w:p>
    <w:p w14:paraId="4E11D83F" w14:textId="77777777" w:rsidR="00566319" w:rsidRDefault="00566319" w:rsidP="00566319">
      <w:pPr>
        <w:widowControl w:val="0"/>
      </w:pPr>
      <w:r>
        <w:t>Cependant, ces valeurs peuvent être revues à la hausse en fonction de la puissance qui doit être injectée (influence de la profondeur de la SGV).</w:t>
      </w:r>
    </w:p>
    <w:p w14:paraId="1DA1BB76" w14:textId="77777777" w:rsidR="00566319" w:rsidRDefault="00566319" w:rsidP="00566319">
      <w:pPr>
        <w:widowControl w:val="0"/>
      </w:pPr>
      <w:r>
        <w:t>Dans la pratique, le choix de la puissance d’injection résulte d’un compromis acceptable, au cas par cas, entre le débit et la différence de température qui sera appliquée entre l’entrée et la sortie de la SGV de test.</w:t>
      </w:r>
    </w:p>
    <w:p w14:paraId="60A157C9" w14:textId="77777777" w:rsidR="00566319" w:rsidRDefault="00566319" w:rsidP="00061972">
      <w:pPr>
        <w:pStyle w:val="Titre3"/>
        <w:numPr>
          <w:ilvl w:val="2"/>
          <w:numId w:val="7"/>
        </w:numPr>
        <w:spacing w:before="0" w:after="0"/>
      </w:pPr>
      <w:bookmarkStart w:id="25" w:name="_Toc33437933"/>
      <w:r>
        <w:t>Durée du test</w:t>
      </w:r>
      <w:bookmarkEnd w:id="25"/>
    </w:p>
    <w:p w14:paraId="28B1A385" w14:textId="77777777" w:rsidR="00566319" w:rsidRDefault="00566319" w:rsidP="00566319">
      <w:pPr>
        <w:widowControl w:val="0"/>
      </w:pPr>
      <w:r>
        <w:rPr>
          <w:b/>
        </w:rPr>
        <w:t>La durée du test est donc au minimum de 48 voire 72 heures</w:t>
      </w:r>
      <w:r>
        <w:t>. Cependant, un test de trop longue durée n’est pas forcément plus informatif. En effet, étant donné que la régression se fait sur une échelle logarithmique, celle-ci rend l’information d’autant moins pertinente que la durée augmente (« tassement » des résultats dans la durée).</w:t>
      </w:r>
    </w:p>
    <w:p w14:paraId="41DAF591" w14:textId="77777777" w:rsidR="00566319" w:rsidRDefault="00566319" w:rsidP="00061972">
      <w:pPr>
        <w:pStyle w:val="Titre3"/>
        <w:numPr>
          <w:ilvl w:val="2"/>
          <w:numId w:val="7"/>
        </w:numPr>
        <w:spacing w:before="0" w:after="0"/>
      </w:pPr>
      <w:bookmarkStart w:id="26" w:name="_Toc33437934"/>
      <w:r>
        <w:t>Interruption involontaire du test</w:t>
      </w:r>
      <w:bookmarkEnd w:id="26"/>
    </w:p>
    <w:p w14:paraId="080B83C3" w14:textId="77777777" w:rsidR="00566319" w:rsidRDefault="00566319" w:rsidP="00566319">
      <w:pPr>
        <w:widowControl w:val="0"/>
      </w:pPr>
      <w:r>
        <w:t xml:space="preserve">Lorsqu’un test est interrompu, par suite d’un défaut d’alimentation par exemple, il peut être relancé dans le délai le plus court possible, le plus tôt étant le mieux. </w:t>
      </w:r>
    </w:p>
    <w:p w14:paraId="3CCA7947" w14:textId="77777777" w:rsidR="00566319" w:rsidRDefault="00566319" w:rsidP="00566319">
      <w:pPr>
        <w:widowControl w:val="0"/>
      </w:pPr>
      <w:r>
        <w:t xml:space="preserve">Lorsqu’un test est avorté pour une raison quelconque et qu’il n’est pas relancé dans l’immédiat, il est nécessaire de reprogrammer une mesure. La nouvelle tentative risque d’être perturbée par la rémanence des calories injectées lors du précédent test. Il est donc nécessaire entre deux tentatives, de laisser passer un délai minimum afin de s’assurer que le sol ait retrouvé un équilibre thermique satisfaisant. Le délai est d’autant plus long que le précédent test était avancé et que la puissance injectée était élevée. Dans la pratique, il faut </w:t>
      </w:r>
      <w:r>
        <w:rPr>
          <w:b/>
        </w:rPr>
        <w:t>attendre au minimum 10 jours</w:t>
      </w:r>
      <w:r>
        <w:t>.</w:t>
      </w:r>
    </w:p>
    <w:p w14:paraId="3E9B5D6D" w14:textId="77777777" w:rsidR="00566319" w:rsidRDefault="00566319" w:rsidP="00566319">
      <w:pPr>
        <w:widowControl w:val="0"/>
      </w:pPr>
      <w:r>
        <w:lastRenderedPageBreak/>
        <w:t>La température stabilisée du sous-sol qui doit cependant être retenue, en tout état de cause est celle relevée lors de la première tentative.</w:t>
      </w:r>
    </w:p>
    <w:p w14:paraId="695C071F" w14:textId="77777777" w:rsidR="00566319" w:rsidRDefault="00566319" w:rsidP="00566319">
      <w:pPr>
        <w:widowControl w:val="0"/>
      </w:pPr>
    </w:p>
    <w:p w14:paraId="0A8A1904" w14:textId="77777777" w:rsidR="00566319" w:rsidRDefault="00566319" w:rsidP="00566319">
      <w:pPr>
        <w:widowControl w:val="0"/>
      </w:pPr>
    </w:p>
    <w:p w14:paraId="6EEE5F61" w14:textId="77777777" w:rsidR="00566319" w:rsidRDefault="00566319" w:rsidP="00566319">
      <w:pPr>
        <w:widowControl w:val="0"/>
      </w:pPr>
    </w:p>
    <w:p w14:paraId="49CDFD88" w14:textId="77777777" w:rsidR="00566319" w:rsidRDefault="00566319" w:rsidP="00061972">
      <w:pPr>
        <w:pStyle w:val="Titre1"/>
        <w:numPr>
          <w:ilvl w:val="0"/>
          <w:numId w:val="7"/>
        </w:numPr>
      </w:pPr>
      <w:bookmarkStart w:id="27" w:name="_Toc33437935"/>
      <w:r>
        <w:t>Interprétation du TRT</w:t>
      </w:r>
      <w:bookmarkEnd w:id="27"/>
    </w:p>
    <w:p w14:paraId="7E841674" w14:textId="77777777" w:rsidR="00566319" w:rsidRDefault="00566319" w:rsidP="00566319">
      <w:pPr>
        <w:widowControl w:val="0"/>
        <w:rPr>
          <w:rFonts w:ascii="Times New Roman" w:hAnsi="Times New Roman"/>
        </w:rPr>
      </w:pPr>
    </w:p>
    <w:p w14:paraId="2C5E6E5B" w14:textId="77777777" w:rsidR="00566319" w:rsidRDefault="00566319" w:rsidP="00566319">
      <w:r>
        <w:t>La conductivité thermique moyenne du terrain et la résistance thermique de la SGV sont déterminées à partir de trois grandeurs mesurées pendant la phase de circulation à puissance constante :</w:t>
      </w:r>
    </w:p>
    <w:p w14:paraId="3DBC699B" w14:textId="77777777" w:rsidR="00566319" w:rsidRDefault="00566319" w:rsidP="00061972">
      <w:pPr>
        <w:numPr>
          <w:ilvl w:val="0"/>
          <w:numId w:val="22"/>
        </w:numPr>
      </w:pPr>
      <w:r>
        <w:t>Le débit effectif dans la SGV Q (m</w:t>
      </w:r>
      <w:r>
        <w:rPr>
          <w:vertAlign w:val="superscript"/>
        </w:rPr>
        <w:t>3</w:t>
      </w:r>
      <w:r>
        <w:t>.s</w:t>
      </w:r>
      <w:r>
        <w:rPr>
          <w:vertAlign w:val="superscript"/>
        </w:rPr>
        <w:t>-1</w:t>
      </w:r>
      <w:r>
        <w:t xml:space="preserve"> ou kg.s</w:t>
      </w:r>
      <w:r>
        <w:rPr>
          <w:vertAlign w:val="superscript"/>
        </w:rPr>
        <w:t>-1</w:t>
      </w:r>
      <w:r>
        <w:t>) ou, au minimum, l’énergie injectée P (W)</w:t>
      </w:r>
    </w:p>
    <w:p w14:paraId="002C4344" w14:textId="77777777" w:rsidR="00566319" w:rsidRDefault="00566319" w:rsidP="00061972">
      <w:pPr>
        <w:numPr>
          <w:ilvl w:val="0"/>
          <w:numId w:val="22"/>
        </w:numPr>
      </w:pPr>
      <w:r>
        <w:t>Les températures T</w:t>
      </w:r>
      <w:r>
        <w:rPr>
          <w:vertAlign w:val="subscript"/>
        </w:rPr>
        <w:t xml:space="preserve">e </w:t>
      </w:r>
      <w:r>
        <w:t>et T</w:t>
      </w:r>
      <w:r>
        <w:rPr>
          <w:vertAlign w:val="subscript"/>
        </w:rPr>
        <w:t>s</w:t>
      </w:r>
      <w:r>
        <w:t xml:space="preserve"> (°C)</w:t>
      </w:r>
    </w:p>
    <w:p w14:paraId="3D1D4705" w14:textId="77777777" w:rsidR="00566319" w:rsidRDefault="00566319" w:rsidP="00061972">
      <w:pPr>
        <w:numPr>
          <w:ilvl w:val="0"/>
          <w:numId w:val="22"/>
        </w:numPr>
      </w:pPr>
      <w:r>
        <w:t>La puissance injectée P (W)</w:t>
      </w:r>
    </w:p>
    <w:p w14:paraId="273A50F4" w14:textId="77777777" w:rsidR="00566319" w:rsidRDefault="00566319" w:rsidP="00566319"/>
    <w:p w14:paraId="0340631B" w14:textId="77777777" w:rsidR="00566319" w:rsidRDefault="00566319" w:rsidP="00566319">
      <w:r>
        <w:t>Quelle que soit la méthode retenue, le principe général de l’interprétation du TRT consiste à ajuster les paramètres que sont la conductivité thermique moyenne du terrain et la résistivité thermique de la SGV de manière à ce que le modèle choisi reproduise l’évolution observée de la température moyenne du fluide.</w:t>
      </w:r>
    </w:p>
    <w:p w14:paraId="5826BAB4" w14:textId="77777777" w:rsidR="00566319" w:rsidRDefault="00566319" w:rsidP="00566319"/>
    <w:p w14:paraId="60D57890" w14:textId="77777777" w:rsidR="00566319" w:rsidRDefault="00566319" w:rsidP="00566319">
      <w:r>
        <w:t>Il existe principalement deux méthodes permettant de déterminer la conductivité thermique moyenne du terrain en fonction de l’évolution temporelle de la température moyenne du fluide caloporteur :</w:t>
      </w:r>
    </w:p>
    <w:p w14:paraId="787F0FBD" w14:textId="77777777" w:rsidR="00566319" w:rsidRDefault="00566319" w:rsidP="00566319"/>
    <w:p w14:paraId="3D8BC749" w14:textId="77777777" w:rsidR="00566319" w:rsidRDefault="00566319" w:rsidP="00061972">
      <w:pPr>
        <w:numPr>
          <w:ilvl w:val="0"/>
          <w:numId w:val="23"/>
        </w:numPr>
      </w:pPr>
      <w:r>
        <w:t>La détermination de la conductivité par application de la théorie de la source linéaire infinie (LSI) de chaleur est la méthode la plus couramment utilisée. Il s’agit du modèle le plus simple de SGV, où l’évolution de la température du fluide est reliée aux paramètres thermophysiques du terrain et de la SGV par une équation relativement simple et facile à manipuler.</w:t>
      </w:r>
    </w:p>
    <w:p w14:paraId="36691EA7" w14:textId="77777777" w:rsidR="00566319" w:rsidRDefault="00566319" w:rsidP="00061972">
      <w:pPr>
        <w:numPr>
          <w:ilvl w:val="0"/>
          <w:numId w:val="23"/>
        </w:numPr>
      </w:pPr>
      <w:r>
        <w:t xml:space="preserve">La détermination de la conductivité par modélisation thermique en deux ou trois dimensions de la SGV et de son environnement. Cette méthode plus complexe que la méthode LSI exige le recours à un logiciel de calcul scientifique ou à un modèle numérique dédié au dimensionnement des SGV. </w:t>
      </w:r>
    </w:p>
    <w:p w14:paraId="79C9AC0E" w14:textId="77777777" w:rsidR="00566319" w:rsidRDefault="00566319" w:rsidP="00566319"/>
    <w:p w14:paraId="48DA888D" w14:textId="77777777" w:rsidR="00566319" w:rsidRDefault="00566319" w:rsidP="00566319">
      <w:r>
        <w:t>Dans ce qui suit, on présente uniquement l’interprétation du TRT par le modèle LSI, car c’est la méthode qui correspond à l’état de l’art actuel. Le modèle LSI repose sur les hypothèses suivantes :</w:t>
      </w:r>
    </w:p>
    <w:p w14:paraId="02B55F9E" w14:textId="77777777" w:rsidR="00566319" w:rsidRDefault="00566319" w:rsidP="00061972">
      <w:pPr>
        <w:pStyle w:val="Paragraphedeliste"/>
        <w:numPr>
          <w:ilvl w:val="0"/>
          <w:numId w:val="30"/>
        </w:numPr>
        <w:spacing w:line="240" w:lineRule="auto"/>
        <w:rPr>
          <w:rFonts w:asciiTheme="minorHAnsi" w:hAnsiTheme="minorHAnsi" w:cstheme="minorHAnsi"/>
          <w:sz w:val="24"/>
        </w:rPr>
      </w:pPr>
      <w:r>
        <w:rPr>
          <w:rFonts w:asciiTheme="minorHAnsi" w:hAnsiTheme="minorHAnsi" w:cstheme="minorHAnsi"/>
          <w:sz w:val="24"/>
        </w:rPr>
        <w:t>Le milieu est homogène, isotrope ; il n’y a pas d’écoulements souterrains ;</w:t>
      </w:r>
    </w:p>
    <w:p w14:paraId="0321F470" w14:textId="77777777" w:rsidR="00566319" w:rsidRDefault="00566319" w:rsidP="00061972">
      <w:pPr>
        <w:pStyle w:val="Paragraphedeliste"/>
        <w:numPr>
          <w:ilvl w:val="0"/>
          <w:numId w:val="30"/>
        </w:numPr>
        <w:spacing w:line="240" w:lineRule="auto"/>
        <w:rPr>
          <w:rFonts w:asciiTheme="minorHAnsi" w:hAnsiTheme="minorHAnsi" w:cstheme="minorHAnsi"/>
          <w:sz w:val="24"/>
        </w:rPr>
      </w:pPr>
      <w:r>
        <w:rPr>
          <w:rFonts w:asciiTheme="minorHAnsi" w:hAnsiTheme="minorHAnsi" w:cstheme="minorHAnsi"/>
          <w:sz w:val="24"/>
        </w:rPr>
        <w:t>La SGV est assimilée à une ligne infinie qui émet de la chaleur sur toute sa hauteur (puissance échangée est constante sur toute la hauteur du forage)</w:t>
      </w:r>
    </w:p>
    <w:p w14:paraId="48AB1D78" w14:textId="77777777" w:rsidR="00566319" w:rsidRDefault="00566319" w:rsidP="00566319">
      <w:pPr>
        <w:rPr>
          <w:rFonts w:cstheme="minorHAnsi"/>
        </w:rPr>
      </w:pPr>
    </w:p>
    <w:p w14:paraId="67965895" w14:textId="77777777" w:rsidR="00566319" w:rsidRDefault="00566319" w:rsidP="00566319">
      <w:pPr>
        <w:jc w:val="center"/>
        <w:rPr>
          <w:rFonts w:cstheme="minorHAnsi"/>
        </w:rPr>
      </w:pPr>
      <w:r>
        <w:lastRenderedPageBreak/>
        <w:drawing>
          <wp:inline distT="0" distB="0" distL="0" distR="0" wp14:anchorId="39225F0D" wp14:editId="76A54AB1">
            <wp:extent cx="3721100" cy="2400935"/>
            <wp:effectExtent l="0" t="0" r="0" b="0"/>
            <wp:docPr id="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3"/>
                    <pic:cNvPicPr>
                      <a:picLocks noChangeAspect="1" noChangeArrowheads="1"/>
                    </pic:cNvPicPr>
                  </pic:nvPicPr>
                  <pic:blipFill>
                    <a:blip r:embed="rId19"/>
                    <a:srcRect l="21369" t="30279" r="42492" b="32405"/>
                    <a:stretch>
                      <a:fillRect/>
                    </a:stretch>
                  </pic:blipFill>
                  <pic:spPr bwMode="auto">
                    <a:xfrm>
                      <a:off x="0" y="0"/>
                      <a:ext cx="3721100" cy="2400935"/>
                    </a:xfrm>
                    <a:prstGeom prst="rect">
                      <a:avLst/>
                    </a:prstGeom>
                  </pic:spPr>
                </pic:pic>
              </a:graphicData>
            </a:graphic>
          </wp:inline>
        </w:drawing>
      </w:r>
    </w:p>
    <w:p w14:paraId="0DD13615" w14:textId="77777777" w:rsidR="00566319" w:rsidRDefault="00566319" w:rsidP="00566319">
      <w:pPr>
        <w:pStyle w:val="Lgende"/>
      </w:pPr>
      <w:bookmarkStart w:id="28" w:name="_Ref429147563"/>
      <w:r>
        <w:t xml:space="preserve">Figure </w:t>
      </w:r>
      <w:r>
        <w:fldChar w:fldCharType="begin"/>
      </w:r>
      <w:r>
        <w:instrText>SEQ Figure \* ARABIC</w:instrText>
      </w:r>
      <w:r>
        <w:fldChar w:fldCharType="separate"/>
      </w:r>
      <w:r>
        <w:t>5</w:t>
      </w:r>
      <w:r>
        <w:fldChar w:fldCharType="end"/>
      </w:r>
      <w:bookmarkEnd w:id="28"/>
      <w:r>
        <w:t> : Modèle de la ligne source infinie. Source : Rapport BRGM/RP-60816-FR</w:t>
      </w:r>
    </w:p>
    <w:p w14:paraId="2E1470F6" w14:textId="77777777" w:rsidR="00566319" w:rsidRDefault="00566319" w:rsidP="00566319">
      <w:pPr>
        <w:jc w:val="center"/>
        <w:rPr>
          <w:rFonts w:cstheme="minorHAnsi"/>
        </w:rPr>
      </w:pPr>
    </w:p>
    <w:p w14:paraId="613E6315" w14:textId="77777777" w:rsidR="00566319" w:rsidRDefault="00566319" w:rsidP="00566319">
      <w:pPr>
        <w:rPr>
          <w:rFonts w:cstheme="minorHAnsi"/>
        </w:rPr>
      </w:pPr>
    </w:p>
    <w:p w14:paraId="316C150A" w14:textId="77777777" w:rsidR="00566319" w:rsidRDefault="00566319" w:rsidP="00566319">
      <w:r>
        <w:t xml:space="preserve">La température </w:t>
      </w:r>
      <m:oMath>
        <m:sSub>
          <m:sSubPr>
            <m:ctrlPr>
              <w:rPr>
                <w:rFonts w:ascii="Cambria Math" w:hAnsi="Cambria Math"/>
              </w:rPr>
            </m:ctrlPr>
          </m:sSubPr>
          <m:e>
            <m:r>
              <w:rPr>
                <w:rFonts w:ascii="Cambria Math" w:hAnsi="Cambria Math"/>
              </w:rPr>
              <m:t>T</m:t>
            </m:r>
          </m:e>
          <m:sub>
            <m:r>
              <w:rPr>
                <w:rFonts w:ascii="Cambria Math" w:hAnsi="Cambria Math"/>
              </w:rPr>
              <m:t>f</m:t>
            </m:r>
          </m:sub>
        </m:sSub>
      </m:oMath>
      <w:r>
        <w:t xml:space="preserve"> moyenne du fluide caloporteur estimée par le modèle LSI est donnée par : </w:t>
      </w:r>
    </w:p>
    <w:p w14:paraId="1A6FF681" w14:textId="77777777" w:rsidR="00566319" w:rsidRDefault="00CA2736" w:rsidP="00566319">
      <w:pPr>
        <w:jc w:val="center"/>
      </w:pPr>
      <m:oMathPara>
        <m:oMath>
          <m:sSub>
            <m:sSubPr>
              <m:ctrlPr>
                <w:rPr>
                  <w:rFonts w:ascii="Cambria Math" w:hAnsi="Cambria Math"/>
                </w:rPr>
              </m:ctrlPr>
            </m:sSubPr>
            <m:e>
              <m:r>
                <w:rPr>
                  <w:rFonts w:ascii="Cambria Math" w:hAnsi="Cambria Math"/>
                </w:rPr>
                <m:t>T</m:t>
              </m:r>
            </m:e>
            <m:sub>
              <m:r>
                <w:rPr>
                  <w:rFonts w:ascii="Cambria Math" w:hAnsi="Cambria Math"/>
                </w:rPr>
                <m:t>f</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rPr>
              </m:ctrlPr>
            </m:fPr>
            <m:num>
              <m:r>
                <w:rPr>
                  <w:rFonts w:ascii="Cambria Math" w:hAnsi="Cambria Math"/>
                </w:rPr>
                <m:t>p</m:t>
              </m:r>
            </m:num>
            <m:den>
              <m:r>
                <w:rPr>
                  <w:rFonts w:ascii="Cambria Math" w:hAnsi="Cambria Math"/>
                </w:rPr>
                <m:t>4π</m:t>
              </m:r>
              <m:sSub>
                <m:sSubPr>
                  <m:ctrlPr>
                    <w:rPr>
                      <w:rFonts w:ascii="Cambria Math" w:hAnsi="Cambria Math"/>
                    </w:rPr>
                  </m:ctrlPr>
                </m:sSubPr>
                <m:e>
                  <m:r>
                    <w:rPr>
                      <w:rFonts w:ascii="Cambria Math" w:hAnsi="Cambria Math"/>
                    </w:rPr>
                    <m:t>λ</m:t>
                  </m:r>
                </m:e>
                <m:sub>
                  <m:r>
                    <w:rPr>
                      <w:rFonts w:ascii="Cambria Math" w:hAnsi="Cambria Math"/>
                    </w:rPr>
                    <m:t>m</m:t>
                  </m:r>
                </m:sub>
              </m:sSub>
            </m:den>
          </m:f>
          <m:r>
            <w:rPr>
              <w:rFonts w:ascii="Cambria Math" w:hAnsi="Cambria Math"/>
            </w:rPr>
            <m:t>ln</m:t>
          </m:r>
          <m:d>
            <m:dPr>
              <m:ctrlPr>
                <w:rPr>
                  <w:rFonts w:ascii="Cambria Math" w:hAnsi="Cambria Math"/>
                </w:rPr>
              </m:ctrlPr>
            </m:dPr>
            <m:e>
              <m:r>
                <w:rPr>
                  <w:rFonts w:ascii="Cambria Math" w:hAnsi="Cambria Math"/>
                </w:rPr>
                <m:t>t</m:t>
              </m:r>
            </m:e>
          </m:d>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f</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4π</m:t>
                  </m:r>
                  <m:sSub>
                    <m:sSubPr>
                      <m:ctrlPr>
                        <w:rPr>
                          <w:rFonts w:ascii="Cambria Math" w:hAnsi="Cambria Math"/>
                        </w:rPr>
                      </m:ctrlPr>
                    </m:sSubPr>
                    <m:e>
                      <m:r>
                        <w:rPr>
                          <w:rFonts w:ascii="Cambria Math" w:hAnsi="Cambria Math"/>
                        </w:rPr>
                        <m:t>λ</m:t>
                      </m:r>
                    </m:e>
                    <m:sub>
                      <m:r>
                        <w:rPr>
                          <w:rFonts w:ascii="Cambria Math" w:hAnsi="Cambria Math"/>
                        </w:rPr>
                        <m:t>m</m:t>
                      </m:r>
                    </m:sub>
                  </m:sSub>
                </m:den>
              </m:f>
              <m:d>
                <m:dPr>
                  <m:ctrlPr>
                    <w:rPr>
                      <w:rFonts w:ascii="Cambria Math" w:hAnsi="Cambria Math"/>
                    </w:rPr>
                  </m:ctrlPr>
                </m:dPr>
                <m:e>
                  <m: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4</m:t>
                          </m:r>
                          <m:sSub>
                            <m:sSubPr>
                              <m:ctrlPr>
                                <w:rPr>
                                  <w:rFonts w:ascii="Cambria Math" w:hAnsi="Cambria Math"/>
                                </w:rPr>
                              </m:ctrlPr>
                            </m:sSubPr>
                            <m:e>
                              <m:r>
                                <w:rPr>
                                  <w:rFonts w:ascii="Cambria Math" w:hAnsi="Cambria Math"/>
                                </w:rPr>
                                <m:t>a</m:t>
                              </m:r>
                            </m:e>
                            <m:sub>
                              <m:r>
                                <w:rPr>
                                  <w:rFonts w:ascii="Cambria Math" w:hAnsi="Cambria Math"/>
                                </w:rPr>
                                <m:t>m</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f</m:t>
                                  </m:r>
                                </m:sub>
                              </m:sSub>
                            </m:e>
                            <m:sup>
                              <m:r>
                                <w:rPr>
                                  <w:rFonts w:ascii="Cambria Math" w:hAnsi="Cambria Math"/>
                                </w:rPr>
                                <m:t>2</m:t>
                              </m:r>
                            </m:sup>
                          </m:sSup>
                        </m:den>
                      </m:f>
                    </m:e>
                  </m:d>
                  <m:r>
                    <w:rPr>
                      <w:rFonts w:ascii="Cambria Math" w:hAnsi="Cambria Math"/>
                    </w:rPr>
                    <m:t>-0,5772</m:t>
                  </m:r>
                </m:e>
              </m:d>
            </m:e>
          </m:d>
        </m:oMath>
      </m:oMathPara>
    </w:p>
    <w:p w14:paraId="54506C7B" w14:textId="77777777" w:rsidR="00566319" w:rsidRDefault="00566319" w:rsidP="00566319">
      <w:pPr>
        <w:pStyle w:val="Lgende"/>
      </w:pPr>
      <w:bookmarkStart w:id="29" w:name="_Ref429145786"/>
      <w:bookmarkStart w:id="30" w:name="_Ref429147043"/>
      <w:r>
        <w:t>(</w:t>
      </w:r>
      <w:r>
        <w:fldChar w:fldCharType="begin"/>
      </w:r>
      <w:r>
        <w:instrText>SEQ Équation \* ARABIC</w:instrText>
      </w:r>
      <w:r>
        <w:fldChar w:fldCharType="separate"/>
      </w:r>
      <w:r>
        <w:t>2</w:t>
      </w:r>
      <w:r>
        <w:fldChar w:fldCharType="end"/>
      </w:r>
      <w:bookmarkStart w:id="31" w:name="_Ref429145912"/>
      <w:bookmarkEnd w:id="29"/>
      <w:bookmarkEnd w:id="30"/>
      <w:bookmarkEnd w:id="31"/>
      <w:r>
        <w:t>)</w:t>
      </w:r>
    </w:p>
    <w:p w14:paraId="2C5E9EAD" w14:textId="77777777" w:rsidR="00566319" w:rsidRDefault="00566319" w:rsidP="00566319"/>
    <w:p w14:paraId="44FA0D38" w14:textId="77777777" w:rsidR="00566319" w:rsidRPr="008F74FC" w:rsidRDefault="00566319" w:rsidP="00566319">
      <w:pPr>
        <w:rPr>
          <w:rFonts w:cstheme="minorHAnsi"/>
          <w:sz w:val="28"/>
        </w:rPr>
      </w:pPr>
      <w:r w:rsidRPr="008F74FC">
        <w:rPr>
          <w:rFonts w:cstheme="minorHAnsi"/>
        </w:rPr>
        <w:t>Avec :</w:t>
      </w:r>
    </w:p>
    <w:p w14:paraId="47D9E3ED" w14:textId="77777777" w:rsidR="00566319" w:rsidRPr="008F74FC" w:rsidRDefault="00566319" w:rsidP="00566319">
      <w:pPr>
        <w:rPr>
          <w:rFonts w:cstheme="minorHAnsi"/>
          <w:sz w:val="28"/>
        </w:rPr>
      </w:pPr>
    </w:p>
    <w:p w14:paraId="0D09D8FC" w14:textId="77777777" w:rsidR="00566319" w:rsidRPr="008F74FC" w:rsidRDefault="00CA2736" w:rsidP="00061972">
      <w:pPr>
        <w:pStyle w:val="Paragraphedeliste"/>
        <w:numPr>
          <w:ilvl w:val="0"/>
          <w:numId w:val="30"/>
        </w:numPr>
        <w:rPr>
          <w:rFonts w:asciiTheme="minorHAnsi" w:hAnsiTheme="minorHAnsi" w:cstheme="minorHAnsi"/>
          <w:sz w:val="24"/>
        </w:rPr>
      </w:pPr>
      <m:oMath>
        <m:sSub>
          <m:sSubPr>
            <m:ctrlPr>
              <w:rPr>
                <w:rFonts w:ascii="Cambria Math" w:hAnsi="Cambria Math" w:cstheme="minorHAnsi"/>
                <w:sz w:val="24"/>
              </w:rPr>
            </m:ctrlPr>
          </m:sSubPr>
          <m:e>
            <m:r>
              <w:rPr>
                <w:rFonts w:ascii="Cambria Math" w:hAnsi="Cambria Math" w:cstheme="minorHAnsi"/>
                <w:sz w:val="24"/>
              </w:rPr>
              <m:t>T</m:t>
            </m:r>
          </m:e>
          <m:sub>
            <m:r>
              <w:rPr>
                <w:rFonts w:ascii="Cambria Math" w:hAnsi="Cambria Math" w:cstheme="minorHAnsi"/>
                <w:sz w:val="24"/>
              </w:rPr>
              <m:t>f</m:t>
            </m:r>
          </m:sub>
        </m:sSub>
        <m:d>
          <m:dPr>
            <m:ctrlPr>
              <w:rPr>
                <w:rFonts w:ascii="Cambria Math" w:hAnsi="Cambria Math" w:cstheme="minorHAnsi"/>
                <w:sz w:val="24"/>
              </w:rPr>
            </m:ctrlPr>
          </m:dPr>
          <m:e>
            <m:r>
              <w:rPr>
                <w:rFonts w:ascii="Cambria Math" w:hAnsi="Cambria Math" w:cstheme="minorHAnsi"/>
                <w:sz w:val="24"/>
              </w:rPr>
              <m:t>t</m:t>
            </m:r>
          </m:e>
        </m:d>
        <m:r>
          <w:rPr>
            <w:rFonts w:ascii="Cambria Math" w:hAnsi="Cambria Math" w:cstheme="minorHAnsi"/>
            <w:sz w:val="24"/>
          </w:rPr>
          <m:t>=</m:t>
        </m:r>
        <m:f>
          <m:fPr>
            <m:ctrlPr>
              <w:rPr>
                <w:rFonts w:ascii="Cambria Math" w:hAnsi="Cambria Math" w:cstheme="minorHAnsi"/>
                <w:sz w:val="24"/>
              </w:rPr>
            </m:ctrlPr>
          </m:fPr>
          <m:num>
            <m:sSub>
              <m:sSubPr>
                <m:ctrlPr>
                  <w:rPr>
                    <w:rFonts w:ascii="Cambria Math" w:hAnsi="Cambria Math" w:cstheme="minorHAnsi"/>
                    <w:sz w:val="24"/>
                  </w:rPr>
                </m:ctrlPr>
              </m:sSubPr>
              <m:e>
                <m:r>
                  <w:rPr>
                    <w:rFonts w:ascii="Cambria Math" w:hAnsi="Cambria Math" w:cstheme="minorHAnsi"/>
                    <w:sz w:val="24"/>
                  </w:rPr>
                  <m:t>T</m:t>
                </m:r>
              </m:e>
              <m:sub>
                <m:r>
                  <w:rPr>
                    <w:rFonts w:ascii="Cambria Math" w:hAnsi="Cambria Math" w:cstheme="minorHAnsi"/>
                    <w:sz w:val="24"/>
                  </w:rPr>
                  <m:t>e</m:t>
                </m:r>
              </m:sub>
            </m:sSub>
            <m:d>
              <m:dPr>
                <m:ctrlPr>
                  <w:rPr>
                    <w:rFonts w:ascii="Cambria Math" w:hAnsi="Cambria Math" w:cstheme="minorHAnsi"/>
                    <w:sz w:val="24"/>
                  </w:rPr>
                </m:ctrlPr>
              </m:dPr>
              <m:e>
                <m:r>
                  <w:rPr>
                    <w:rFonts w:ascii="Cambria Math" w:hAnsi="Cambria Math" w:cstheme="minorHAnsi"/>
                    <w:sz w:val="24"/>
                  </w:rPr>
                  <m:t>t</m:t>
                </m:r>
              </m:e>
            </m:d>
            <m:r>
              <w:rPr>
                <w:rFonts w:ascii="Cambria Math" w:hAnsi="Cambria Math" w:cstheme="minorHAnsi"/>
                <w:sz w:val="24"/>
              </w:rPr>
              <m:t>+</m:t>
            </m:r>
            <m:sSub>
              <m:sSubPr>
                <m:ctrlPr>
                  <w:rPr>
                    <w:rFonts w:ascii="Cambria Math" w:hAnsi="Cambria Math" w:cstheme="minorHAnsi"/>
                    <w:sz w:val="24"/>
                  </w:rPr>
                </m:ctrlPr>
              </m:sSubPr>
              <m:e>
                <m:r>
                  <w:rPr>
                    <w:rFonts w:ascii="Cambria Math" w:hAnsi="Cambria Math" w:cstheme="minorHAnsi"/>
                    <w:sz w:val="24"/>
                  </w:rPr>
                  <m:t>T</m:t>
                </m:r>
              </m:e>
              <m:sub>
                <m:r>
                  <w:rPr>
                    <w:rFonts w:ascii="Cambria Math" w:hAnsi="Cambria Math" w:cstheme="minorHAnsi"/>
                    <w:sz w:val="24"/>
                  </w:rPr>
                  <m:t>s</m:t>
                </m:r>
              </m:sub>
            </m:sSub>
            <m:d>
              <m:dPr>
                <m:ctrlPr>
                  <w:rPr>
                    <w:rFonts w:ascii="Cambria Math" w:hAnsi="Cambria Math" w:cstheme="minorHAnsi"/>
                    <w:sz w:val="24"/>
                  </w:rPr>
                </m:ctrlPr>
              </m:dPr>
              <m:e>
                <m:r>
                  <w:rPr>
                    <w:rFonts w:ascii="Cambria Math" w:hAnsi="Cambria Math" w:cstheme="minorHAnsi"/>
                    <w:sz w:val="24"/>
                  </w:rPr>
                  <m:t>t</m:t>
                </m:r>
              </m:e>
            </m:d>
          </m:num>
          <m:den>
            <m:r>
              <w:rPr>
                <w:rFonts w:ascii="Cambria Math" w:hAnsi="Cambria Math" w:cstheme="minorHAnsi"/>
                <w:sz w:val="24"/>
              </w:rPr>
              <m:t>2</m:t>
            </m:r>
          </m:den>
        </m:f>
      </m:oMath>
      <w:r w:rsidR="00566319" w:rsidRPr="008F74FC">
        <w:rPr>
          <w:rFonts w:asciiTheme="minorHAnsi" w:hAnsiTheme="minorHAnsi" w:cstheme="minorHAnsi"/>
          <w:sz w:val="24"/>
        </w:rPr>
        <w:t xml:space="preserve"> : la température moyenne entrée/sortie de SGV </w:t>
      </w:r>
    </w:p>
    <w:p w14:paraId="4DD605E0" w14:textId="77777777" w:rsidR="00566319" w:rsidRPr="008F74FC" w:rsidRDefault="00566319" w:rsidP="00061972">
      <w:pPr>
        <w:pStyle w:val="Paragraphedeliste"/>
        <w:numPr>
          <w:ilvl w:val="0"/>
          <w:numId w:val="30"/>
        </w:numPr>
        <w:rPr>
          <w:rFonts w:asciiTheme="minorHAnsi" w:hAnsiTheme="minorHAnsi" w:cstheme="minorHAnsi"/>
          <w:sz w:val="24"/>
        </w:rPr>
      </w:pPr>
      <w:r w:rsidRPr="008F74FC">
        <w:rPr>
          <w:rFonts w:asciiTheme="minorHAnsi" w:hAnsiTheme="minorHAnsi" w:cstheme="minorHAnsi"/>
          <w:sz w:val="24"/>
        </w:rPr>
        <w:t>T</w:t>
      </w:r>
      <w:r w:rsidRPr="008F74FC">
        <w:rPr>
          <w:rFonts w:asciiTheme="minorHAnsi" w:hAnsiTheme="minorHAnsi" w:cstheme="minorHAnsi"/>
          <w:sz w:val="24"/>
          <w:vertAlign w:val="subscript"/>
        </w:rPr>
        <w:t>0</w:t>
      </w:r>
      <w:r w:rsidRPr="008F74FC">
        <w:rPr>
          <w:rFonts w:asciiTheme="minorHAnsi" w:hAnsiTheme="minorHAnsi" w:cstheme="minorHAnsi"/>
          <w:sz w:val="24"/>
        </w:rPr>
        <w:t> : la température initiale du terrain (°C)</w:t>
      </w:r>
    </w:p>
    <w:p w14:paraId="26AC4369" w14:textId="77777777" w:rsidR="00566319" w:rsidRPr="008F74FC" w:rsidRDefault="00566319" w:rsidP="00061972">
      <w:pPr>
        <w:pStyle w:val="Paragraphedeliste"/>
        <w:numPr>
          <w:ilvl w:val="0"/>
          <w:numId w:val="30"/>
        </w:numPr>
        <w:rPr>
          <w:rFonts w:asciiTheme="minorHAnsi" w:hAnsiTheme="minorHAnsi" w:cstheme="minorHAnsi"/>
          <w:sz w:val="24"/>
        </w:rPr>
      </w:pPr>
      <w:proofErr w:type="gramStart"/>
      <w:r w:rsidRPr="008F74FC">
        <w:rPr>
          <w:rFonts w:asciiTheme="minorHAnsi" w:hAnsiTheme="minorHAnsi" w:cstheme="minorHAnsi"/>
          <w:sz w:val="24"/>
        </w:rPr>
        <w:t>p</w:t>
      </w:r>
      <w:proofErr w:type="gramEnd"/>
      <w:r w:rsidRPr="008F74FC">
        <w:rPr>
          <w:rFonts w:asciiTheme="minorHAnsi" w:hAnsiTheme="minorHAnsi" w:cstheme="minorHAnsi"/>
          <w:sz w:val="24"/>
        </w:rPr>
        <w:t> : la puissance linéique par mètre de SGV (W.m</w:t>
      </w:r>
      <w:r w:rsidRPr="008F74FC">
        <w:rPr>
          <w:rFonts w:asciiTheme="minorHAnsi" w:hAnsiTheme="minorHAnsi" w:cstheme="minorHAnsi"/>
          <w:sz w:val="24"/>
          <w:vertAlign w:val="superscript"/>
        </w:rPr>
        <w:t>-1</w:t>
      </w:r>
      <w:r w:rsidRPr="008F74FC">
        <w:rPr>
          <w:rFonts w:asciiTheme="minorHAnsi" w:hAnsiTheme="minorHAnsi" w:cstheme="minorHAnsi"/>
          <w:sz w:val="24"/>
        </w:rPr>
        <w:t>) où p = P / H avec P la puissance apportée par le réchauffeur (W) et H la profondeur de la SGV (m)</w:t>
      </w:r>
    </w:p>
    <w:p w14:paraId="39A2CF3D" w14:textId="77777777" w:rsidR="00566319" w:rsidRPr="008F74FC" w:rsidRDefault="00566319" w:rsidP="00061972">
      <w:pPr>
        <w:pStyle w:val="Paragraphedeliste"/>
        <w:numPr>
          <w:ilvl w:val="0"/>
          <w:numId w:val="30"/>
        </w:numPr>
        <w:rPr>
          <w:rFonts w:asciiTheme="minorHAnsi" w:hAnsiTheme="minorHAnsi" w:cstheme="minorHAnsi"/>
          <w:sz w:val="24"/>
        </w:rPr>
      </w:pPr>
      <w:r w:rsidRPr="008F74FC">
        <w:rPr>
          <w:rFonts w:asciiTheme="minorHAnsi" w:hAnsiTheme="minorHAnsi" w:cstheme="minorHAnsi"/>
          <w:sz w:val="24"/>
        </w:rPr>
        <w:t>R</w:t>
      </w:r>
      <w:r w:rsidRPr="008F74FC">
        <w:rPr>
          <w:rFonts w:asciiTheme="minorHAnsi" w:hAnsiTheme="minorHAnsi" w:cstheme="minorHAnsi"/>
          <w:sz w:val="24"/>
          <w:vertAlign w:val="subscript"/>
        </w:rPr>
        <w:t>f</w:t>
      </w:r>
      <w:r w:rsidRPr="008F74FC">
        <w:rPr>
          <w:rFonts w:asciiTheme="minorHAnsi" w:hAnsiTheme="minorHAnsi" w:cstheme="minorHAnsi"/>
          <w:sz w:val="24"/>
        </w:rPr>
        <w:t> : la résistance de la SGV (K.m.W</w:t>
      </w:r>
      <w:r w:rsidRPr="008F74FC">
        <w:rPr>
          <w:rFonts w:asciiTheme="minorHAnsi" w:hAnsiTheme="minorHAnsi" w:cstheme="minorHAnsi"/>
          <w:sz w:val="24"/>
          <w:vertAlign w:val="superscript"/>
        </w:rPr>
        <w:t>-1</w:t>
      </w:r>
      <w:r w:rsidRPr="008F74FC">
        <w:rPr>
          <w:rFonts w:asciiTheme="minorHAnsi" w:hAnsiTheme="minorHAnsi" w:cstheme="minorHAnsi"/>
          <w:sz w:val="24"/>
        </w:rPr>
        <w:t>)</w:t>
      </w:r>
    </w:p>
    <w:p w14:paraId="35F52490" w14:textId="77777777" w:rsidR="00566319" w:rsidRPr="008F74FC" w:rsidRDefault="00566319" w:rsidP="00061972">
      <w:pPr>
        <w:pStyle w:val="Paragraphedeliste"/>
        <w:numPr>
          <w:ilvl w:val="0"/>
          <w:numId w:val="30"/>
        </w:numPr>
        <w:rPr>
          <w:rFonts w:asciiTheme="minorHAnsi" w:hAnsiTheme="minorHAnsi" w:cstheme="minorHAnsi"/>
          <w:sz w:val="24"/>
        </w:rPr>
      </w:pPr>
      <w:proofErr w:type="spellStart"/>
      <w:proofErr w:type="gramStart"/>
      <w:r w:rsidRPr="008F74FC">
        <w:rPr>
          <w:rFonts w:asciiTheme="minorHAnsi" w:hAnsiTheme="minorHAnsi" w:cstheme="minorHAnsi"/>
          <w:sz w:val="24"/>
        </w:rPr>
        <w:t>λ</w:t>
      </w:r>
      <w:proofErr w:type="gramEnd"/>
      <w:r w:rsidRPr="008F74FC">
        <w:rPr>
          <w:rFonts w:asciiTheme="minorHAnsi" w:hAnsiTheme="minorHAnsi" w:cstheme="minorHAnsi"/>
          <w:sz w:val="24"/>
          <w:vertAlign w:val="subscript"/>
        </w:rPr>
        <w:t>m</w:t>
      </w:r>
      <w:proofErr w:type="spellEnd"/>
      <w:r w:rsidRPr="008F74FC">
        <w:rPr>
          <w:rFonts w:asciiTheme="minorHAnsi" w:hAnsiTheme="minorHAnsi" w:cstheme="minorHAnsi"/>
          <w:sz w:val="24"/>
        </w:rPr>
        <w:t> : la conductivité thermique du terrain (W.K</w:t>
      </w:r>
      <w:r w:rsidRPr="008F74FC">
        <w:rPr>
          <w:rFonts w:asciiTheme="minorHAnsi" w:hAnsiTheme="minorHAnsi" w:cstheme="minorHAnsi"/>
          <w:sz w:val="24"/>
          <w:vertAlign w:val="superscript"/>
        </w:rPr>
        <w:t>-1</w:t>
      </w:r>
      <w:r w:rsidRPr="008F74FC">
        <w:rPr>
          <w:rFonts w:asciiTheme="minorHAnsi" w:hAnsiTheme="minorHAnsi" w:cstheme="minorHAnsi"/>
          <w:sz w:val="24"/>
        </w:rPr>
        <w:t>.m</w:t>
      </w:r>
      <w:r w:rsidRPr="008F74FC">
        <w:rPr>
          <w:rFonts w:asciiTheme="minorHAnsi" w:hAnsiTheme="minorHAnsi" w:cstheme="minorHAnsi"/>
          <w:sz w:val="24"/>
          <w:vertAlign w:val="superscript"/>
        </w:rPr>
        <w:t>-1</w:t>
      </w:r>
      <w:r w:rsidRPr="008F74FC">
        <w:rPr>
          <w:rFonts w:asciiTheme="minorHAnsi" w:hAnsiTheme="minorHAnsi" w:cstheme="minorHAnsi"/>
          <w:sz w:val="24"/>
        </w:rPr>
        <w:t>)</w:t>
      </w:r>
    </w:p>
    <w:p w14:paraId="18887425" w14:textId="77777777" w:rsidR="00566319" w:rsidRPr="008F74FC" w:rsidRDefault="00566319" w:rsidP="00061972">
      <w:pPr>
        <w:pStyle w:val="Paragraphedeliste"/>
        <w:numPr>
          <w:ilvl w:val="0"/>
          <w:numId w:val="30"/>
        </w:numPr>
        <w:rPr>
          <w:rFonts w:asciiTheme="minorHAnsi" w:hAnsiTheme="minorHAnsi" w:cstheme="minorHAnsi"/>
          <w:sz w:val="24"/>
        </w:rPr>
      </w:pPr>
      <w:proofErr w:type="spellStart"/>
      <w:proofErr w:type="gramStart"/>
      <w:r w:rsidRPr="008F74FC">
        <w:rPr>
          <w:rFonts w:asciiTheme="minorHAnsi" w:hAnsiTheme="minorHAnsi" w:cstheme="minorHAnsi"/>
          <w:sz w:val="24"/>
        </w:rPr>
        <w:t>a</w:t>
      </w:r>
      <w:r w:rsidRPr="008F74FC">
        <w:rPr>
          <w:rFonts w:asciiTheme="minorHAnsi" w:hAnsiTheme="minorHAnsi" w:cstheme="minorHAnsi"/>
          <w:sz w:val="24"/>
          <w:vertAlign w:val="subscript"/>
        </w:rPr>
        <w:t>m</w:t>
      </w:r>
      <w:proofErr w:type="spellEnd"/>
      <w:proofErr w:type="gramEnd"/>
      <w:r w:rsidRPr="008F74FC">
        <w:rPr>
          <w:rFonts w:asciiTheme="minorHAnsi" w:hAnsiTheme="minorHAnsi" w:cstheme="minorHAnsi"/>
          <w:sz w:val="24"/>
        </w:rPr>
        <w:t> : la diffusivité thermique du terrain (m².s</w:t>
      </w:r>
      <w:r w:rsidRPr="008F74FC">
        <w:rPr>
          <w:rFonts w:asciiTheme="minorHAnsi" w:hAnsiTheme="minorHAnsi" w:cstheme="minorHAnsi"/>
          <w:sz w:val="24"/>
          <w:vertAlign w:val="superscript"/>
        </w:rPr>
        <w:t>-1</w:t>
      </w:r>
      <w:r w:rsidRPr="008F74FC">
        <w:rPr>
          <w:rFonts w:asciiTheme="minorHAnsi" w:hAnsiTheme="minorHAnsi" w:cstheme="minorHAnsi"/>
          <w:sz w:val="24"/>
        </w:rPr>
        <w:t xml:space="preserve">) où </w:t>
      </w:r>
      <w:proofErr w:type="spellStart"/>
      <w:r w:rsidRPr="008F74FC">
        <w:rPr>
          <w:rFonts w:asciiTheme="minorHAnsi" w:hAnsiTheme="minorHAnsi" w:cstheme="minorHAnsi"/>
          <w:sz w:val="24"/>
        </w:rPr>
        <w:t>a</w:t>
      </w:r>
      <w:r w:rsidRPr="008F74FC">
        <w:rPr>
          <w:rFonts w:asciiTheme="minorHAnsi" w:hAnsiTheme="minorHAnsi" w:cstheme="minorHAnsi"/>
          <w:sz w:val="24"/>
          <w:vertAlign w:val="subscript"/>
        </w:rPr>
        <w:t>m</w:t>
      </w:r>
      <w:proofErr w:type="spellEnd"/>
      <w:r w:rsidRPr="008F74FC">
        <w:rPr>
          <w:rFonts w:asciiTheme="minorHAnsi" w:hAnsiTheme="minorHAnsi" w:cstheme="minorHAnsi"/>
          <w:sz w:val="24"/>
          <w:vertAlign w:val="subscript"/>
        </w:rPr>
        <w:t xml:space="preserve"> </w:t>
      </w:r>
      <w:r w:rsidRPr="008F74FC">
        <w:rPr>
          <w:rFonts w:asciiTheme="minorHAnsi" w:hAnsiTheme="minorHAnsi" w:cstheme="minorHAnsi"/>
          <w:sz w:val="24"/>
        </w:rPr>
        <w:t xml:space="preserve">= </w:t>
      </w:r>
      <w:proofErr w:type="spellStart"/>
      <w:r w:rsidRPr="008F74FC">
        <w:rPr>
          <w:rFonts w:asciiTheme="minorHAnsi" w:hAnsiTheme="minorHAnsi" w:cstheme="minorHAnsi"/>
          <w:sz w:val="24"/>
        </w:rPr>
        <w:t>λ</w:t>
      </w:r>
      <w:r w:rsidRPr="008F74FC">
        <w:rPr>
          <w:rFonts w:asciiTheme="minorHAnsi" w:hAnsiTheme="minorHAnsi" w:cstheme="minorHAnsi"/>
          <w:sz w:val="24"/>
          <w:vertAlign w:val="subscript"/>
        </w:rPr>
        <w:t>m</w:t>
      </w:r>
      <w:proofErr w:type="spellEnd"/>
      <w:r w:rsidRPr="008F74FC">
        <w:rPr>
          <w:rFonts w:asciiTheme="minorHAnsi" w:hAnsiTheme="minorHAnsi" w:cstheme="minorHAnsi"/>
          <w:sz w:val="24"/>
          <w:vertAlign w:val="subscript"/>
        </w:rPr>
        <w:t xml:space="preserve"> </w:t>
      </w:r>
      <w:r w:rsidRPr="008F74FC">
        <w:rPr>
          <w:rFonts w:asciiTheme="minorHAnsi" w:hAnsiTheme="minorHAnsi" w:cstheme="minorHAnsi"/>
          <w:sz w:val="24"/>
        </w:rPr>
        <w:t>/ (ρ C</w:t>
      </w:r>
      <w:r w:rsidRPr="008F74FC">
        <w:rPr>
          <w:rFonts w:asciiTheme="minorHAnsi" w:hAnsiTheme="minorHAnsi" w:cstheme="minorHAnsi"/>
          <w:sz w:val="24"/>
          <w:vertAlign w:val="subscript"/>
        </w:rPr>
        <w:t>p</w:t>
      </w:r>
      <w:r w:rsidRPr="008F74FC">
        <w:rPr>
          <w:rFonts w:asciiTheme="minorHAnsi" w:hAnsiTheme="minorHAnsi" w:cstheme="minorHAnsi"/>
          <w:sz w:val="24"/>
        </w:rPr>
        <w:t>)</w:t>
      </w:r>
      <w:r w:rsidRPr="008F74FC">
        <w:rPr>
          <w:rFonts w:asciiTheme="minorHAnsi" w:hAnsiTheme="minorHAnsi" w:cstheme="minorHAnsi"/>
          <w:sz w:val="24"/>
          <w:vertAlign w:val="subscript"/>
        </w:rPr>
        <w:t>m</w:t>
      </w:r>
      <w:r w:rsidRPr="008F74FC">
        <w:rPr>
          <w:rFonts w:asciiTheme="minorHAnsi" w:hAnsiTheme="minorHAnsi" w:cstheme="minorHAnsi"/>
          <w:sz w:val="24"/>
        </w:rPr>
        <w:t xml:space="preserve"> avec (ρ C</w:t>
      </w:r>
      <w:r w:rsidRPr="008F74FC">
        <w:rPr>
          <w:rFonts w:asciiTheme="minorHAnsi" w:hAnsiTheme="minorHAnsi" w:cstheme="minorHAnsi"/>
          <w:sz w:val="24"/>
          <w:vertAlign w:val="subscript"/>
        </w:rPr>
        <w:t>p</w:t>
      </w:r>
      <w:r w:rsidRPr="008F74FC">
        <w:rPr>
          <w:rFonts w:asciiTheme="minorHAnsi" w:hAnsiTheme="minorHAnsi" w:cstheme="minorHAnsi"/>
          <w:sz w:val="24"/>
        </w:rPr>
        <w:t>)</w:t>
      </w:r>
      <w:r w:rsidRPr="008F74FC">
        <w:rPr>
          <w:rFonts w:asciiTheme="minorHAnsi" w:hAnsiTheme="minorHAnsi" w:cstheme="minorHAnsi"/>
          <w:sz w:val="24"/>
          <w:vertAlign w:val="subscript"/>
        </w:rPr>
        <w:t>m</w:t>
      </w:r>
      <w:r w:rsidRPr="008F74FC">
        <w:rPr>
          <w:rFonts w:asciiTheme="minorHAnsi" w:hAnsiTheme="minorHAnsi" w:cstheme="minorHAnsi"/>
          <w:sz w:val="24"/>
        </w:rPr>
        <w:t xml:space="preserve"> la capacité calorifique massique moyenne du terrain (J.K</w:t>
      </w:r>
      <w:r w:rsidRPr="008F74FC">
        <w:rPr>
          <w:rFonts w:asciiTheme="minorHAnsi" w:hAnsiTheme="minorHAnsi" w:cstheme="minorHAnsi"/>
          <w:sz w:val="24"/>
          <w:vertAlign w:val="superscript"/>
        </w:rPr>
        <w:t>-1</w:t>
      </w:r>
      <w:r w:rsidRPr="008F74FC">
        <w:rPr>
          <w:rFonts w:asciiTheme="minorHAnsi" w:hAnsiTheme="minorHAnsi" w:cstheme="minorHAnsi"/>
          <w:sz w:val="24"/>
        </w:rPr>
        <w:t>.m</w:t>
      </w:r>
      <w:r w:rsidRPr="008F74FC">
        <w:rPr>
          <w:rFonts w:asciiTheme="minorHAnsi" w:hAnsiTheme="minorHAnsi" w:cstheme="minorHAnsi"/>
          <w:sz w:val="24"/>
          <w:vertAlign w:val="superscript"/>
        </w:rPr>
        <w:t>-3</w:t>
      </w:r>
      <w:r w:rsidRPr="008F74FC">
        <w:rPr>
          <w:rFonts w:asciiTheme="minorHAnsi" w:hAnsiTheme="minorHAnsi" w:cstheme="minorHAnsi"/>
          <w:sz w:val="24"/>
        </w:rPr>
        <w:t>).</w:t>
      </w:r>
    </w:p>
    <w:p w14:paraId="45DC5C06" w14:textId="77777777" w:rsidR="00566319" w:rsidRPr="008F74FC" w:rsidRDefault="00566319" w:rsidP="00061972">
      <w:pPr>
        <w:pStyle w:val="Paragraphedeliste"/>
        <w:numPr>
          <w:ilvl w:val="0"/>
          <w:numId w:val="30"/>
        </w:numPr>
        <w:rPr>
          <w:rFonts w:asciiTheme="minorHAnsi" w:hAnsiTheme="minorHAnsi" w:cstheme="minorHAnsi"/>
          <w:sz w:val="24"/>
        </w:rPr>
      </w:pPr>
      <w:proofErr w:type="spellStart"/>
      <w:proofErr w:type="gramStart"/>
      <w:r w:rsidRPr="008F74FC">
        <w:rPr>
          <w:rFonts w:asciiTheme="minorHAnsi" w:hAnsiTheme="minorHAnsi" w:cstheme="minorHAnsi"/>
          <w:sz w:val="24"/>
        </w:rPr>
        <w:t>r</w:t>
      </w:r>
      <w:r w:rsidRPr="008F74FC">
        <w:rPr>
          <w:rFonts w:asciiTheme="minorHAnsi" w:hAnsiTheme="minorHAnsi" w:cstheme="minorHAnsi"/>
          <w:sz w:val="24"/>
          <w:vertAlign w:val="subscript"/>
        </w:rPr>
        <w:t>f</w:t>
      </w:r>
      <w:proofErr w:type="spellEnd"/>
      <w:proofErr w:type="gramEnd"/>
      <w:r w:rsidRPr="008F74FC">
        <w:rPr>
          <w:rFonts w:asciiTheme="minorHAnsi" w:hAnsiTheme="minorHAnsi" w:cstheme="minorHAnsi"/>
          <w:sz w:val="24"/>
        </w:rPr>
        <w:t> : le rayon du forage (m)</w:t>
      </w:r>
    </w:p>
    <w:p w14:paraId="31C32EF1" w14:textId="77777777" w:rsidR="00566319" w:rsidRPr="008F74FC" w:rsidRDefault="00566319" w:rsidP="00061972">
      <w:pPr>
        <w:pStyle w:val="Paragraphedeliste"/>
        <w:numPr>
          <w:ilvl w:val="0"/>
          <w:numId w:val="30"/>
        </w:numPr>
        <w:rPr>
          <w:rFonts w:asciiTheme="minorHAnsi" w:hAnsiTheme="minorHAnsi" w:cstheme="minorHAnsi"/>
          <w:sz w:val="24"/>
        </w:rPr>
      </w:pPr>
      <w:proofErr w:type="gramStart"/>
      <w:r w:rsidRPr="008F74FC">
        <w:rPr>
          <w:rFonts w:asciiTheme="minorHAnsi" w:hAnsiTheme="minorHAnsi" w:cstheme="minorHAnsi"/>
          <w:sz w:val="24"/>
        </w:rPr>
        <w:t>ln</w:t>
      </w:r>
      <w:proofErr w:type="gramEnd"/>
      <w:r w:rsidRPr="008F74FC">
        <w:rPr>
          <w:rFonts w:asciiTheme="minorHAnsi" w:hAnsiTheme="minorHAnsi" w:cstheme="minorHAnsi"/>
          <w:sz w:val="24"/>
        </w:rPr>
        <w:t> : le log népérien</w:t>
      </w:r>
    </w:p>
    <w:p w14:paraId="27ECA872" w14:textId="77777777" w:rsidR="00566319" w:rsidRDefault="00566319" w:rsidP="00566319">
      <w:r>
        <w:t xml:space="preserve">L’interprétation du TRT consiste à ajuster les valeurs de conductivité thermique du terrain </w:t>
      </w:r>
      <w:r>
        <w:rPr>
          <w:rFonts w:cs="Arial"/>
          <w:i/>
        </w:rPr>
        <w:t>λ</w:t>
      </w:r>
      <w:r>
        <w:rPr>
          <w:i/>
          <w:vertAlign w:val="subscript"/>
        </w:rPr>
        <w:t>m</w:t>
      </w:r>
      <w:r>
        <w:t xml:space="preserve"> et de résistance de la SGV </w:t>
      </w:r>
      <w:r>
        <w:rPr>
          <w:rFonts w:cs="Arial"/>
          <w:i/>
        </w:rPr>
        <w:t>R</w:t>
      </w:r>
      <w:r>
        <w:rPr>
          <w:i/>
          <w:vertAlign w:val="subscript"/>
        </w:rPr>
        <w:t>f</w:t>
      </w:r>
      <w:r>
        <w:t xml:space="preserve"> de manière à ce que le modèle reproduise les températures moyennes de fluide mesurée. Le modèle de la ligne source infinie peut être utilisé si, après un régime transitoire, la température moyenne du fluide caloporteur en fonction du logarithme du temps résulte en une droite telle que représentée en </w:t>
      </w:r>
      <w:r>
        <w:fldChar w:fldCharType="begin"/>
      </w:r>
      <w:r>
        <w:instrText>REF _Ref429406193 \h</w:instrText>
      </w:r>
      <w:r>
        <w:fldChar w:fldCharType="separate"/>
      </w:r>
      <w:r>
        <w:t>Figure 6</w:t>
      </w:r>
      <w:r>
        <w:fldChar w:fldCharType="end"/>
      </w:r>
      <w:r>
        <w:t>.</w:t>
      </w:r>
    </w:p>
    <w:p w14:paraId="3D06EF89" w14:textId="77777777" w:rsidR="00566319" w:rsidRDefault="00566319" w:rsidP="00566319"/>
    <w:p w14:paraId="4E20379B" w14:textId="77777777" w:rsidR="00566319" w:rsidRDefault="00566319" w:rsidP="00566319">
      <w:pPr>
        <w:jc w:val="center"/>
      </w:pPr>
      <w:r>
        <w:lastRenderedPageBreak/>
        <w:drawing>
          <wp:inline distT="0" distB="0" distL="0" distR="0" wp14:anchorId="3E2F4FC7" wp14:editId="3814594A">
            <wp:extent cx="5114290" cy="2672715"/>
            <wp:effectExtent l="0" t="0" r="0" b="0"/>
            <wp:docPr id="2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20"/>
                    <a:srcRect l="24173" t="33403" r="32602" b="30456"/>
                    <a:stretch>
                      <a:fillRect/>
                    </a:stretch>
                  </pic:blipFill>
                  <pic:spPr bwMode="auto">
                    <a:xfrm>
                      <a:off x="0" y="0"/>
                      <a:ext cx="5114290" cy="2672715"/>
                    </a:xfrm>
                    <a:prstGeom prst="rect">
                      <a:avLst/>
                    </a:prstGeom>
                  </pic:spPr>
                </pic:pic>
              </a:graphicData>
            </a:graphic>
          </wp:inline>
        </w:drawing>
      </w:r>
    </w:p>
    <w:p w14:paraId="4502112C" w14:textId="77777777" w:rsidR="00566319" w:rsidRDefault="00566319" w:rsidP="00566319">
      <w:pPr>
        <w:jc w:val="center"/>
      </w:pPr>
    </w:p>
    <w:p w14:paraId="7B5992FB" w14:textId="77777777" w:rsidR="00566319" w:rsidRDefault="00566319" w:rsidP="00566319">
      <w:pPr>
        <w:pStyle w:val="Lgende"/>
      </w:pPr>
      <w:bookmarkStart w:id="32" w:name="_Ref429406193"/>
      <w:r>
        <w:t xml:space="preserve">Figure </w:t>
      </w:r>
      <w:r>
        <w:fldChar w:fldCharType="begin"/>
      </w:r>
      <w:r>
        <w:instrText>SEQ Figure \* ARABIC</w:instrText>
      </w:r>
      <w:r>
        <w:fldChar w:fldCharType="separate"/>
      </w:r>
      <w:r>
        <w:t>6</w:t>
      </w:r>
      <w:r>
        <w:fldChar w:fldCharType="end"/>
      </w:r>
      <w:bookmarkEnd w:id="32"/>
      <w:r>
        <w:t> : Exemple de courbe tendance logarithmique de la température moyenne de fluide. Source : Rapport BRGM/RP-60816-FR</w:t>
      </w:r>
    </w:p>
    <w:p w14:paraId="3668AAC2" w14:textId="77777777" w:rsidR="00566319" w:rsidRDefault="00566319" w:rsidP="00566319"/>
    <w:p w14:paraId="686BACD1" w14:textId="77777777" w:rsidR="00566319" w:rsidRDefault="00566319" w:rsidP="00566319">
      <w:r>
        <w:t xml:space="preserve">L’intervalle pour l’interprétation du TRT est compris entre une durée minimale </w:t>
      </w:r>
      <w:r>
        <w:rPr>
          <w:i/>
        </w:rPr>
        <w:t>t</w:t>
      </w:r>
      <w:r>
        <w:rPr>
          <w:i/>
          <w:vertAlign w:val="subscript"/>
        </w:rPr>
        <w:t>min</w:t>
      </w:r>
      <w:r>
        <w:t xml:space="preserve"> et la durée du TRT. La durée minimale peut être donnée par le critère suivant : </w:t>
      </w:r>
    </w:p>
    <w:p w14:paraId="05D1ADB0" w14:textId="77777777" w:rsidR="00566319" w:rsidRDefault="00CA2736" w:rsidP="00566319">
      <m:oMathPara>
        <m:oMath>
          <m:sSub>
            <m:sSubPr>
              <m:ctrlPr>
                <w:rPr>
                  <w:rFonts w:ascii="Cambria Math" w:hAnsi="Cambria Math"/>
                </w:rPr>
              </m:ctrlPr>
            </m:sSubPr>
            <m:e>
              <m:r>
                <w:rPr>
                  <w:rFonts w:ascii="Cambria Math" w:hAnsi="Cambria Math"/>
                </w:rPr>
                <m:t>t</m:t>
              </m:r>
            </m:e>
            <m:sub>
              <m:r>
                <w:rPr>
                  <w:rFonts w:ascii="Cambria Math" w:hAnsi="Cambria Math"/>
                </w:rPr>
                <m:t>min</m:t>
              </m:r>
            </m:sub>
          </m:sSub>
          <m:r>
            <w:rPr>
              <w:rFonts w:ascii="Cambria Math" w:hAnsi="Cambria Math"/>
            </w:rPr>
            <m:t>=5</m:t>
          </m:r>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f</m:t>
                      </m:r>
                    </m:sub>
                  </m:sSub>
                </m:e>
                <m:sup>
                  <m:r>
                    <w:rPr>
                      <w:rFonts w:ascii="Cambria Math" w:hAnsi="Cambria Math"/>
                    </w:rPr>
                    <m:t>2</m:t>
                  </m:r>
                </m:sup>
              </m:sSup>
            </m:num>
            <m:den>
              <m:sSub>
                <m:sSubPr>
                  <m:ctrlPr>
                    <w:rPr>
                      <w:rFonts w:ascii="Cambria Math" w:hAnsi="Cambria Math"/>
                    </w:rPr>
                  </m:ctrlPr>
                </m:sSubPr>
                <m:e>
                  <m:r>
                    <w:rPr>
                      <w:rFonts w:ascii="Cambria Math" w:hAnsi="Cambria Math"/>
                    </w:rPr>
                    <m:t>a</m:t>
                  </m:r>
                </m:e>
                <m:sub>
                  <m:r>
                    <w:rPr>
                      <w:rFonts w:ascii="Cambria Math" w:hAnsi="Cambria Math"/>
                    </w:rPr>
                    <m:t>m</m:t>
                  </m:r>
                </m:sub>
              </m:sSub>
            </m:den>
          </m:f>
        </m:oMath>
      </m:oMathPara>
    </w:p>
    <w:p w14:paraId="5800F1A8" w14:textId="77777777" w:rsidR="00566319" w:rsidRDefault="00566319" w:rsidP="00566319">
      <w:pPr>
        <w:pStyle w:val="Lgende"/>
      </w:pPr>
      <w:bookmarkStart w:id="33" w:name="_Ref429405826"/>
      <w:r>
        <w:t>(</w:t>
      </w:r>
      <w:r>
        <w:fldChar w:fldCharType="begin"/>
      </w:r>
      <w:r>
        <w:instrText>SEQ Équation \* ARABIC</w:instrText>
      </w:r>
      <w:r>
        <w:fldChar w:fldCharType="separate"/>
      </w:r>
      <w:r>
        <w:t>3</w:t>
      </w:r>
      <w:r>
        <w:fldChar w:fldCharType="end"/>
      </w:r>
      <w:bookmarkEnd w:id="33"/>
      <w:r>
        <w:t>)</w:t>
      </w:r>
    </w:p>
    <w:p w14:paraId="3743A721" w14:textId="77777777" w:rsidR="00566319" w:rsidRDefault="00566319" w:rsidP="00566319">
      <w:r>
        <w:t xml:space="preserve">Pour utiliser l’équation </w:t>
      </w:r>
      <w:r>
        <w:fldChar w:fldCharType="begin"/>
      </w:r>
      <w:r>
        <w:instrText>REF _Ref429405826 \h</w:instrText>
      </w:r>
      <w:r>
        <w:fldChar w:fldCharType="separate"/>
      </w:r>
      <w:r>
        <w:t>(3)</w:t>
      </w:r>
      <w:r>
        <w:fldChar w:fldCharType="end"/>
      </w:r>
      <w:r>
        <w:t xml:space="preserve">, il est nécessaire de faire une hypothèse sur la diffusivité thermique </w:t>
      </w:r>
      <w:r>
        <w:rPr>
          <w:i/>
        </w:rPr>
        <w:t>a</w:t>
      </w:r>
      <w:r>
        <w:rPr>
          <w:i/>
          <w:vertAlign w:val="subscript"/>
        </w:rPr>
        <w:t>m</w:t>
      </w:r>
      <w:r>
        <w:t xml:space="preserve"> et donc la conductivité thermique </w:t>
      </w:r>
      <w:r>
        <w:rPr>
          <w:rFonts w:cs="Calibri"/>
          <w:i/>
        </w:rPr>
        <w:t>λ</w:t>
      </w:r>
      <w:r>
        <w:rPr>
          <w:i/>
          <w:vertAlign w:val="subscript"/>
        </w:rPr>
        <w:t>m</w:t>
      </w:r>
      <w:r>
        <w:t xml:space="preserve">, par exemple au moyen de la table donnée en Annexe 1. Si l’évaluation de la conductivité thermique </w:t>
      </w:r>
      <w:r>
        <w:rPr>
          <w:rFonts w:cs="Calibri"/>
          <w:i/>
        </w:rPr>
        <w:t>λ</w:t>
      </w:r>
      <w:r>
        <w:rPr>
          <w:i/>
          <w:vertAlign w:val="subscript"/>
        </w:rPr>
        <w:t>m</w:t>
      </w:r>
      <w:r>
        <w:t xml:space="preserve"> au moyen de l’équation </w:t>
      </w:r>
      <w:r>
        <w:fldChar w:fldCharType="begin"/>
      </w:r>
      <w:r>
        <w:instrText>REF _Ref429145984 \h</w:instrText>
      </w:r>
      <w:r>
        <w:fldChar w:fldCharType="separate"/>
      </w:r>
      <w:r>
        <w:t>(5)</w:t>
      </w:r>
      <w:r>
        <w:fldChar w:fldCharType="end"/>
      </w:r>
      <w:r>
        <w:t xml:space="preserve"> s’éloigne significativement de la valeur prise en hypothèse, il est nécessaire de recalculer </w:t>
      </w:r>
      <w:r>
        <w:rPr>
          <w:i/>
        </w:rPr>
        <w:t>t</w:t>
      </w:r>
      <w:r>
        <w:rPr>
          <w:i/>
          <w:vertAlign w:val="subscript"/>
        </w:rPr>
        <w:t>min</w:t>
      </w:r>
      <w:r>
        <w:t xml:space="preserve"> et de recommencer l’interprétation. </w:t>
      </w:r>
      <w:r>
        <w:rPr>
          <w:i/>
        </w:rPr>
        <w:t>t</w:t>
      </w:r>
      <w:r>
        <w:rPr>
          <w:i/>
          <w:vertAlign w:val="subscript"/>
        </w:rPr>
        <w:t>min</w:t>
      </w:r>
      <w:r>
        <w:t xml:space="preserve"> est classiquement choisi entre 12 et 24 heures.</w:t>
      </w:r>
    </w:p>
    <w:p w14:paraId="396F6273" w14:textId="77777777" w:rsidR="00566319" w:rsidRDefault="00566319" w:rsidP="00566319"/>
    <w:p w14:paraId="012097DE" w14:textId="77777777" w:rsidR="00566319" w:rsidRDefault="00566319" w:rsidP="00566319">
      <w:r>
        <w:t xml:space="preserve">On peut écrire l’évolution de la température moyenne du fluide </w:t>
      </w:r>
      <w:r>
        <w:fldChar w:fldCharType="begin"/>
      </w:r>
      <w:r>
        <w:instrText>REF _Ref429145786 \h</w:instrText>
      </w:r>
      <w:r>
        <w:fldChar w:fldCharType="separate"/>
      </w:r>
      <w:r>
        <w:t>(2</w:t>
      </w:r>
      <w:r>
        <w:fldChar w:fldCharType="end"/>
      </w:r>
      <w:r>
        <w:fldChar w:fldCharType="begin"/>
      </w:r>
      <w:r>
        <w:instrText>REF _Ref429145912 \h</w:instrText>
      </w:r>
      <w:r>
        <w:fldChar w:fldCharType="separate"/>
      </w:r>
      <w:r>
        <w:t>)</w:t>
      </w:r>
      <w:r>
        <w:fldChar w:fldCharType="end"/>
      </w:r>
      <w:r>
        <w:t xml:space="preserve"> sous la forme (cf. </w:t>
      </w:r>
      <w:r>
        <w:fldChar w:fldCharType="begin"/>
      </w:r>
      <w:r>
        <w:instrText>REF _Ref429148328 \h</w:instrText>
      </w:r>
      <w:r>
        <w:fldChar w:fldCharType="separate"/>
      </w:r>
      <w:r>
        <w:t>Erreur : source de la référence non trouvée</w:t>
      </w:r>
      <w:r>
        <w:fldChar w:fldCharType="end"/>
      </w:r>
      <w:r>
        <w:t>) :</w:t>
      </w:r>
    </w:p>
    <w:p w14:paraId="5A6EDB11" w14:textId="77777777" w:rsidR="00566319" w:rsidRDefault="00566319" w:rsidP="00566319">
      <w:pPr>
        <w:jc w:val="center"/>
        <w:rPr>
          <w:i/>
        </w:rPr>
      </w:pPr>
      <w:r>
        <w:t xml:space="preserve"> </w:t>
      </w:r>
      <m:oMath>
        <m:sSub>
          <m:sSubPr>
            <m:ctrlPr>
              <w:rPr>
                <w:rFonts w:ascii="Cambria Math" w:hAnsi="Cambria Math"/>
              </w:rPr>
            </m:ctrlPr>
          </m:sSubPr>
          <m:e>
            <m:r>
              <w:rPr>
                <w:rFonts w:ascii="Cambria Math" w:hAnsi="Cambria Math"/>
              </w:rPr>
              <m:t>T</m:t>
            </m:r>
          </m:e>
          <m:sub>
            <m:r>
              <w:rPr>
                <w:rFonts w:ascii="Cambria Math" w:hAnsi="Cambria Math"/>
              </w:rPr>
              <m:t>f</m:t>
            </m:r>
          </m:sub>
        </m:sSub>
        <m:d>
          <m:dPr>
            <m:ctrlPr>
              <w:rPr>
                <w:rFonts w:ascii="Cambria Math" w:hAnsi="Cambria Math"/>
              </w:rPr>
            </m:ctrlPr>
          </m:dPr>
          <m:e>
            <m:r>
              <w:rPr>
                <w:rFonts w:ascii="Cambria Math" w:hAnsi="Cambria Math"/>
              </w:rPr>
              <m:t>t</m:t>
            </m:r>
          </m:e>
        </m:d>
        <m:r>
          <w:rPr>
            <w:rFonts w:ascii="Cambria Math" w:hAnsi="Cambria Math"/>
          </w:rPr>
          <m:t>=A</m:t>
        </m:r>
        <m:r>
          <m:rPr>
            <m:lit/>
            <m:nor/>
          </m:rPr>
          <w:rPr>
            <w:rFonts w:ascii="Cambria Math" w:hAnsi="Cambria Math"/>
          </w:rPr>
          <m:t>ln</m:t>
        </m:r>
        <m:d>
          <m:dPr>
            <m:ctrlPr>
              <w:rPr>
                <w:rFonts w:ascii="Cambria Math" w:hAnsi="Cambria Math"/>
              </w:rPr>
            </m:ctrlPr>
          </m:dPr>
          <m:e>
            <m:r>
              <w:rPr>
                <w:rFonts w:ascii="Cambria Math" w:hAnsi="Cambria Math"/>
              </w:rPr>
              <m:t>t</m:t>
            </m:r>
          </m:e>
        </m:d>
        <m:r>
          <w:rPr>
            <w:rFonts w:ascii="Cambria Math" w:hAnsi="Cambria Math"/>
          </w:rPr>
          <m:t>+B</m:t>
        </m:r>
      </m:oMath>
      <w:r>
        <w:rPr>
          <w:i/>
        </w:rPr>
        <w:tab/>
      </w:r>
    </w:p>
    <w:p w14:paraId="69D6F696" w14:textId="77777777" w:rsidR="00566319" w:rsidRDefault="00566319" w:rsidP="00566319">
      <w:pPr>
        <w:pStyle w:val="Lgende"/>
      </w:pPr>
      <w:r>
        <w:t>(</w:t>
      </w:r>
      <w:r>
        <w:fldChar w:fldCharType="begin"/>
      </w:r>
      <w:r>
        <w:instrText>SEQ Équation \* ARABIC</w:instrText>
      </w:r>
      <w:r>
        <w:fldChar w:fldCharType="separate"/>
      </w:r>
      <w:r>
        <w:t>4</w:t>
      </w:r>
      <w:r>
        <w:fldChar w:fldCharType="end"/>
      </w:r>
      <w:r>
        <w:t>)</w:t>
      </w:r>
    </w:p>
    <w:p w14:paraId="76BED4DF" w14:textId="77777777" w:rsidR="00566319" w:rsidRDefault="00566319" w:rsidP="00566319"/>
    <w:p w14:paraId="11F95CEF" w14:textId="77777777" w:rsidR="00566319" w:rsidRDefault="00566319" w:rsidP="00566319">
      <w:r>
        <w:t xml:space="preserve">Dans l’équation </w:t>
      </w:r>
      <w:r>
        <w:fldChar w:fldCharType="begin"/>
      </w:r>
      <w:r>
        <w:instrText>REF _Ref429405826 \h</w:instrText>
      </w:r>
      <w:r>
        <w:fldChar w:fldCharType="separate"/>
      </w:r>
      <w:r>
        <w:t>(3)</w:t>
      </w:r>
      <w:r>
        <w:fldChar w:fldCharType="end"/>
      </w:r>
      <w:r>
        <w:t xml:space="preserve">, les coefficients </w:t>
      </w:r>
      <w:r>
        <w:rPr>
          <w:i/>
        </w:rPr>
        <w:t>A</w:t>
      </w:r>
      <w:r>
        <w:t xml:space="preserve"> et </w:t>
      </w:r>
      <w:r>
        <w:rPr>
          <w:i/>
        </w:rPr>
        <w:t>B</w:t>
      </w:r>
      <w:r>
        <w:t xml:space="preserve"> sont estimés à partir d’une courbe où le temps </w:t>
      </w:r>
      <w:r>
        <w:rPr>
          <w:i/>
        </w:rPr>
        <w:t>t</w:t>
      </w:r>
      <w:r>
        <w:t xml:space="preserve"> est exprimé en secondes. En identifiant </w:t>
      </w:r>
      <w:r>
        <w:rPr>
          <w:i/>
        </w:rPr>
        <w:t>A</w:t>
      </w:r>
      <w:r>
        <w:t xml:space="preserve"> au coefficient directeur de la droite représentant l’évolution de la température moyenne T</w:t>
      </w:r>
      <w:r>
        <w:rPr>
          <w:vertAlign w:val="subscript"/>
        </w:rPr>
        <w:t>f</w:t>
      </w:r>
      <w:r>
        <w:t xml:space="preserve"> en fonction du log du temps et </w:t>
      </w:r>
      <w:r>
        <w:rPr>
          <w:i/>
        </w:rPr>
        <w:t>B</w:t>
      </w:r>
      <w:r>
        <w:t xml:space="preserve"> à l’ordonnée à l’origine, on peut exprimer </w:t>
      </w:r>
      <w:r>
        <w:rPr>
          <w:rFonts w:cs="Arial"/>
          <w:i/>
        </w:rPr>
        <w:t>λ</w:t>
      </w:r>
      <w:r>
        <w:rPr>
          <w:i/>
          <w:vertAlign w:val="subscript"/>
        </w:rPr>
        <w:t>m</w:t>
      </w:r>
      <w:r>
        <w:t xml:space="preserve"> et </w:t>
      </w:r>
      <w:r>
        <w:rPr>
          <w:rFonts w:cs="Arial"/>
          <w:i/>
        </w:rPr>
        <w:t>R</w:t>
      </w:r>
      <w:r>
        <w:rPr>
          <w:i/>
          <w:vertAlign w:val="subscript"/>
        </w:rPr>
        <w:t>f</w:t>
      </w:r>
      <w:r>
        <w:t xml:space="preserve"> en fonction des paramètres du test, de </w:t>
      </w:r>
      <w:r>
        <w:rPr>
          <w:i/>
        </w:rPr>
        <w:t>A</w:t>
      </w:r>
      <w:r>
        <w:t xml:space="preserve"> et de </w:t>
      </w:r>
      <w:r>
        <w:rPr>
          <w:i/>
        </w:rPr>
        <w:t>B </w:t>
      </w:r>
      <w:r>
        <w:t>:</w:t>
      </w:r>
    </w:p>
    <w:p w14:paraId="266F0249" w14:textId="77777777" w:rsidR="00566319" w:rsidRDefault="00566319" w:rsidP="00566319"/>
    <w:p w14:paraId="0BB76C9C" w14:textId="77777777" w:rsidR="00566319" w:rsidRDefault="00CA2736" w:rsidP="00566319">
      <w:pPr>
        <w:jc w:val="center"/>
        <w:rPr>
          <w:rFonts w:ascii="Cambria Math" w:hAnsi="Cambria Math"/>
          <w:i/>
        </w:rPr>
      </w:pPr>
      <m:oMathPara>
        <m:oMath>
          <m:sSub>
            <m:sSubPr>
              <m:ctrlPr>
                <w:rPr>
                  <w:rFonts w:ascii="Cambria Math" w:hAnsi="Cambria Math"/>
                </w:rPr>
              </m:ctrlPr>
            </m:sSubPr>
            <m:e>
              <m:r>
                <w:rPr>
                  <w:rFonts w:ascii="Cambria Math" w:hAnsi="Cambria Math"/>
                </w:rPr>
                <m:t>λ</m:t>
              </m:r>
            </m:e>
            <m:sub>
              <m:r>
                <w:rPr>
                  <w:rFonts w:ascii="Cambria Math" w:hAnsi="Cambria Math"/>
                </w:rPr>
                <m:t>m</m:t>
              </m:r>
            </m:sub>
          </m:sSub>
          <m:r>
            <w:rPr>
              <w:rFonts w:ascii="Cambria Math" w:hAnsi="Cambria Math"/>
            </w:rPr>
            <m:t>=</m:t>
          </m:r>
          <m:f>
            <m:fPr>
              <m:ctrlPr>
                <w:rPr>
                  <w:rFonts w:ascii="Cambria Math" w:hAnsi="Cambria Math"/>
                </w:rPr>
              </m:ctrlPr>
            </m:fPr>
            <m:num>
              <m:r>
                <w:rPr>
                  <w:rFonts w:ascii="Cambria Math" w:hAnsi="Cambria Math"/>
                </w:rPr>
                <m:t>p</m:t>
              </m:r>
            </m:num>
            <m:den>
              <m:r>
                <w:rPr>
                  <w:rFonts w:ascii="Cambria Math" w:hAnsi="Cambria Math"/>
                </w:rPr>
                <m:t>4πA</m:t>
              </m:r>
            </m:den>
          </m:f>
        </m:oMath>
      </m:oMathPara>
    </w:p>
    <w:p w14:paraId="16CE5818" w14:textId="77777777" w:rsidR="00566319" w:rsidRDefault="00566319" w:rsidP="00566319">
      <w:pPr>
        <w:pStyle w:val="Lgende"/>
      </w:pPr>
      <w:bookmarkStart w:id="34" w:name="_Ref429145976"/>
      <w:bookmarkStart w:id="35" w:name="_Ref429145984"/>
      <w:r>
        <w:t>(</w:t>
      </w:r>
      <w:r>
        <w:fldChar w:fldCharType="begin"/>
      </w:r>
      <w:r>
        <w:instrText>SEQ Équation \* ARABIC</w:instrText>
      </w:r>
      <w:r>
        <w:fldChar w:fldCharType="separate"/>
      </w:r>
      <w:r>
        <w:t>5</w:t>
      </w:r>
      <w:r>
        <w:fldChar w:fldCharType="end"/>
      </w:r>
      <w:bookmarkStart w:id="36" w:name="_Ref429145972"/>
      <w:bookmarkEnd w:id="34"/>
      <w:bookmarkEnd w:id="35"/>
      <w:bookmarkEnd w:id="36"/>
      <w:r>
        <w:t>)</w:t>
      </w:r>
    </w:p>
    <w:p w14:paraId="051645C6" w14:textId="77777777" w:rsidR="00566319" w:rsidRDefault="00566319" w:rsidP="00566319">
      <w:pPr>
        <w:jc w:val="center"/>
        <w:rPr>
          <w:rFonts w:ascii="Cambria Math" w:hAnsi="Cambria Math"/>
        </w:rPr>
      </w:pPr>
    </w:p>
    <w:p w14:paraId="427F611F" w14:textId="77777777" w:rsidR="00566319" w:rsidRDefault="00CA2736" w:rsidP="00566319">
      <w:pPr>
        <w:jc w:val="center"/>
        <w:rPr>
          <w:i/>
        </w:rPr>
      </w:pPr>
      <m:oMathPara>
        <m:oMath>
          <m:sSub>
            <m:sSubPr>
              <m:ctrlPr>
                <w:rPr>
                  <w:rFonts w:ascii="Cambria Math" w:hAnsi="Cambria Math"/>
                </w:rPr>
              </m:ctrlPr>
            </m:sSubPr>
            <m:e>
              <m:r>
                <w:rPr>
                  <w:rFonts w:ascii="Cambria Math" w:hAnsi="Cambria Math"/>
                </w:rPr>
                <m:t>R</m:t>
              </m:r>
            </m:e>
            <m:sub>
              <m:r>
                <w:rPr>
                  <w:rFonts w:ascii="Cambria Math" w:hAnsi="Cambria Math"/>
                </w:rPr>
                <m:t>f</m:t>
              </m:r>
            </m:sub>
          </m:sSub>
          <m:r>
            <w:rPr>
              <w:rFonts w:ascii="Cambria Math" w:hAnsi="Cambria Math"/>
            </w:rPr>
            <m:t>=</m:t>
          </m:r>
          <m:f>
            <m:fPr>
              <m:ctrlPr>
                <w:rPr>
                  <w:rFonts w:ascii="Cambria Math" w:hAnsi="Cambria Math"/>
                </w:rPr>
              </m:ctrlPr>
            </m:fPr>
            <m:num>
              <m:r>
                <w:rPr>
                  <w:rFonts w:ascii="Cambria Math" w:hAnsi="Cambria Math"/>
                </w:rPr>
                <m:t>B-</m:t>
              </m:r>
              <m:sSub>
                <m:sSubPr>
                  <m:ctrlPr>
                    <w:rPr>
                      <w:rFonts w:ascii="Cambria Math" w:hAnsi="Cambria Math"/>
                    </w:rPr>
                  </m:ctrlPr>
                </m:sSubPr>
                <m:e>
                  <m:r>
                    <w:rPr>
                      <w:rFonts w:ascii="Cambria Math" w:hAnsi="Cambria Math"/>
                    </w:rPr>
                    <m:t>T</m:t>
                  </m:r>
                </m:e>
                <m:sub>
                  <m:r>
                    <w:rPr>
                      <w:rFonts w:ascii="Cambria Math" w:hAnsi="Cambria Math"/>
                    </w:rPr>
                    <m:t>0</m:t>
                  </m:r>
                </m:sub>
              </m:sSub>
            </m:num>
            <m:den>
              <m:r>
                <w:rPr>
                  <w:rFonts w:ascii="Cambria Math" w:hAnsi="Cambria Math"/>
                </w:rPr>
                <m:t>p</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4π</m:t>
              </m:r>
              <m:sSub>
                <m:sSubPr>
                  <m:ctrlPr>
                    <w:rPr>
                      <w:rFonts w:ascii="Cambria Math" w:hAnsi="Cambria Math"/>
                    </w:rPr>
                  </m:ctrlPr>
                </m:sSubPr>
                <m:e>
                  <m:r>
                    <w:rPr>
                      <w:rFonts w:ascii="Cambria Math" w:hAnsi="Cambria Math"/>
                    </w:rPr>
                    <m:t>λ</m:t>
                  </m:r>
                </m:e>
                <m:sub>
                  <m:r>
                    <w:rPr>
                      <w:rFonts w:ascii="Cambria Math" w:hAnsi="Cambria Math"/>
                    </w:rPr>
                    <m:t>m</m:t>
                  </m:r>
                </m:sub>
              </m:sSub>
            </m:den>
          </m:f>
          <m:d>
            <m:dPr>
              <m:ctrlPr>
                <w:rPr>
                  <w:rFonts w:ascii="Cambria Math" w:hAnsi="Cambria Math"/>
                </w:rPr>
              </m:ctrlPr>
            </m:dPr>
            <m:e>
              <m:r>
                <w:rPr>
                  <w:rFonts w:ascii="Cambria Math" w:hAnsi="Cambria Math"/>
                </w:rPr>
                <m:t>0,5772-</m:t>
              </m:r>
              <m:r>
                <m:rPr>
                  <m:lit/>
                  <m:nor/>
                </m:rP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4</m:t>
                      </m:r>
                      <m:sSub>
                        <m:sSubPr>
                          <m:ctrlPr>
                            <w:rPr>
                              <w:rFonts w:ascii="Cambria Math" w:hAnsi="Cambria Math"/>
                            </w:rPr>
                          </m:ctrlPr>
                        </m:sSubPr>
                        <m:e>
                          <m:r>
                            <w:rPr>
                              <w:rFonts w:ascii="Cambria Math" w:hAnsi="Cambria Math"/>
                            </w:rPr>
                            <m:t>a</m:t>
                          </m:r>
                        </m:e>
                        <m:sub>
                          <m:r>
                            <w:rPr>
                              <w:rFonts w:ascii="Cambria Math" w:hAnsi="Cambria Math"/>
                            </w:rPr>
                            <m:t>m</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f</m:t>
                              </m:r>
                            </m:sub>
                          </m:sSub>
                        </m:e>
                        <m:sup>
                          <m:r>
                            <w:rPr>
                              <w:rFonts w:ascii="Cambria Math" w:hAnsi="Cambria Math"/>
                            </w:rPr>
                            <m:t>2</m:t>
                          </m:r>
                        </m:sup>
                      </m:sSup>
                    </m:den>
                  </m:f>
                </m:e>
              </m:d>
            </m:e>
          </m:d>
        </m:oMath>
      </m:oMathPara>
    </w:p>
    <w:p w14:paraId="2BBDB1D6" w14:textId="77777777" w:rsidR="00566319" w:rsidRDefault="00566319" w:rsidP="00566319">
      <w:pPr>
        <w:pStyle w:val="Lgende"/>
      </w:pPr>
      <w:bookmarkStart w:id="37" w:name="_Ref429146016"/>
      <w:r>
        <w:t>(</w:t>
      </w:r>
      <w:r>
        <w:fldChar w:fldCharType="begin"/>
      </w:r>
      <w:r>
        <w:instrText>SEQ Équation \* ARABIC</w:instrText>
      </w:r>
      <w:r>
        <w:fldChar w:fldCharType="separate"/>
      </w:r>
      <w:r>
        <w:t>6</w:t>
      </w:r>
      <w:r>
        <w:fldChar w:fldCharType="end"/>
      </w:r>
      <w:bookmarkEnd w:id="37"/>
      <w:r>
        <w:t>)</w:t>
      </w:r>
    </w:p>
    <w:p w14:paraId="275C34D6" w14:textId="77777777" w:rsidR="00566319" w:rsidRDefault="00566319" w:rsidP="00566319">
      <w:pPr>
        <w:jc w:val="center"/>
      </w:pPr>
    </w:p>
    <w:p w14:paraId="1763C445" w14:textId="77777777" w:rsidR="00566319" w:rsidRDefault="00566319" w:rsidP="00566319">
      <w:r>
        <w:lastRenderedPageBreak/>
        <w:t xml:space="preserve">On estime d’abord </w:t>
      </w:r>
      <w:r>
        <w:rPr>
          <w:rFonts w:cs="Arial"/>
        </w:rPr>
        <w:t>λ</w:t>
      </w:r>
      <w:r>
        <w:rPr>
          <w:vertAlign w:val="subscript"/>
        </w:rPr>
        <w:t>m</w:t>
      </w:r>
      <w:r>
        <w:rPr>
          <w:i/>
        </w:rPr>
        <w:t xml:space="preserve"> </w:t>
      </w:r>
      <w:r>
        <w:t xml:space="preserve">à l’aide de l’aide de l’équation </w:t>
      </w:r>
      <w:r>
        <w:fldChar w:fldCharType="begin"/>
      </w:r>
      <w:r>
        <w:instrText>REF _Ref429145984 \h</w:instrText>
      </w:r>
      <w:r>
        <w:fldChar w:fldCharType="separate"/>
      </w:r>
      <w:r>
        <w:t>(5)</w:t>
      </w:r>
      <w:r>
        <w:fldChar w:fldCharType="end"/>
      </w:r>
      <w:r>
        <w:t xml:space="preserve"> puis R</w:t>
      </w:r>
      <w:r>
        <w:rPr>
          <w:vertAlign w:val="subscript"/>
        </w:rPr>
        <w:t>f</w:t>
      </w:r>
      <w:r>
        <w:t xml:space="preserve"> à l’aide de </w:t>
      </w:r>
      <w:r>
        <w:fldChar w:fldCharType="begin"/>
      </w:r>
      <w:r>
        <w:instrText>REF _Ref429146016 \h</w:instrText>
      </w:r>
      <w:r>
        <w:fldChar w:fldCharType="separate"/>
      </w:r>
      <w:r>
        <w:t>(6)</w:t>
      </w:r>
      <w:r>
        <w:fldChar w:fldCharType="end"/>
      </w:r>
      <w:r>
        <w:t xml:space="preserve">. Pour utiliser l’équation </w:t>
      </w:r>
      <w:r>
        <w:fldChar w:fldCharType="begin"/>
      </w:r>
      <w:r>
        <w:instrText>REF _Ref429146016 \h</w:instrText>
      </w:r>
      <w:r>
        <w:fldChar w:fldCharType="separate"/>
      </w:r>
      <w:r>
        <w:t>(6)</w:t>
      </w:r>
      <w:r>
        <w:fldChar w:fldCharType="end"/>
      </w:r>
      <w:r>
        <w:t>, on a besoin de déterminer la diffusivité thermique du terrain a</w:t>
      </w:r>
      <w:r>
        <w:rPr>
          <w:vertAlign w:val="subscript"/>
        </w:rPr>
        <w:t xml:space="preserve">m </w:t>
      </w:r>
      <w:r>
        <w:t xml:space="preserve">= </w:t>
      </w:r>
      <w:r>
        <w:rPr>
          <w:rFonts w:cs="Arial"/>
        </w:rPr>
        <w:t>λ</w:t>
      </w:r>
      <w:r>
        <w:rPr>
          <w:vertAlign w:val="subscript"/>
        </w:rPr>
        <w:t xml:space="preserve">m </w:t>
      </w:r>
      <w:r>
        <w:t>/ (</w:t>
      </w:r>
      <w:r>
        <w:rPr>
          <w:rFonts w:cs="Arial"/>
        </w:rPr>
        <w:t>ρ</w:t>
      </w:r>
      <w:r>
        <w:t xml:space="preserve"> C</w:t>
      </w:r>
      <w:r>
        <w:rPr>
          <w:vertAlign w:val="subscript"/>
        </w:rPr>
        <w:t>p</w:t>
      </w:r>
      <w:r>
        <w:t>)</w:t>
      </w:r>
      <w:r>
        <w:rPr>
          <w:vertAlign w:val="subscript"/>
        </w:rPr>
        <w:t>m</w:t>
      </w:r>
      <w:r>
        <w:t>. La capacité calorifique massique moyenne du terrain (</w:t>
      </w:r>
      <w:r>
        <w:rPr>
          <w:rFonts w:cs="Arial"/>
        </w:rPr>
        <w:t>ρ</w:t>
      </w:r>
      <w:r>
        <w:t xml:space="preserve"> C</w:t>
      </w:r>
      <w:r>
        <w:rPr>
          <w:vertAlign w:val="subscript"/>
        </w:rPr>
        <w:t>p</w:t>
      </w:r>
      <w:r>
        <w:t>)</w:t>
      </w:r>
      <w:r>
        <w:rPr>
          <w:vertAlign w:val="subscript"/>
        </w:rPr>
        <w:t>m</w:t>
      </w:r>
      <w:r>
        <w:t xml:space="preserve"> est estimée à partir de tables, telle que celle donnée en Annexe 1.</w:t>
      </w:r>
    </w:p>
    <w:p w14:paraId="696D4C54" w14:textId="77777777" w:rsidR="00566319" w:rsidRDefault="00566319" w:rsidP="00566319"/>
    <w:p w14:paraId="21161460" w14:textId="77777777" w:rsidR="00566319" w:rsidRDefault="00566319" w:rsidP="00566319"/>
    <w:p w14:paraId="671862E4" w14:textId="77777777" w:rsidR="00566319" w:rsidRDefault="00566319" w:rsidP="00566319">
      <w:pPr>
        <w:widowControl w:val="0"/>
        <w:rPr>
          <w:rFonts w:ascii="Times New Roman" w:hAnsi="Times New Roman"/>
        </w:rPr>
      </w:pPr>
    </w:p>
    <w:p w14:paraId="2D96B1A0" w14:textId="77777777" w:rsidR="00566319" w:rsidRDefault="00566319" w:rsidP="00061972">
      <w:pPr>
        <w:pStyle w:val="Titre1"/>
        <w:numPr>
          <w:ilvl w:val="0"/>
          <w:numId w:val="7"/>
        </w:numPr>
      </w:pPr>
      <w:bookmarkStart w:id="38" w:name="_Toc314086845"/>
      <w:bookmarkStart w:id="39" w:name="_Toc33437936"/>
      <w:bookmarkEnd w:id="38"/>
      <w:r>
        <w:t>RESULTATS ET Contenu du rapport de TRT</w:t>
      </w:r>
      <w:bookmarkEnd w:id="39"/>
    </w:p>
    <w:p w14:paraId="09291714" w14:textId="77777777" w:rsidR="00566319" w:rsidRDefault="00566319" w:rsidP="00566319">
      <w:pPr>
        <w:widowControl w:val="0"/>
      </w:pPr>
      <w:r>
        <w:t>Le rapport doit permettre à un tiers de pouvoir interpréter la qualité du travail effectué. Il doit contenir toutes les informations nécessaires pour :</w:t>
      </w:r>
    </w:p>
    <w:p w14:paraId="0867067A" w14:textId="77777777" w:rsidR="00566319" w:rsidRDefault="00566319" w:rsidP="00061972">
      <w:pPr>
        <w:widowControl w:val="0"/>
        <w:numPr>
          <w:ilvl w:val="0"/>
          <w:numId w:val="13"/>
        </w:numPr>
      </w:pPr>
      <w:r>
        <w:t>vérifier l’ensemble des calculs</w:t>
      </w:r>
    </w:p>
    <w:p w14:paraId="7370303D" w14:textId="77777777" w:rsidR="00566319" w:rsidRDefault="00566319" w:rsidP="00061972">
      <w:pPr>
        <w:widowControl w:val="0"/>
        <w:numPr>
          <w:ilvl w:val="0"/>
          <w:numId w:val="13"/>
        </w:numPr>
      </w:pPr>
      <w:r>
        <w:t>lever les incertitudes sur les résultats, ou tout au moins apporter des éléments de réponse en cas d'anomalies relevées, sur les régimes de température notamment.</w:t>
      </w:r>
    </w:p>
    <w:p w14:paraId="31F77DA9" w14:textId="77777777" w:rsidR="00566319" w:rsidRDefault="00566319" w:rsidP="00061972">
      <w:pPr>
        <w:pStyle w:val="Titre2"/>
        <w:numPr>
          <w:ilvl w:val="1"/>
          <w:numId w:val="7"/>
        </w:numPr>
        <w:spacing w:before="0"/>
      </w:pPr>
      <w:bookmarkStart w:id="40" w:name="_Toc33437937"/>
      <w:r>
        <w:t>Données du projet</w:t>
      </w:r>
      <w:bookmarkEnd w:id="40"/>
    </w:p>
    <w:p w14:paraId="7E9C8CA4" w14:textId="77777777" w:rsidR="00566319" w:rsidRDefault="00566319" w:rsidP="00061972">
      <w:pPr>
        <w:widowControl w:val="0"/>
        <w:numPr>
          <w:ilvl w:val="0"/>
          <w:numId w:val="10"/>
        </w:numPr>
      </w:pPr>
      <w:r>
        <w:t>Localisation exacte du projet (coordonnées GPS ou Lambert93) ;</w:t>
      </w:r>
    </w:p>
    <w:p w14:paraId="56CC5E05" w14:textId="77777777" w:rsidR="00566319" w:rsidRDefault="00566319" w:rsidP="00061972">
      <w:pPr>
        <w:widowControl w:val="0"/>
        <w:numPr>
          <w:ilvl w:val="0"/>
          <w:numId w:val="10"/>
        </w:numPr>
      </w:pPr>
      <w:r>
        <w:t>Identité des intervenants (forage, mesure, contrôle).</w:t>
      </w:r>
    </w:p>
    <w:p w14:paraId="793FDC20" w14:textId="77777777" w:rsidR="00566319" w:rsidRDefault="00566319" w:rsidP="00566319">
      <w:pPr>
        <w:widowControl w:val="0"/>
        <w:rPr>
          <w:rFonts w:ascii="Times New Roman" w:hAnsi="Times New Roman"/>
          <w:b/>
          <w:bCs/>
          <w:color w:val="000000"/>
          <w:spacing w:val="-1"/>
          <w:sz w:val="27"/>
          <w:szCs w:val="27"/>
        </w:rPr>
      </w:pPr>
    </w:p>
    <w:p w14:paraId="21ECB090" w14:textId="77777777" w:rsidR="00566319" w:rsidRDefault="00566319" w:rsidP="00061972">
      <w:pPr>
        <w:pStyle w:val="Titre2"/>
        <w:numPr>
          <w:ilvl w:val="1"/>
          <w:numId w:val="7"/>
        </w:numPr>
        <w:spacing w:before="0"/>
      </w:pPr>
      <w:bookmarkStart w:id="41" w:name="_Toc33437938"/>
      <w:r>
        <w:t>Dispositif de mesure</w:t>
      </w:r>
      <w:bookmarkEnd w:id="41"/>
    </w:p>
    <w:p w14:paraId="103E3E63" w14:textId="77777777" w:rsidR="00566319" w:rsidRDefault="00566319" w:rsidP="00566319">
      <w:pPr>
        <w:widowControl w:val="0"/>
      </w:pPr>
      <w:r>
        <w:t>Le rapport de test doit présenter :</w:t>
      </w:r>
    </w:p>
    <w:p w14:paraId="3EEC06AD" w14:textId="77777777" w:rsidR="00566319" w:rsidRDefault="00566319" w:rsidP="00061972">
      <w:pPr>
        <w:widowControl w:val="0"/>
        <w:numPr>
          <w:ilvl w:val="0"/>
          <w:numId w:val="11"/>
        </w:numPr>
      </w:pPr>
      <w:r>
        <w:t>le dispositif de mesure utilisé, précisant notamment :</w:t>
      </w:r>
    </w:p>
    <w:p w14:paraId="7FC8E2DA" w14:textId="77777777" w:rsidR="00566319" w:rsidRDefault="00566319" w:rsidP="00061972">
      <w:pPr>
        <w:widowControl w:val="0"/>
        <w:numPr>
          <w:ilvl w:val="0"/>
          <w:numId w:val="12"/>
        </w:numPr>
      </w:pPr>
      <w:r>
        <w:t>la présence ou l'absence de régulation,</w:t>
      </w:r>
    </w:p>
    <w:p w14:paraId="58B3B463" w14:textId="77777777" w:rsidR="00566319" w:rsidRDefault="00566319" w:rsidP="00061972">
      <w:pPr>
        <w:widowControl w:val="0"/>
        <w:numPr>
          <w:ilvl w:val="0"/>
          <w:numId w:val="12"/>
        </w:numPr>
      </w:pPr>
      <w:r>
        <w:t>la position des capteurs de températures sur l'appareil,</w:t>
      </w:r>
    </w:p>
    <w:p w14:paraId="011C2916" w14:textId="77777777" w:rsidR="00566319" w:rsidRDefault="00566319" w:rsidP="00061972">
      <w:pPr>
        <w:widowControl w:val="0"/>
        <w:numPr>
          <w:ilvl w:val="0"/>
          <w:numId w:val="12"/>
        </w:numPr>
      </w:pPr>
      <w:r>
        <w:t>la présence de calorifugeage sur les liaisons ;</w:t>
      </w:r>
    </w:p>
    <w:p w14:paraId="3060F2C8" w14:textId="77777777" w:rsidR="00566319" w:rsidRDefault="00566319" w:rsidP="00061972">
      <w:pPr>
        <w:widowControl w:val="0"/>
        <w:numPr>
          <w:ilvl w:val="0"/>
          <w:numId w:val="11"/>
        </w:numPr>
      </w:pPr>
      <w:r>
        <w:t>l'emplacement de l'appareil vis-à-vis de la SGV testée lors de la mesure.</w:t>
      </w:r>
    </w:p>
    <w:p w14:paraId="124EA892" w14:textId="77777777" w:rsidR="00566319" w:rsidRDefault="00566319" w:rsidP="00566319">
      <w:pPr>
        <w:widowControl w:val="0"/>
        <w:rPr>
          <w:rFonts w:ascii="Times New Roman" w:hAnsi="Times New Roman"/>
          <w:color w:val="000000"/>
          <w:spacing w:val="-1"/>
          <w:sz w:val="27"/>
          <w:szCs w:val="27"/>
        </w:rPr>
      </w:pPr>
    </w:p>
    <w:p w14:paraId="6EA593B5" w14:textId="77777777" w:rsidR="00566319" w:rsidRDefault="00566319" w:rsidP="00061972">
      <w:pPr>
        <w:pStyle w:val="Titre2"/>
        <w:numPr>
          <w:ilvl w:val="1"/>
          <w:numId w:val="7"/>
        </w:numPr>
        <w:spacing w:before="0"/>
      </w:pPr>
      <w:bookmarkStart w:id="42" w:name="_Toc33437939"/>
      <w:r>
        <w:t>SGV test</w:t>
      </w:r>
      <w:bookmarkEnd w:id="42"/>
    </w:p>
    <w:p w14:paraId="612084D2" w14:textId="77777777" w:rsidR="00566319" w:rsidRDefault="00566319" w:rsidP="00566319">
      <w:pPr>
        <w:widowControl w:val="0"/>
      </w:pPr>
      <w:r>
        <w:t>Le rapport de test doit présenter les données relatives à la SGV de test :</w:t>
      </w:r>
    </w:p>
    <w:p w14:paraId="37944A7A" w14:textId="77777777" w:rsidR="00566319" w:rsidRDefault="00566319" w:rsidP="00061972">
      <w:pPr>
        <w:widowControl w:val="0"/>
        <w:numPr>
          <w:ilvl w:val="0"/>
          <w:numId w:val="14"/>
        </w:numPr>
      </w:pPr>
      <w:r>
        <w:t>profondeur du forage, diamètre de forage, méthode de forage utilisée ;</w:t>
      </w:r>
    </w:p>
    <w:p w14:paraId="4EF9EA29" w14:textId="77777777" w:rsidR="00566319" w:rsidRDefault="00566319" w:rsidP="00061972">
      <w:pPr>
        <w:widowControl w:val="0"/>
        <w:numPr>
          <w:ilvl w:val="0"/>
          <w:numId w:val="14"/>
        </w:numPr>
      </w:pPr>
      <w:r>
        <w:t>type de SGV (marque, modèle), profondeur effective de la SGV de test ;</w:t>
      </w:r>
    </w:p>
    <w:p w14:paraId="6498F771" w14:textId="77777777" w:rsidR="00566319" w:rsidRDefault="00566319" w:rsidP="00061972">
      <w:pPr>
        <w:widowControl w:val="0"/>
        <w:numPr>
          <w:ilvl w:val="0"/>
          <w:numId w:val="14"/>
        </w:numPr>
      </w:pPr>
      <w:r>
        <w:t>type de cimentation utilisée (marque, conductivité) ;</w:t>
      </w:r>
    </w:p>
    <w:p w14:paraId="5B598E01" w14:textId="77777777" w:rsidR="00566319" w:rsidRDefault="00566319" w:rsidP="00061972">
      <w:pPr>
        <w:widowControl w:val="0"/>
        <w:numPr>
          <w:ilvl w:val="0"/>
          <w:numId w:val="14"/>
        </w:numPr>
      </w:pPr>
      <w:r>
        <w:t>coupe géologique obtenue, avec indication des arrivées d'eau constatées et éventuellement les débits estimés.</w:t>
      </w:r>
    </w:p>
    <w:p w14:paraId="15A9A20B" w14:textId="77777777" w:rsidR="00566319" w:rsidRDefault="00566319" w:rsidP="00566319">
      <w:pPr>
        <w:widowControl w:val="0"/>
        <w:rPr>
          <w:rFonts w:ascii="Times New Roman" w:hAnsi="Times New Roman"/>
        </w:rPr>
      </w:pPr>
    </w:p>
    <w:p w14:paraId="27BA4621" w14:textId="77777777" w:rsidR="00566319" w:rsidRDefault="00566319" w:rsidP="00061972">
      <w:pPr>
        <w:pStyle w:val="Titre2"/>
        <w:numPr>
          <w:ilvl w:val="1"/>
          <w:numId w:val="7"/>
        </w:numPr>
        <w:spacing w:before="0"/>
      </w:pPr>
      <w:bookmarkStart w:id="43" w:name="_Toc33437940"/>
      <w:r>
        <w:t>Analyse bibliographique</w:t>
      </w:r>
      <w:bookmarkEnd w:id="43"/>
    </w:p>
    <w:p w14:paraId="30213A6E" w14:textId="77777777" w:rsidR="00566319" w:rsidRDefault="00566319" w:rsidP="00566319">
      <w:pPr>
        <w:widowControl w:val="0"/>
      </w:pPr>
      <w:r>
        <w:t>Le rapport doit contenir l'estimation de la capacité calorifique du sol, évaluée sur la base de la coupe géologique pondérée par les valeurs moyennes obtenues dans la littérature (cf. SIA 386-6).</w:t>
      </w:r>
    </w:p>
    <w:p w14:paraId="05CB4AA8" w14:textId="77777777" w:rsidR="00566319" w:rsidRDefault="00566319" w:rsidP="00566319">
      <w:pPr>
        <w:widowControl w:val="0"/>
      </w:pPr>
      <w:r>
        <w:t>Le rapport doit contenir l'estimation de la conductivité thermique du sol évaluée sur la base de la coupe géologique pondérée par les valeurs moyennes obtenues dans la littérature.</w:t>
      </w:r>
    </w:p>
    <w:p w14:paraId="62FBC773" w14:textId="77777777" w:rsidR="00566319" w:rsidRDefault="00566319" w:rsidP="00566319">
      <w:pPr>
        <w:widowControl w:val="0"/>
      </w:pPr>
      <w:r>
        <w:lastRenderedPageBreak/>
        <w:t>Les calculs estimatifs de la capacité calorifique et de la conductivité thermique doivent prendre en compte l’épaisseur des couches géologiques rencontrées (moyenne pondérée par l’épaisseur de chaque couche).</w:t>
      </w:r>
    </w:p>
    <w:p w14:paraId="701F7E5C" w14:textId="77777777" w:rsidR="00566319" w:rsidRDefault="00566319" w:rsidP="00566319">
      <w:pPr>
        <w:widowControl w:val="0"/>
        <w:rPr>
          <w:rFonts w:ascii="Times New Roman" w:hAnsi="Times New Roman"/>
        </w:rPr>
      </w:pPr>
    </w:p>
    <w:p w14:paraId="033F8BBB" w14:textId="77777777" w:rsidR="00566319" w:rsidRDefault="00566319" w:rsidP="00061972">
      <w:pPr>
        <w:pStyle w:val="Titre2"/>
        <w:numPr>
          <w:ilvl w:val="1"/>
          <w:numId w:val="7"/>
        </w:numPr>
        <w:spacing w:before="0"/>
      </w:pPr>
      <w:bookmarkStart w:id="44" w:name="_Toc33437941"/>
      <w:r>
        <w:t>Paramètres de test</w:t>
      </w:r>
      <w:bookmarkEnd w:id="44"/>
    </w:p>
    <w:p w14:paraId="37E04599" w14:textId="77777777" w:rsidR="00566319" w:rsidRDefault="00566319" w:rsidP="00566319">
      <w:pPr>
        <w:widowControl w:val="0"/>
      </w:pPr>
      <w:r>
        <w:t>Le rapport doit contenir une description des paramètres utilisés pendant le test, à savoir :</w:t>
      </w:r>
    </w:p>
    <w:p w14:paraId="31DACF0F" w14:textId="77777777" w:rsidR="00566319" w:rsidRDefault="00566319" w:rsidP="00061972">
      <w:pPr>
        <w:widowControl w:val="0"/>
        <w:numPr>
          <w:ilvl w:val="0"/>
          <w:numId w:val="15"/>
        </w:numPr>
      </w:pPr>
      <w:r>
        <w:t>la durée entre la fin de la pose de l’ouvrage test et le début du TRT ;</w:t>
      </w:r>
    </w:p>
    <w:p w14:paraId="32464013" w14:textId="77777777" w:rsidR="00566319" w:rsidRDefault="00566319" w:rsidP="00061972">
      <w:pPr>
        <w:widowControl w:val="0"/>
        <w:numPr>
          <w:ilvl w:val="0"/>
          <w:numId w:val="15"/>
        </w:numPr>
      </w:pPr>
      <w:r>
        <w:t>la durée du test ;</w:t>
      </w:r>
    </w:p>
    <w:p w14:paraId="4C14F9A2" w14:textId="77777777" w:rsidR="00566319" w:rsidRDefault="00566319" w:rsidP="00061972">
      <w:pPr>
        <w:widowControl w:val="0"/>
        <w:numPr>
          <w:ilvl w:val="0"/>
          <w:numId w:val="15"/>
        </w:numPr>
      </w:pPr>
      <w:r>
        <w:t>la nature du fluide utilisé, ainsi que sa chaleur spécifique (J/kg.K) ;</w:t>
      </w:r>
    </w:p>
    <w:p w14:paraId="5BB9A8CC" w14:textId="77777777" w:rsidR="00566319" w:rsidRDefault="00566319" w:rsidP="00061972">
      <w:pPr>
        <w:widowControl w:val="0"/>
        <w:numPr>
          <w:ilvl w:val="0"/>
          <w:numId w:val="15"/>
        </w:numPr>
      </w:pPr>
      <w:r>
        <w:t>la puissance injectée (en W) et injectée par mètre (W/m) ;</w:t>
      </w:r>
    </w:p>
    <w:p w14:paraId="7C8D77FE" w14:textId="77777777" w:rsidR="00566319" w:rsidRDefault="00566319" w:rsidP="00061972">
      <w:pPr>
        <w:widowControl w:val="0"/>
        <w:numPr>
          <w:ilvl w:val="0"/>
          <w:numId w:val="15"/>
        </w:numPr>
      </w:pPr>
      <w:r>
        <w:t>le débit appliqué (m</w:t>
      </w:r>
      <w:r>
        <w:rPr>
          <w:vertAlign w:val="superscript"/>
        </w:rPr>
        <w:t>3</w:t>
      </w:r>
      <w:r>
        <w:t>/h)</w:t>
      </w:r>
    </w:p>
    <w:p w14:paraId="5A413BF7" w14:textId="77777777" w:rsidR="00566319" w:rsidRDefault="00566319" w:rsidP="00061972">
      <w:pPr>
        <w:widowControl w:val="0"/>
        <w:numPr>
          <w:ilvl w:val="0"/>
          <w:numId w:val="15"/>
        </w:numPr>
      </w:pPr>
      <w:r>
        <w:t>la différence de température appliquée entre l'entrée et la sortie de la SGV test.</w:t>
      </w:r>
    </w:p>
    <w:p w14:paraId="13A653C4" w14:textId="77777777" w:rsidR="00566319" w:rsidRDefault="00566319" w:rsidP="00566319">
      <w:pPr>
        <w:widowControl w:val="0"/>
      </w:pPr>
      <w:r>
        <w:t>Le rapport doit présenter l'évolution des paramètres du test sur la durée de celui-ci, afin de pouvoir juger de la stabilité de la puissance effectivement injectée.</w:t>
      </w:r>
    </w:p>
    <w:p w14:paraId="6EE8424B" w14:textId="77777777" w:rsidR="00566319" w:rsidRDefault="00566319" w:rsidP="00566319">
      <w:pPr>
        <w:widowControl w:val="0"/>
        <w:rPr>
          <w:rFonts w:ascii="Times New Roman" w:hAnsi="Times New Roman"/>
        </w:rPr>
      </w:pPr>
    </w:p>
    <w:p w14:paraId="5F442B02" w14:textId="77777777" w:rsidR="00566319" w:rsidRDefault="00566319" w:rsidP="00061972">
      <w:pPr>
        <w:pStyle w:val="Titre2"/>
        <w:numPr>
          <w:ilvl w:val="1"/>
          <w:numId w:val="7"/>
        </w:numPr>
        <w:spacing w:before="0"/>
      </w:pPr>
      <w:bookmarkStart w:id="45" w:name="_Toc33437942"/>
      <w:r>
        <w:t>Courbes obtenues</w:t>
      </w:r>
      <w:bookmarkEnd w:id="45"/>
    </w:p>
    <w:p w14:paraId="5532DDFE" w14:textId="77777777" w:rsidR="00566319" w:rsidRDefault="00566319" w:rsidP="00566319">
      <w:pPr>
        <w:widowControl w:val="0"/>
      </w:pPr>
      <w:r>
        <w:t>Le rapport doit présenter les courbes des régimes de température obtenus pendant le test :</w:t>
      </w:r>
    </w:p>
    <w:p w14:paraId="1B7B3331" w14:textId="77777777" w:rsidR="00566319" w:rsidRDefault="00566319" w:rsidP="00061972">
      <w:pPr>
        <w:widowControl w:val="0"/>
        <w:numPr>
          <w:ilvl w:val="0"/>
          <w:numId w:val="16"/>
        </w:numPr>
      </w:pPr>
      <w:r>
        <w:t>la température en entrée et sortie de SGV en fonction du temps ;</w:t>
      </w:r>
    </w:p>
    <w:p w14:paraId="60679113" w14:textId="77777777" w:rsidR="00566319" w:rsidRDefault="00566319" w:rsidP="00061972">
      <w:pPr>
        <w:widowControl w:val="0"/>
        <w:numPr>
          <w:ilvl w:val="0"/>
          <w:numId w:val="16"/>
        </w:numPr>
      </w:pPr>
      <w:r>
        <w:t>la température moyenne du fluide en fonction du logarithme népérien du temps (ln(t)) sur la durée servant au calcul de la conductivité ;</w:t>
      </w:r>
    </w:p>
    <w:p w14:paraId="0035818A" w14:textId="77777777" w:rsidR="00566319" w:rsidRDefault="00566319" w:rsidP="00061972">
      <w:pPr>
        <w:widowControl w:val="0"/>
        <w:numPr>
          <w:ilvl w:val="0"/>
          <w:numId w:val="16"/>
        </w:numPr>
      </w:pPr>
      <w:r>
        <w:t>la régression linéaire obtenue sur la température moyenne en fonction du logarithme népérien du temps sur la durée servant au calcul de la conductivité, avec indication du coefficient de détermination R</w:t>
      </w:r>
      <w:r w:rsidRPr="0098421F">
        <w:rPr>
          <w:vertAlign w:val="superscript"/>
        </w:rPr>
        <w:t>2</w:t>
      </w:r>
      <w:r>
        <w:t>.</w:t>
      </w:r>
    </w:p>
    <w:p w14:paraId="1FB7335F" w14:textId="77777777" w:rsidR="00566319" w:rsidRDefault="00566319" w:rsidP="00566319">
      <w:pPr>
        <w:widowControl w:val="0"/>
        <w:rPr>
          <w:rFonts w:ascii="Times New Roman" w:hAnsi="Times New Roman"/>
        </w:rPr>
      </w:pPr>
    </w:p>
    <w:p w14:paraId="523A8BBE" w14:textId="77777777" w:rsidR="00566319" w:rsidRDefault="00566319" w:rsidP="00061972">
      <w:pPr>
        <w:pStyle w:val="Titre2"/>
        <w:numPr>
          <w:ilvl w:val="1"/>
          <w:numId w:val="7"/>
        </w:numPr>
        <w:spacing w:before="0"/>
      </w:pPr>
      <w:bookmarkStart w:id="46" w:name="_Toc33437943"/>
      <w:r>
        <w:t>Résultats</w:t>
      </w:r>
      <w:bookmarkEnd w:id="46"/>
    </w:p>
    <w:p w14:paraId="2B0FE426" w14:textId="77777777" w:rsidR="00566319" w:rsidRDefault="00566319" w:rsidP="00566319">
      <w:pPr>
        <w:widowControl w:val="0"/>
      </w:pPr>
      <w:r>
        <w:t>Le rapport doit présenter :</w:t>
      </w:r>
    </w:p>
    <w:p w14:paraId="1BB03D67" w14:textId="77777777" w:rsidR="00566319" w:rsidRDefault="00566319" w:rsidP="00061972">
      <w:pPr>
        <w:widowControl w:val="0"/>
        <w:numPr>
          <w:ilvl w:val="0"/>
          <w:numId w:val="17"/>
        </w:numPr>
      </w:pPr>
      <w:r>
        <w:t>La température stabilisée du sol relevée, précisant le type de mesure (gradient thermique ou circulation)</w:t>
      </w:r>
    </w:p>
    <w:p w14:paraId="533069B7" w14:textId="77777777" w:rsidR="00566319" w:rsidRDefault="00566319" w:rsidP="00061972">
      <w:pPr>
        <w:widowControl w:val="0"/>
        <w:numPr>
          <w:ilvl w:val="0"/>
          <w:numId w:val="17"/>
        </w:numPr>
      </w:pPr>
      <w:r>
        <w:t>La capacité calorifique estimée ainsi que les fourchettes de conductivité thermique tirées des abaques pour le type de lithologie identifiée à partir de la coupe géologique</w:t>
      </w:r>
    </w:p>
    <w:p w14:paraId="03546E65" w14:textId="77777777" w:rsidR="00566319" w:rsidRDefault="00566319" w:rsidP="00061972">
      <w:pPr>
        <w:widowControl w:val="0"/>
        <w:numPr>
          <w:ilvl w:val="0"/>
          <w:numId w:val="17"/>
        </w:numPr>
      </w:pPr>
      <w:r>
        <w:t>La conductivité thermique calculée sur la base de la régression linéaire obtenue</w:t>
      </w:r>
    </w:p>
    <w:p w14:paraId="591BD528" w14:textId="77777777" w:rsidR="00566319" w:rsidRDefault="00566319" w:rsidP="00061972">
      <w:pPr>
        <w:widowControl w:val="0"/>
        <w:numPr>
          <w:ilvl w:val="0"/>
          <w:numId w:val="17"/>
        </w:numPr>
      </w:pPr>
      <w:r>
        <w:t>La résistance thermique de la SGV obtenue</w:t>
      </w:r>
    </w:p>
    <w:p w14:paraId="1BCD4FC7" w14:textId="77777777" w:rsidR="00566319" w:rsidRDefault="00566319" w:rsidP="00566319">
      <w:r>
        <w:t xml:space="preserve">Le rapport doit présenter en outre la valeur obtenue pour : </w:t>
      </w:r>
      <m:oMath>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min</m:t>
                </m:r>
              </m:sub>
            </m:sSub>
            <m:sSub>
              <m:sSubPr>
                <m:ctrlPr>
                  <w:rPr>
                    <w:rFonts w:ascii="Cambria Math" w:hAnsi="Cambria Math"/>
                  </w:rPr>
                </m:ctrlPr>
              </m:sSubPr>
              <m:e>
                <m:r>
                  <w:rPr>
                    <w:rFonts w:ascii="Cambria Math" w:hAnsi="Cambria Math"/>
                  </w:rPr>
                  <m:t>a</m:t>
                </m:r>
              </m:e>
              <m:sub>
                <m:r>
                  <w:rPr>
                    <w:rFonts w:ascii="Cambria Math" w:hAnsi="Cambria Math"/>
                  </w:rPr>
                  <m:t>m</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f</m:t>
                    </m:r>
                  </m:sub>
                </m:sSub>
              </m:e>
              <m:sup>
                <m:r>
                  <w:rPr>
                    <w:rFonts w:ascii="Cambria Math" w:hAnsi="Cambria Math"/>
                  </w:rPr>
                  <m:t>2</m:t>
                </m:r>
              </m:sup>
            </m:sSup>
          </m:den>
        </m:f>
      </m:oMath>
      <w:r>
        <w:t xml:space="preserve"> (cf équation 3 du chapitre 3)</w:t>
      </w:r>
    </w:p>
    <w:p w14:paraId="2E7A5385" w14:textId="77777777" w:rsidR="00566319" w:rsidRDefault="00566319" w:rsidP="00566319">
      <w:pPr>
        <w:widowControl w:val="0"/>
      </w:pPr>
    </w:p>
    <w:p w14:paraId="25E2E112" w14:textId="77777777" w:rsidR="00566319" w:rsidRDefault="00566319" w:rsidP="00061972">
      <w:pPr>
        <w:pStyle w:val="Titre2"/>
        <w:numPr>
          <w:ilvl w:val="1"/>
          <w:numId w:val="7"/>
        </w:numPr>
        <w:spacing w:before="0"/>
      </w:pPr>
      <w:bookmarkStart w:id="47" w:name="_Toc429412046"/>
      <w:bookmarkStart w:id="48" w:name="_Toc429411421"/>
      <w:bookmarkStart w:id="49" w:name="_Toc33437944"/>
      <w:bookmarkEnd w:id="47"/>
      <w:bookmarkEnd w:id="48"/>
      <w:r>
        <w:t>Interprétation</w:t>
      </w:r>
      <w:bookmarkEnd w:id="49"/>
    </w:p>
    <w:p w14:paraId="0BE13B85" w14:textId="77777777" w:rsidR="00566319" w:rsidRDefault="00566319" w:rsidP="00566319">
      <w:pPr>
        <w:widowControl w:val="0"/>
      </w:pPr>
      <w:r>
        <w:t>Lorsque cela est nécessaire, le rapport doit tenter d’apporter des éléments de réponse permettant d’expliquer :</w:t>
      </w:r>
    </w:p>
    <w:p w14:paraId="5AB517D6" w14:textId="77777777" w:rsidR="00566319" w:rsidRDefault="00566319" w:rsidP="00061972">
      <w:pPr>
        <w:widowControl w:val="0"/>
        <w:numPr>
          <w:ilvl w:val="0"/>
          <w:numId w:val="18"/>
        </w:numPr>
      </w:pPr>
      <w:r>
        <w:t xml:space="preserve">Une conductivité anormalement élevée ou anormalement faible pour la géologie rencontrée </w:t>
      </w:r>
    </w:p>
    <w:p w14:paraId="70604142" w14:textId="77777777" w:rsidR="00566319" w:rsidRDefault="00566319" w:rsidP="00061972">
      <w:pPr>
        <w:widowControl w:val="0"/>
        <w:numPr>
          <w:ilvl w:val="0"/>
          <w:numId w:val="18"/>
        </w:numPr>
      </w:pPr>
      <w:r>
        <w:t xml:space="preserve">Une résistance de SGV anormalement élevée ou anormalement faible pour le type de SGV </w:t>
      </w:r>
      <w:r>
        <w:lastRenderedPageBreak/>
        <w:t>utilisée</w:t>
      </w:r>
    </w:p>
    <w:p w14:paraId="37B47CFC" w14:textId="77777777" w:rsidR="00566319" w:rsidRDefault="00566319" w:rsidP="00061972">
      <w:pPr>
        <w:pStyle w:val="Titre2"/>
        <w:numPr>
          <w:ilvl w:val="1"/>
          <w:numId w:val="7"/>
        </w:numPr>
        <w:spacing w:before="0"/>
      </w:pPr>
      <w:bookmarkStart w:id="50" w:name="_Toc4323658041"/>
      <w:bookmarkStart w:id="51" w:name="_Toc33437945"/>
      <w:r>
        <w:t>S</w:t>
      </w:r>
      <w:bookmarkEnd w:id="50"/>
      <w:r>
        <w:t>uites à donner</w:t>
      </w:r>
      <w:bookmarkEnd w:id="51"/>
    </w:p>
    <w:p w14:paraId="222B9AB4" w14:textId="77777777" w:rsidR="00566319" w:rsidRPr="007537B8" w:rsidRDefault="00566319" w:rsidP="00566319">
      <w:pPr>
        <w:widowControl w:val="0"/>
      </w:pPr>
      <w:r w:rsidRPr="007537B8">
        <w:t>Le rapport doit indiquer la façon dont ces données théoriques peuvent être utilisées pour optimiser le dimensionnement de la longueur de sondes à poser. Ceci passe généralement par :</w:t>
      </w:r>
    </w:p>
    <w:p w14:paraId="7DDAA5FB" w14:textId="77777777" w:rsidR="00566319" w:rsidRPr="007537B8" w:rsidRDefault="00566319" w:rsidP="00061972">
      <w:pPr>
        <w:numPr>
          <w:ilvl w:val="0"/>
          <w:numId w:val="8"/>
        </w:numPr>
      </w:pPr>
      <w:r w:rsidRPr="007537B8">
        <w:t>une simulation dynamique simplifiée des besoins thermiques en surface ;</w:t>
      </w:r>
    </w:p>
    <w:p w14:paraId="481E9009" w14:textId="77777777" w:rsidR="00566319" w:rsidRPr="007537B8" w:rsidRDefault="00566319" w:rsidP="00061972">
      <w:pPr>
        <w:numPr>
          <w:ilvl w:val="0"/>
          <w:numId w:val="8"/>
        </w:numPr>
      </w:pPr>
      <w:r w:rsidRPr="007537B8">
        <w:t>une méthodologie justifiée permettant de transcrire ces besoins thermiques dynamiques en besoins géothermiques dynamique</w:t>
      </w:r>
      <w:r>
        <w:t>s</w:t>
      </w:r>
      <w:r w:rsidRPr="007537B8">
        <w:t> ;</w:t>
      </w:r>
    </w:p>
    <w:p w14:paraId="57887ADE" w14:textId="77777777" w:rsidR="00566319" w:rsidRPr="007537B8" w:rsidRDefault="00566319" w:rsidP="00061972">
      <w:pPr>
        <w:numPr>
          <w:ilvl w:val="0"/>
          <w:numId w:val="8"/>
        </w:numPr>
      </w:pPr>
      <w:r w:rsidRPr="007537B8">
        <w:t>une simulation de l’évolution des températures dans le sous-sol, sur une durée type de 15 ans ;</w:t>
      </w:r>
      <w:r>
        <w:t xml:space="preserve"> </w:t>
      </w:r>
      <w:r w:rsidRPr="007537B8">
        <w:t>cette durée peut être plus élevée lorsque la simulation ne repose pas sur un modèle de type « source infinie », généralement inadéquat pour décrire une évolution à plus long terme</w:t>
      </w:r>
      <w:r>
        <w:t> ;</w:t>
      </w:r>
    </w:p>
    <w:p w14:paraId="29DE6912" w14:textId="77777777" w:rsidR="00566319" w:rsidRPr="007537B8" w:rsidRDefault="00566319" w:rsidP="00061972">
      <w:pPr>
        <w:numPr>
          <w:ilvl w:val="0"/>
          <w:numId w:val="8"/>
        </w:numPr>
      </w:pPr>
      <w:r w:rsidRPr="007537B8">
        <w:t>une conclusion sur la longueur totale de sondes à poser et sur l’espacement à respecter, accompagnée des ratios géothermiques en W/m et en (kWh/an)/m.</w:t>
      </w:r>
    </w:p>
    <w:p w14:paraId="5471A9E2" w14:textId="77777777" w:rsidR="00566319" w:rsidRDefault="00566319" w:rsidP="00566319">
      <w:pPr>
        <w:widowControl w:val="0"/>
        <w:rPr>
          <w:rFonts w:ascii="Times New Roman" w:hAnsi="Times New Roman"/>
          <w:color w:val="000000"/>
          <w:spacing w:val="-1"/>
          <w:sz w:val="27"/>
          <w:szCs w:val="27"/>
        </w:rPr>
      </w:pPr>
    </w:p>
    <w:p w14:paraId="278F34D8" w14:textId="77777777" w:rsidR="00566319" w:rsidRDefault="00566319" w:rsidP="00566319">
      <w:pPr>
        <w:widowControl w:val="0"/>
        <w:spacing w:after="200" w:line="276" w:lineRule="auto"/>
        <w:jc w:val="left"/>
        <w:rPr>
          <w:rFonts w:ascii="Times New Roman" w:hAnsi="Times New Roman"/>
          <w:color w:val="000000"/>
          <w:spacing w:val="-1"/>
          <w:sz w:val="27"/>
          <w:szCs w:val="27"/>
        </w:rPr>
      </w:pPr>
    </w:p>
    <w:p w14:paraId="3BEB11F8" w14:textId="5DEB8CF5" w:rsidR="00566319" w:rsidRDefault="00566319" w:rsidP="00061972">
      <w:pPr>
        <w:pStyle w:val="Titre1"/>
        <w:numPr>
          <w:ilvl w:val="0"/>
          <w:numId w:val="7"/>
        </w:numPr>
      </w:pPr>
      <w:bookmarkStart w:id="52" w:name="_Toc426114742"/>
      <w:bookmarkStart w:id="53" w:name="_Toc426114737"/>
      <w:bookmarkStart w:id="54" w:name="_Toc426114704"/>
      <w:bookmarkStart w:id="55" w:name="_Toc426114651"/>
      <w:bookmarkStart w:id="56" w:name="_Toc426114645"/>
      <w:bookmarkStart w:id="57" w:name="_Toc426114640"/>
      <w:bookmarkStart w:id="58" w:name="_Toc426114639"/>
      <w:bookmarkStart w:id="59" w:name="_Toc426114635"/>
      <w:bookmarkStart w:id="60" w:name="_Toc426114633"/>
      <w:bookmarkStart w:id="61" w:name="_Toc426114631"/>
      <w:bookmarkStart w:id="62" w:name="_Toc426114629"/>
      <w:bookmarkStart w:id="63" w:name="_Toc426114627"/>
      <w:bookmarkStart w:id="64" w:name="_Toc426114625"/>
      <w:bookmarkStart w:id="65" w:name="_Toc426114623"/>
      <w:bookmarkStart w:id="66" w:name="_Toc426114621"/>
      <w:bookmarkStart w:id="67" w:name="_Toc426114619"/>
      <w:bookmarkStart w:id="68" w:name="_Toc426114617"/>
      <w:bookmarkStart w:id="69" w:name="_Toc426114615"/>
      <w:bookmarkStart w:id="70" w:name="_Toc426114613"/>
      <w:bookmarkStart w:id="71" w:name="_Toc426114611"/>
      <w:bookmarkStart w:id="72" w:name="_Toc426114608"/>
      <w:bookmarkStart w:id="73" w:name="_Toc426114607"/>
      <w:bookmarkStart w:id="74" w:name="_Toc426114606"/>
      <w:bookmarkStart w:id="75" w:name="_Toc426114605"/>
      <w:bookmarkStart w:id="76" w:name="_Toc426114600"/>
      <w:bookmarkStart w:id="77" w:name="_Toc426114596"/>
      <w:bookmarkStart w:id="78" w:name="_Toc426114584"/>
      <w:bookmarkStart w:id="79" w:name="_Toc426114582"/>
      <w:bookmarkStart w:id="80" w:name="_Toc426114570"/>
      <w:bookmarkStart w:id="81" w:name="_Toc426114569"/>
      <w:bookmarkStart w:id="82" w:name="_Toc426114567"/>
      <w:bookmarkStart w:id="83" w:name="_Toc426114566"/>
      <w:bookmarkStart w:id="84" w:name="_Toc426114564"/>
      <w:bookmarkStart w:id="85" w:name="_Toc426114558"/>
      <w:bookmarkStart w:id="86" w:name="_Toc426114556"/>
      <w:bookmarkStart w:id="87" w:name="_Toc426114552"/>
      <w:bookmarkStart w:id="88" w:name="_Toc426114550"/>
      <w:bookmarkStart w:id="89" w:name="_Toc333570694"/>
      <w:bookmarkStart w:id="90" w:name="_Toc314086851"/>
      <w:bookmarkStart w:id="91" w:name="_Toc3343794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t xml:space="preserve">COMITE DE </w:t>
      </w:r>
      <w:bookmarkEnd w:id="91"/>
      <w:r w:rsidR="00613976">
        <w:t>suivi</w:t>
      </w:r>
    </w:p>
    <w:p w14:paraId="441D2638" w14:textId="77777777" w:rsidR="00566319" w:rsidRDefault="00566319" w:rsidP="00566319">
      <w:pPr>
        <w:framePr w:w="241" w:h="276" w:hRule="exact" w:wrap="auto" w:vAnchor="page" w:hAnchor="page" w:x="13285" w:y="19739"/>
        <w:widowControl w:val="0"/>
      </w:pPr>
      <w:r>
        <w:rPr>
          <w:rFonts w:ascii="Times New Roman" w:hAnsi="Times New Roman"/>
          <w:color w:val="000000"/>
          <w:spacing w:val="-1"/>
        </w:rPr>
        <w:t>35</w:t>
      </w:r>
    </w:p>
    <w:p w14:paraId="2D5004FE" w14:textId="7D93DB91" w:rsidR="00566319" w:rsidRDefault="00566319" w:rsidP="00566319">
      <w:r>
        <w:t xml:space="preserve">Les travaux relatifs à la réalisation du TRT, ses résultats et leur interprétation seront suivis par un comité de </w:t>
      </w:r>
      <w:r w:rsidR="00613976">
        <w:t>suivi</w:t>
      </w:r>
      <w:r>
        <w:t xml:space="preserve"> chargé d’orienter et de valider les démarches du bureau d’études. Il sera constitué :</w:t>
      </w:r>
    </w:p>
    <w:p w14:paraId="71DC4529" w14:textId="77777777" w:rsidR="00566319" w:rsidRDefault="00566319" w:rsidP="00061972">
      <w:pPr>
        <w:numPr>
          <w:ilvl w:val="0"/>
          <w:numId w:val="8"/>
        </w:numPr>
      </w:pPr>
      <w:r>
        <w:t>du maître d’ouvrage,</w:t>
      </w:r>
    </w:p>
    <w:p w14:paraId="2A561B46" w14:textId="77777777" w:rsidR="00566319" w:rsidRDefault="00566319" w:rsidP="00061972">
      <w:pPr>
        <w:numPr>
          <w:ilvl w:val="0"/>
          <w:numId w:val="8"/>
        </w:numPr>
      </w:pPr>
      <w:r>
        <w:t>d’un représentant de la direction régionale de l’Agence de l’Environnement et de la Maîtrise de l’Energie (ADEME),</w:t>
      </w:r>
    </w:p>
    <w:p w14:paraId="44611D21" w14:textId="77777777" w:rsidR="00566319" w:rsidRDefault="00566319" w:rsidP="00061972">
      <w:pPr>
        <w:numPr>
          <w:ilvl w:val="0"/>
          <w:numId w:val="8"/>
        </w:numPr>
      </w:pPr>
      <w:r>
        <w:t>d’un représentant du porteur de projet dans le cadre de l’étude de faisabilité exclusivement (2nde partie),</w:t>
      </w:r>
    </w:p>
    <w:p w14:paraId="5CA74684" w14:textId="77777777" w:rsidR="00566319" w:rsidRDefault="00566319" w:rsidP="00061972">
      <w:pPr>
        <w:numPr>
          <w:ilvl w:val="0"/>
          <w:numId w:val="8"/>
        </w:numPr>
      </w:pPr>
      <w:r>
        <w:t>et de toute autre personne ou entité jugée utile par le maître d’ouvrage.</w:t>
      </w:r>
    </w:p>
    <w:p w14:paraId="18491364" w14:textId="77777777" w:rsidR="00566319" w:rsidRDefault="00566319" w:rsidP="00566319">
      <w:pPr>
        <w:ind w:left="720"/>
      </w:pPr>
    </w:p>
    <w:p w14:paraId="4679AA36" w14:textId="77777777" w:rsidR="00566319" w:rsidRDefault="00566319" w:rsidP="00566319"/>
    <w:p w14:paraId="4483AD03" w14:textId="77777777" w:rsidR="00566319" w:rsidRDefault="00566319" w:rsidP="00566319"/>
    <w:p w14:paraId="0A912C4D" w14:textId="77777777" w:rsidR="00566319" w:rsidRDefault="00566319" w:rsidP="00061972">
      <w:pPr>
        <w:pStyle w:val="Titre1"/>
        <w:numPr>
          <w:ilvl w:val="0"/>
          <w:numId w:val="7"/>
        </w:numPr>
      </w:pPr>
      <w:bookmarkStart w:id="92" w:name="_Toc333570695"/>
      <w:bookmarkStart w:id="93" w:name="_Toc314086852"/>
      <w:bookmarkStart w:id="94" w:name="_Toc33437947"/>
      <w:bookmarkEnd w:id="92"/>
      <w:bookmarkEnd w:id="93"/>
      <w:r>
        <w:t>REUNIONS</w:t>
      </w:r>
      <w:bookmarkEnd w:id="94"/>
    </w:p>
    <w:p w14:paraId="7E5D4223" w14:textId="4E15D4C6" w:rsidR="00566319" w:rsidRDefault="00566319" w:rsidP="00566319">
      <w:r>
        <w:t xml:space="preserve">Dès signature du contrat, le prestataire retenu présentera au comité de </w:t>
      </w:r>
      <w:r w:rsidR="00613976">
        <w:t>suivi</w:t>
      </w:r>
      <w:r>
        <w:t xml:space="preserve"> lors d’une première réunion, son organisme, ses co-traitants et sous-traitants éventuels, les moyens affectés au test, la méthodologie envisagée et le temps consacré à l’étude.</w:t>
      </w:r>
    </w:p>
    <w:p w14:paraId="5ABF3372" w14:textId="41D9D905" w:rsidR="00566319" w:rsidRDefault="00566319" w:rsidP="00566319">
      <w:r>
        <w:t xml:space="preserve">Il est à prévoir ensuite une réunion de restitution avec le comité de </w:t>
      </w:r>
      <w:r w:rsidR="00613976">
        <w:t>suivi</w:t>
      </w:r>
      <w:r>
        <w:t>.</w:t>
      </w:r>
    </w:p>
    <w:p w14:paraId="74258AA1" w14:textId="77777777" w:rsidR="00566319" w:rsidRDefault="00566319" w:rsidP="00566319"/>
    <w:p w14:paraId="5F444A1B" w14:textId="77777777" w:rsidR="00566319" w:rsidRDefault="00566319" w:rsidP="00566319"/>
    <w:p w14:paraId="59DBE551" w14:textId="77777777" w:rsidR="00566319" w:rsidRDefault="00566319" w:rsidP="00566319"/>
    <w:p w14:paraId="63F949C3" w14:textId="77777777" w:rsidR="00566319" w:rsidRDefault="00566319" w:rsidP="00061972">
      <w:pPr>
        <w:pStyle w:val="Titre1"/>
        <w:numPr>
          <w:ilvl w:val="0"/>
          <w:numId w:val="7"/>
        </w:numPr>
      </w:pPr>
      <w:bookmarkStart w:id="95" w:name="_Toc333570696"/>
      <w:bookmarkStart w:id="96" w:name="_Toc314086853"/>
      <w:bookmarkStart w:id="97" w:name="_Toc33437948"/>
      <w:bookmarkEnd w:id="95"/>
      <w:bookmarkEnd w:id="96"/>
      <w:r>
        <w:t>DOCUMENTS</w:t>
      </w:r>
      <w:bookmarkEnd w:id="97"/>
    </w:p>
    <w:p w14:paraId="6D8FA8E9" w14:textId="77777777" w:rsidR="00566319" w:rsidRDefault="00566319" w:rsidP="00566319">
      <w:r>
        <w:t>Le bureau d’études remettra un rapport final en trois exemplaires dont un non relié et une fiche de synthèse.</w:t>
      </w:r>
    </w:p>
    <w:p w14:paraId="3B4FE223" w14:textId="77777777" w:rsidR="00566319" w:rsidRDefault="00566319" w:rsidP="00566319"/>
    <w:p w14:paraId="02A33D59" w14:textId="77777777" w:rsidR="00566319" w:rsidRDefault="00566319" w:rsidP="00566319"/>
    <w:p w14:paraId="4B7530A2" w14:textId="77777777" w:rsidR="00566319" w:rsidRDefault="00566319" w:rsidP="00566319"/>
    <w:p w14:paraId="69D7A49F" w14:textId="77777777" w:rsidR="00566319" w:rsidRDefault="00566319" w:rsidP="00061972">
      <w:pPr>
        <w:pStyle w:val="Titre1"/>
        <w:numPr>
          <w:ilvl w:val="0"/>
          <w:numId w:val="7"/>
        </w:numPr>
      </w:pPr>
      <w:bookmarkStart w:id="98" w:name="_Toc333570697"/>
      <w:bookmarkStart w:id="99" w:name="_Toc314086854"/>
      <w:bookmarkStart w:id="100" w:name="_Toc33437949"/>
      <w:bookmarkEnd w:id="98"/>
      <w:bookmarkEnd w:id="99"/>
      <w:r>
        <w:t>PROPRIETE DES RESULTATS</w:t>
      </w:r>
      <w:bookmarkEnd w:id="100"/>
    </w:p>
    <w:p w14:paraId="10D35C94" w14:textId="77777777" w:rsidR="00566319" w:rsidRDefault="00566319" w:rsidP="00566319">
      <w:r>
        <w:t>L’ensemble des résultats du rapport de TRT est la propriété du maître d’ouvrage.</w:t>
      </w:r>
    </w:p>
    <w:p w14:paraId="17935410" w14:textId="77777777" w:rsidR="00566319" w:rsidRDefault="00566319" w:rsidP="00566319"/>
    <w:p w14:paraId="0A0CA96E" w14:textId="77777777" w:rsidR="00566319" w:rsidRDefault="00566319" w:rsidP="00566319"/>
    <w:p w14:paraId="22CC9C9B" w14:textId="77777777" w:rsidR="00566319" w:rsidRDefault="00566319" w:rsidP="00566319"/>
    <w:p w14:paraId="1EA0B044" w14:textId="77777777" w:rsidR="00566319" w:rsidRDefault="00566319" w:rsidP="00061972">
      <w:pPr>
        <w:pStyle w:val="Titre1"/>
        <w:numPr>
          <w:ilvl w:val="0"/>
          <w:numId w:val="7"/>
        </w:numPr>
      </w:pPr>
      <w:bookmarkStart w:id="101" w:name="_Toc333570698"/>
      <w:bookmarkStart w:id="102" w:name="_Toc314086855"/>
      <w:bookmarkStart w:id="103" w:name="_Toc33437950"/>
      <w:bookmarkEnd w:id="101"/>
      <w:bookmarkEnd w:id="102"/>
      <w:r>
        <w:t>PRESTATAIRES D’ETUDES</w:t>
      </w:r>
      <w:bookmarkEnd w:id="103"/>
    </w:p>
    <w:p w14:paraId="1596DEE6" w14:textId="77777777" w:rsidR="00566319" w:rsidRDefault="00566319" w:rsidP="00566319">
      <w:r>
        <w:t>Le bureau d’études désignera une personne référente qui assurera les relations avec le maître d’ouvrage.</w:t>
      </w:r>
    </w:p>
    <w:p w14:paraId="57F1C7E3" w14:textId="77777777" w:rsidR="00566319" w:rsidRDefault="00566319" w:rsidP="00566319">
      <w:r>
        <w:t>En cas de sous-traitance, le bureau d’études aura à préciser les coordonnées, la fonction, les références de l’entreprise avec laquelle il souhaite travailler. L’aval du maître d’ouvrage est indispensable avant toute participation d’un sous-traitant.</w:t>
      </w:r>
    </w:p>
    <w:p w14:paraId="718E415A" w14:textId="77777777" w:rsidR="00566319" w:rsidRDefault="00566319" w:rsidP="00566319">
      <w:r>
        <w:t>Le bureau d’études précisera :</w:t>
      </w:r>
    </w:p>
    <w:p w14:paraId="796E1D7E" w14:textId="77777777" w:rsidR="00566319" w:rsidRDefault="00566319" w:rsidP="00061972">
      <w:pPr>
        <w:numPr>
          <w:ilvl w:val="0"/>
          <w:numId w:val="8"/>
        </w:numPr>
      </w:pPr>
      <w:r>
        <w:t xml:space="preserve">le nombre et la qualité des personnes mobilisées par l’étude, le temps prévisionnel passé par celles-ci pour l’étude en question, </w:t>
      </w:r>
    </w:p>
    <w:p w14:paraId="106E5819" w14:textId="77777777" w:rsidR="00566319" w:rsidRDefault="00566319" w:rsidP="00061972">
      <w:pPr>
        <w:numPr>
          <w:ilvl w:val="0"/>
          <w:numId w:val="8"/>
        </w:numPr>
      </w:pPr>
      <w:r>
        <w:t xml:space="preserve">les délais garantis de réalisation, ses prix de prestations </w:t>
      </w:r>
    </w:p>
    <w:p w14:paraId="74366B28" w14:textId="77777777" w:rsidR="00566319" w:rsidRDefault="00566319" w:rsidP="00061972">
      <w:pPr>
        <w:numPr>
          <w:ilvl w:val="0"/>
          <w:numId w:val="8"/>
        </w:numPr>
      </w:pPr>
      <w:r>
        <w:t>ses références dans des études similaires,</w:t>
      </w:r>
    </w:p>
    <w:p w14:paraId="66B9C096" w14:textId="77777777" w:rsidR="00566319" w:rsidRDefault="00566319" w:rsidP="00061972">
      <w:pPr>
        <w:numPr>
          <w:ilvl w:val="0"/>
          <w:numId w:val="8"/>
        </w:numPr>
      </w:pPr>
      <w:r>
        <w:t>ses qualification / certifications relatives à la prestation.</w:t>
      </w:r>
    </w:p>
    <w:p w14:paraId="7F1E196C" w14:textId="77777777" w:rsidR="00566319" w:rsidRDefault="00566319" w:rsidP="00566319">
      <w:pPr>
        <w:ind w:left="720"/>
      </w:pPr>
    </w:p>
    <w:p w14:paraId="40C249C2" w14:textId="77777777" w:rsidR="00566319" w:rsidRDefault="00566319" w:rsidP="00566319"/>
    <w:p w14:paraId="78946553" w14:textId="77777777" w:rsidR="00566319" w:rsidRDefault="00566319" w:rsidP="00566319"/>
    <w:p w14:paraId="700016CA" w14:textId="77777777" w:rsidR="00566319" w:rsidRDefault="00566319" w:rsidP="00061972">
      <w:pPr>
        <w:pStyle w:val="Titre1"/>
        <w:numPr>
          <w:ilvl w:val="0"/>
          <w:numId w:val="7"/>
        </w:numPr>
      </w:pPr>
      <w:bookmarkStart w:id="104" w:name="_Toc333570699"/>
      <w:bookmarkStart w:id="105" w:name="_Toc314086856"/>
      <w:bookmarkStart w:id="106" w:name="_Toc33437951"/>
      <w:bookmarkEnd w:id="104"/>
      <w:bookmarkEnd w:id="105"/>
      <w:r>
        <w:t>DELAIS DE REALISATION</w:t>
      </w:r>
      <w:bookmarkEnd w:id="106"/>
    </w:p>
    <w:p w14:paraId="4E77241D" w14:textId="11798110" w:rsidR="00566319" w:rsidRDefault="00566319" w:rsidP="00566319">
      <w:r>
        <w:t xml:space="preserve">Le bureau d’études devra se conformer aux délais annoncés au comité de </w:t>
      </w:r>
      <w:r w:rsidR="00613976">
        <w:t>suivi</w:t>
      </w:r>
      <w:r>
        <w:t xml:space="preserve"> lors de l’établissement de son devis.</w:t>
      </w:r>
    </w:p>
    <w:p w14:paraId="4BB1598E" w14:textId="77777777" w:rsidR="00566319" w:rsidRDefault="00566319" w:rsidP="00566319">
      <w:r>
        <w:t>Tout écart devra être préalablement autorisé par le maître d’ouvrage.</w:t>
      </w:r>
    </w:p>
    <w:p w14:paraId="6DC58170" w14:textId="77777777" w:rsidR="00566319" w:rsidRDefault="00566319" w:rsidP="00566319"/>
    <w:p w14:paraId="4D039242" w14:textId="77777777" w:rsidR="00566319" w:rsidRDefault="00566319" w:rsidP="00566319"/>
    <w:p w14:paraId="1D0ECF76" w14:textId="77777777" w:rsidR="00566319" w:rsidRDefault="00566319" w:rsidP="00566319"/>
    <w:p w14:paraId="5C39A168" w14:textId="77777777" w:rsidR="00566319" w:rsidRDefault="00566319" w:rsidP="00061972">
      <w:pPr>
        <w:pStyle w:val="Titre1"/>
        <w:numPr>
          <w:ilvl w:val="0"/>
          <w:numId w:val="7"/>
        </w:numPr>
      </w:pPr>
      <w:bookmarkStart w:id="107" w:name="_Toc334109630"/>
      <w:bookmarkStart w:id="108" w:name="_Toc334000235"/>
      <w:bookmarkStart w:id="109" w:name="_Toc333420693"/>
      <w:bookmarkStart w:id="110" w:name="_Toc33437952"/>
      <w:bookmarkEnd w:id="107"/>
      <w:bookmarkEnd w:id="108"/>
      <w:bookmarkEnd w:id="109"/>
      <w:r>
        <w:t>RESTITUTION ET CONFIDENTIALITE</w:t>
      </w:r>
      <w:bookmarkEnd w:id="110"/>
    </w:p>
    <w:p w14:paraId="29F1EDD2" w14:textId="050CF8F8" w:rsidR="00566319" w:rsidRDefault="00566319" w:rsidP="00566319">
      <w:r>
        <w:t xml:space="preserve">A l’issue de la mission, le prestataire transmet le résultat de l’étude par l’utilisation du portail Internet </w:t>
      </w:r>
      <w:r w:rsidR="00613976">
        <w:rPr>
          <w:b/>
        </w:rPr>
        <w:t xml:space="preserve">AgirPourLaTransition </w:t>
      </w:r>
      <w:r>
        <w:t>comprenant :</w:t>
      </w:r>
    </w:p>
    <w:p w14:paraId="413D5F5D" w14:textId="77777777" w:rsidR="00566319" w:rsidRDefault="00566319" w:rsidP="00061972">
      <w:pPr>
        <w:numPr>
          <w:ilvl w:val="0"/>
          <w:numId w:val="9"/>
        </w:numPr>
      </w:pPr>
      <w:r>
        <w:t>Le rapport final d’étude</w:t>
      </w:r>
    </w:p>
    <w:p w14:paraId="6A8056F6" w14:textId="77777777" w:rsidR="00566319" w:rsidRDefault="00566319" w:rsidP="00061972">
      <w:pPr>
        <w:numPr>
          <w:ilvl w:val="0"/>
          <w:numId w:val="9"/>
        </w:numPr>
      </w:pPr>
      <w:r>
        <w:t>Une fiche de synthèse (figurant en annexe 2 du présent cahier des charges).</w:t>
      </w:r>
    </w:p>
    <w:p w14:paraId="589515F3" w14:textId="77777777" w:rsidR="00566319" w:rsidRDefault="00566319" w:rsidP="00566319">
      <w:r>
        <w:rPr>
          <w:rFonts w:ascii="Wingdings" w:eastAsia="Wingdings" w:hAnsi="Wingdings" w:cs="Wingdings"/>
        </w:rPr>
        <w:t></w:t>
      </w:r>
      <w:r>
        <w:t xml:space="preserve"> cf. « Préambule – Le suivi technique de l’ADEME »</w:t>
      </w:r>
    </w:p>
    <w:p w14:paraId="6A77EB68" w14:textId="77777777" w:rsidR="00566319" w:rsidRDefault="00566319" w:rsidP="00566319">
      <w:r>
        <w:t>La confidentialité de ces informations est garantie par l’utilisation des codes d’accès délivrés par l’ADEME qui vous sont strictement personnels.</w:t>
      </w:r>
    </w:p>
    <w:p w14:paraId="158EF6B6" w14:textId="77777777" w:rsidR="00566319" w:rsidRDefault="00566319" w:rsidP="00566319">
      <w:r>
        <w:t xml:space="preserve">Sauf désaccord écrit du maître d’ouvrage, les résultats issus du TRT pourront servir à enrichir les connaissances du sous-sol et être mis en ligne (de manière anonyme) sur l’espace cartographique </w:t>
      </w:r>
      <w:r w:rsidR="00033FDB">
        <w:t>du site géothermies (</w:t>
      </w:r>
      <w:hyperlink r:id="rId21" w:history="1">
        <w:r w:rsidR="00033FDB" w:rsidRPr="00A2516D">
          <w:rPr>
            <w:rStyle w:val="Lienhypertexte"/>
          </w:rPr>
          <w:t>www.geothermies.fr</w:t>
        </w:r>
      </w:hyperlink>
      <w:r w:rsidR="00033FDB">
        <w:t>).</w:t>
      </w:r>
    </w:p>
    <w:p w14:paraId="289B563F" w14:textId="77777777" w:rsidR="00566319" w:rsidRDefault="00566319" w:rsidP="00566319"/>
    <w:p w14:paraId="6A487637" w14:textId="77777777" w:rsidR="00566319" w:rsidRDefault="00566319" w:rsidP="00566319"/>
    <w:p w14:paraId="78EC192F" w14:textId="77777777" w:rsidR="00566319" w:rsidRDefault="00566319" w:rsidP="00061972">
      <w:pPr>
        <w:pStyle w:val="Titre1"/>
        <w:numPr>
          <w:ilvl w:val="0"/>
          <w:numId w:val="7"/>
        </w:numPr>
      </w:pPr>
      <w:bookmarkStart w:id="111" w:name="_Toc334109631"/>
      <w:bookmarkStart w:id="112" w:name="_Toc334000236"/>
      <w:bookmarkStart w:id="113" w:name="_Toc333420694"/>
      <w:bookmarkStart w:id="114" w:name="_Toc284495310"/>
      <w:bookmarkStart w:id="115" w:name="_Toc33437953"/>
      <w:bookmarkEnd w:id="111"/>
      <w:bookmarkEnd w:id="112"/>
      <w:bookmarkEnd w:id="113"/>
      <w:bookmarkEnd w:id="114"/>
      <w:r>
        <w:t>COÛT DE LA MISSION</w:t>
      </w:r>
      <w:bookmarkEnd w:id="115"/>
    </w:p>
    <w:p w14:paraId="148F0DEC" w14:textId="77777777" w:rsidR="00566319" w:rsidRDefault="00566319" w:rsidP="00566319">
      <w:r>
        <w:t>Le prestataire établira un devis détaillé correspondant au coût de la prestation dans son ensemble, faisant apparaître le nombre de journées de travail, les coûts journaliers du ou des intervenants ainsi que les frais annexes.</w:t>
      </w:r>
    </w:p>
    <w:p w14:paraId="4F15D54D" w14:textId="77777777" w:rsidR="00566319" w:rsidRDefault="00566319" w:rsidP="00566319">
      <w:r>
        <w:t>Le montant ainsi proposé inclura au minimum l’ensemble de la prestation telle que définie dans le présent cahier des charges.</w:t>
      </w:r>
    </w:p>
    <w:p w14:paraId="13A4B827" w14:textId="77777777" w:rsidR="00566319" w:rsidRDefault="00566319" w:rsidP="00566319"/>
    <w:p w14:paraId="31396717" w14:textId="77777777" w:rsidR="00566319" w:rsidRDefault="00566319" w:rsidP="00566319"/>
    <w:p w14:paraId="0234BCAB" w14:textId="77777777" w:rsidR="00566319" w:rsidRDefault="00566319" w:rsidP="00566319"/>
    <w:p w14:paraId="3C36A165" w14:textId="77777777" w:rsidR="00566319" w:rsidRDefault="00566319" w:rsidP="00061972">
      <w:pPr>
        <w:pStyle w:val="Titre1"/>
        <w:numPr>
          <w:ilvl w:val="0"/>
          <w:numId w:val="7"/>
        </w:numPr>
      </w:pPr>
      <w:bookmarkStart w:id="116" w:name="_Toc334109632"/>
      <w:bookmarkStart w:id="117" w:name="_Toc334000237"/>
      <w:bookmarkStart w:id="118" w:name="_Toc333420695"/>
      <w:bookmarkStart w:id="119" w:name="_Toc284495311"/>
      <w:bookmarkStart w:id="120" w:name="_Toc33437954"/>
      <w:bookmarkEnd w:id="116"/>
      <w:bookmarkEnd w:id="117"/>
      <w:bookmarkEnd w:id="118"/>
      <w:bookmarkEnd w:id="119"/>
      <w:r>
        <w:t>CONTRÔLE</w:t>
      </w:r>
      <w:bookmarkEnd w:id="120"/>
    </w:p>
    <w:p w14:paraId="16DA7F28" w14:textId="77777777" w:rsidR="00566319" w:rsidRDefault="00566319" w:rsidP="00566319">
      <w:r>
        <w:t>La mission, une fois réalisée pourra faire l'objet - ce n'est pas systématique - d'un contrôle approfondi. Dans le souci de tester un échantillonnage représentatif, les dossiers seront choisis de manière aléatoire. Eventuellement un contrôle sur site pourra être mené par un expert mandaté par l'ADEME afin de juger de la qualité de l'étude, de l'objectivité du rapport.</w:t>
      </w:r>
    </w:p>
    <w:p w14:paraId="574CD561" w14:textId="77777777" w:rsidR="00566319" w:rsidRDefault="00566319" w:rsidP="00566319">
      <w:r>
        <w:br w:type="page"/>
      </w:r>
    </w:p>
    <w:p w14:paraId="39A2DEC1" w14:textId="77777777" w:rsidR="00566319" w:rsidRDefault="00566319" w:rsidP="00566319">
      <w:pPr>
        <w:jc w:val="center"/>
        <w:rPr>
          <w:b/>
          <w:i/>
          <w:sz w:val="28"/>
        </w:rPr>
      </w:pPr>
      <w:r>
        <w:rPr>
          <w:b/>
          <w:i/>
          <w:sz w:val="28"/>
        </w:rPr>
        <w:lastRenderedPageBreak/>
        <w:t>Annexe 1 : Ordre de grandeur des résultats attendus</w:t>
      </w:r>
    </w:p>
    <w:p w14:paraId="384856E6" w14:textId="77777777" w:rsidR="00566319" w:rsidRDefault="00566319" w:rsidP="00566319"/>
    <w:p w14:paraId="4A3A85A7" w14:textId="77777777" w:rsidR="00566319" w:rsidRDefault="00566319" w:rsidP="00566319">
      <w:pPr>
        <w:rPr>
          <w:b/>
          <w:i/>
          <w:sz w:val="28"/>
        </w:rPr>
      </w:pPr>
      <w:r>
        <w:rPr>
          <w:b/>
          <w:i/>
          <w:sz w:val="28"/>
        </w:rPr>
        <w:t>Conductivité et capacité calorifique</w:t>
      </w:r>
    </w:p>
    <w:p w14:paraId="4226382D" w14:textId="77777777" w:rsidR="00566319" w:rsidRDefault="00566319" w:rsidP="00566319">
      <w:pPr>
        <w:pStyle w:val="TitreAnnexeAdeme"/>
      </w:pPr>
    </w:p>
    <w:p w14:paraId="4F45EE63" w14:textId="77777777" w:rsidR="00566319" w:rsidRDefault="00566319" w:rsidP="00566319">
      <w:pPr>
        <w:ind w:left="708"/>
        <w:jc w:val="center"/>
      </w:pPr>
    </w:p>
    <w:p w14:paraId="48D73637" w14:textId="77777777" w:rsidR="00566319" w:rsidRDefault="00566319" w:rsidP="00566319">
      <w:pPr>
        <w:ind w:left="708"/>
        <w:jc w:val="center"/>
      </w:pPr>
      <w:r>
        <w:drawing>
          <wp:inline distT="0" distB="0" distL="0" distR="2540" wp14:anchorId="7FB2371B" wp14:editId="72F91518">
            <wp:extent cx="5008245" cy="7792720"/>
            <wp:effectExtent l="0" t="0" r="0" b="0"/>
            <wp:docPr id="2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3"/>
                    <pic:cNvPicPr>
                      <a:picLocks noChangeAspect="1" noChangeArrowheads="1"/>
                    </pic:cNvPicPr>
                  </pic:nvPicPr>
                  <pic:blipFill>
                    <a:blip r:embed="rId22"/>
                    <a:srcRect l="27596" t="26372" r="47375" b="11312"/>
                    <a:stretch>
                      <a:fillRect/>
                    </a:stretch>
                  </pic:blipFill>
                  <pic:spPr bwMode="auto">
                    <a:xfrm>
                      <a:off x="0" y="0"/>
                      <a:ext cx="5008245" cy="7792720"/>
                    </a:xfrm>
                    <a:prstGeom prst="rect">
                      <a:avLst/>
                    </a:prstGeom>
                  </pic:spPr>
                </pic:pic>
              </a:graphicData>
            </a:graphic>
          </wp:inline>
        </w:drawing>
      </w:r>
    </w:p>
    <w:p w14:paraId="0347A530" w14:textId="77777777" w:rsidR="00566319" w:rsidRDefault="00566319" w:rsidP="00566319">
      <w:pPr>
        <w:ind w:left="708"/>
        <w:jc w:val="center"/>
      </w:pPr>
    </w:p>
    <w:p w14:paraId="6E98E7AB" w14:textId="77777777" w:rsidR="00566319" w:rsidRDefault="00566319" w:rsidP="00566319">
      <w:pPr>
        <w:ind w:left="708"/>
        <w:jc w:val="center"/>
      </w:pPr>
    </w:p>
    <w:p w14:paraId="7AFC8507" w14:textId="77777777" w:rsidR="00566319" w:rsidRDefault="00566319" w:rsidP="00566319">
      <w:pPr>
        <w:ind w:left="708"/>
      </w:pPr>
      <w:r>
        <w:lastRenderedPageBreak/>
        <w:drawing>
          <wp:inline distT="0" distB="0" distL="0" distR="0" wp14:anchorId="58AB3786" wp14:editId="3B7DE89F">
            <wp:extent cx="4383405" cy="3467735"/>
            <wp:effectExtent l="0" t="0" r="0" b="0"/>
            <wp:docPr id="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4"/>
                    <pic:cNvPicPr>
                      <a:picLocks noChangeAspect="1" noChangeArrowheads="1"/>
                    </pic:cNvPicPr>
                  </pic:nvPicPr>
                  <pic:blipFill>
                    <a:blip r:embed="rId23"/>
                    <a:srcRect l="15507" t="20315" r="32482" b="13851"/>
                    <a:stretch>
                      <a:fillRect/>
                    </a:stretch>
                  </pic:blipFill>
                  <pic:spPr bwMode="auto">
                    <a:xfrm>
                      <a:off x="0" y="0"/>
                      <a:ext cx="4383405" cy="3467735"/>
                    </a:xfrm>
                    <a:prstGeom prst="rect">
                      <a:avLst/>
                    </a:prstGeom>
                  </pic:spPr>
                </pic:pic>
              </a:graphicData>
            </a:graphic>
          </wp:inline>
        </w:drawing>
      </w:r>
    </w:p>
    <w:p w14:paraId="448862B1" w14:textId="77777777" w:rsidR="00566319" w:rsidRDefault="00566319" w:rsidP="00566319">
      <w:pPr>
        <w:ind w:left="708"/>
        <w:rPr>
          <w:i/>
          <w:sz w:val="20"/>
        </w:rPr>
      </w:pPr>
      <w:r>
        <w:rPr>
          <w:i/>
          <w:sz w:val="20"/>
        </w:rPr>
        <w:t>Tableau des conductivités et capacités calorifiques par type de matériau (d’après SIA-384/6)</w:t>
      </w:r>
    </w:p>
    <w:p w14:paraId="3F3EF199" w14:textId="77777777" w:rsidR="00566319" w:rsidRDefault="00566319" w:rsidP="00566319">
      <w:pPr>
        <w:pStyle w:val="TitreAnnexeAdeme"/>
      </w:pPr>
    </w:p>
    <w:p w14:paraId="6CC7577E" w14:textId="77777777" w:rsidR="00566319" w:rsidRDefault="00566319" w:rsidP="00566319">
      <w:pPr>
        <w:widowControl w:val="0"/>
      </w:pPr>
    </w:p>
    <w:p w14:paraId="36745F9B" w14:textId="77777777" w:rsidR="00566319" w:rsidRDefault="00566319" w:rsidP="00566319">
      <w:pPr>
        <w:widowControl w:val="0"/>
        <w:rPr>
          <w:b/>
          <w:i/>
          <w:sz w:val="28"/>
        </w:rPr>
      </w:pPr>
      <w:r>
        <w:rPr>
          <w:b/>
          <w:i/>
          <w:sz w:val="28"/>
        </w:rPr>
        <w:t>Présence d’un aquifère</w:t>
      </w:r>
    </w:p>
    <w:p w14:paraId="29848744" w14:textId="77777777" w:rsidR="00566319" w:rsidRDefault="00566319" w:rsidP="00566319">
      <w:pPr>
        <w:widowControl w:val="0"/>
      </w:pPr>
    </w:p>
    <w:p w14:paraId="5C45F9E4" w14:textId="77777777" w:rsidR="00566319" w:rsidRDefault="00566319" w:rsidP="00566319">
      <w:pPr>
        <w:widowControl w:val="0"/>
      </w:pPr>
      <w:r>
        <w:t>La présence d’un aquifère immobile dope généralement la conductivité du milieu. Lorsque l’aquifère est en mouvement, le déplacement de matière évacue les calories injectées par le module de test : les régimes de température en entrée et sortie de SGV évoluent d’autant moins que le déplacement de matière est important, la conductivité estimée lors de l’interprétation est donc d’autant plus importante.</w:t>
      </w:r>
    </w:p>
    <w:p w14:paraId="039096E5" w14:textId="77777777" w:rsidR="00566319" w:rsidRDefault="00566319" w:rsidP="00566319">
      <w:pPr>
        <w:widowControl w:val="0"/>
      </w:pPr>
      <w:r>
        <w:t>La conductivité mesurée selon la source linéaire de chaleur n’est donc qu’apparente. Elle intègre la conductivité (isotrope) propre à la géologie rencontrée, mais également la dispersion des calories anisotrope par déplacement de matière. Ainsi, il n’est pas rare de constater des conductivités apparentes bien supérieures à l’estimation faite (par exemple, 12 W/m.K pour un sol a priori donné pour 2 W/m.K).</w:t>
      </w:r>
    </w:p>
    <w:p w14:paraId="5CF9745B" w14:textId="77777777" w:rsidR="00566319" w:rsidRDefault="00566319" w:rsidP="00566319">
      <w:pPr>
        <w:widowControl w:val="0"/>
      </w:pPr>
      <w:r>
        <w:t>Dans ce cas, il convient de recouper ce résultat avec la présence d’eau relevée par la coupe forage. Et il convient également d’interpréter le résultat avec les précautions qui s’imposent : quelle est l’origine de l’écoulement ? Est-il constant dans le temps ? (i.e. la conductivité mesurée à l’instant t sera-t-elle valable en toutes saions) ? Quelles sont les caractéristiques de l’écoulement qui impacteront le comportement du champ de SGV et comment l’intégrer dans la simulation thermique dynamique ?</w:t>
      </w:r>
    </w:p>
    <w:p w14:paraId="68F1A47E" w14:textId="77777777" w:rsidR="00566319" w:rsidRDefault="00566319" w:rsidP="00566319">
      <w:pPr>
        <w:widowControl w:val="0"/>
      </w:pPr>
      <w:r>
        <w:t>Bien souvent, le recours à une analyse hydrogéologique plus poussée permettra d’apporter des réponses permettant d’optimiser la conception du futur champ de SGV.</w:t>
      </w:r>
      <w:r>
        <w:br w:type="page"/>
      </w:r>
    </w:p>
    <w:p w14:paraId="4CCFE544" w14:textId="77777777" w:rsidR="00FB1B9C" w:rsidRPr="006E35D6" w:rsidRDefault="00FB1B9C" w:rsidP="00566319">
      <w:pPr>
        <w:pStyle w:val="NormalGrandTitre1Ademe"/>
        <w:rPr>
          <w:rFonts w:cs="Calibri"/>
          <w:noProof w:val="0"/>
        </w:rPr>
        <w:sectPr w:rsidR="00FB1B9C" w:rsidRPr="006E35D6" w:rsidSect="005A78B3">
          <w:footerReference w:type="even" r:id="rId24"/>
          <w:headerReference w:type="first" r:id="rId25"/>
          <w:pgSz w:w="11906" w:h="16838"/>
          <w:pgMar w:top="902" w:right="1418" w:bottom="1418" w:left="1418" w:header="709" w:footer="709" w:gutter="0"/>
          <w:cols w:space="708"/>
          <w:docGrid w:linePitch="360"/>
        </w:sectPr>
      </w:pPr>
    </w:p>
    <w:p w14:paraId="5E9B4A4D" w14:textId="77777777" w:rsidR="00FB1B9C" w:rsidRPr="006E35D6" w:rsidRDefault="00CA2811" w:rsidP="00FB1B9C">
      <w:pPr>
        <w:rPr>
          <w:noProof w:val="0"/>
        </w:rPr>
      </w:pPr>
      <w:r>
        <w:lastRenderedPageBreak/>
        <w:drawing>
          <wp:anchor distT="0" distB="0" distL="114300" distR="114300" simplePos="0" relativeHeight="251660288" behindDoc="1" locked="0" layoutInCell="1" allowOverlap="1" wp14:anchorId="6B1DF0C3" wp14:editId="76AA5ED9">
            <wp:simplePos x="0" y="0"/>
            <wp:positionH relativeFrom="margin">
              <wp:posOffset>-438150</wp:posOffset>
            </wp:positionH>
            <wp:positionV relativeFrom="margin">
              <wp:posOffset>-624205</wp:posOffset>
            </wp:positionV>
            <wp:extent cx="7522210" cy="10699750"/>
            <wp:effectExtent l="0" t="0" r="2540" b="6350"/>
            <wp:wrapNone/>
            <wp:docPr id="8" name="Image 5" descr="SanD:Users:studio1:Desktop:4emecouvad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Users:studio1:Desktop:4emecouvadem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22518" cy="10700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7E5BB2" w14:textId="77777777" w:rsidR="00FB1B9C" w:rsidRPr="006E35D6" w:rsidRDefault="00FB1B9C" w:rsidP="00FB1B9C">
      <w:pPr>
        <w:rPr>
          <w:noProof w:val="0"/>
        </w:rPr>
      </w:pPr>
    </w:p>
    <w:p w14:paraId="38906879" w14:textId="77777777" w:rsidR="009C2D45" w:rsidRDefault="00CC70C5" w:rsidP="009C2D45">
      <w:pPr>
        <w:pStyle w:val="QuatrimedecouvertureTexteAdeme"/>
        <w:tabs>
          <w:tab w:val="left" w:pos="4111"/>
        </w:tabs>
        <w:ind w:left="284" w:right="6071"/>
      </w:pPr>
      <w:r>
        <w:drawing>
          <wp:anchor distT="0" distB="0" distL="114300" distR="114300" simplePos="0" relativeHeight="251655168" behindDoc="1" locked="0" layoutInCell="1" allowOverlap="1" wp14:anchorId="0105AE56" wp14:editId="51FDC453">
            <wp:simplePos x="0" y="0"/>
            <wp:positionH relativeFrom="margin">
              <wp:posOffset>-438150</wp:posOffset>
            </wp:positionH>
            <wp:positionV relativeFrom="margin">
              <wp:posOffset>-623570</wp:posOffset>
            </wp:positionV>
            <wp:extent cx="7522845" cy="10654665"/>
            <wp:effectExtent l="0" t="0" r="0" b="0"/>
            <wp:wrapNone/>
            <wp:docPr id="6" name="Image 2" descr="Description : SanD:Users:studio1:Desktop:4emecouvad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SanD:Users:studio1:Desktop:4emecouvadem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22845" cy="1065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D45" w:rsidRPr="009C2D45">
        <w:t xml:space="preserve"> </w:t>
      </w:r>
      <w:r w:rsidR="009C2D45">
        <w:t>L’ADEME en bref</w:t>
      </w:r>
    </w:p>
    <w:p w14:paraId="1704B543" w14:textId="77777777" w:rsidR="009C2D45" w:rsidRDefault="009C2D45" w:rsidP="009C2D45">
      <w:pPr>
        <w:pStyle w:val="QuatrimedecouvertureTexteAdeme"/>
        <w:tabs>
          <w:tab w:val="left" w:pos="4111"/>
        </w:tabs>
        <w:ind w:left="284" w:right="6071"/>
      </w:pPr>
      <w:r>
        <w:t>L'Agence de l'Environnement et de la Maîtrise de l'Énergie (ADEME) participe à la mise en œuvre des politiques publiques dans les domaines de l'environnement, de l'énergie et du développement durable. Elle met ses capacités d'expertise et de conseil à disposition des entreprises, des collectivités locales, des pouvoirs publics et du grand public, afin de leur permettre de progresser dans leur démarche environnementale. L’Agence aide en outre au financement de projets, de la recherche à la mise en œuvre et ce, dans les domaines suivants : la gestion des déchets, la préservation des sols, l'efficacité énergétique et les énergies renouvelables, les économies de matières premières, la qualité de l'air, la lutte contre le bruit, la transition vers l’économie circulaire et la lutte contre le gaspillage alimentaire.</w:t>
      </w:r>
    </w:p>
    <w:p w14:paraId="2AAA93DF" w14:textId="77777777" w:rsidR="00CC70C5" w:rsidRDefault="009C2D45" w:rsidP="009C2D45">
      <w:pPr>
        <w:pStyle w:val="QuatrimedecouvertureTexteAdeme"/>
        <w:tabs>
          <w:tab w:val="left" w:pos="4111"/>
        </w:tabs>
        <w:ind w:left="284" w:right="6071"/>
      </w:pPr>
      <w:r>
        <w:t>L'ADEME est un établissement public sous la tutelle conjointe du ministère de la Transition écologique et solidaire et du ministère de l'Enseignement supérieur, de la Recherche et de l'Innovation.</w:t>
      </w:r>
    </w:p>
    <w:p w14:paraId="6CF7A541" w14:textId="77777777" w:rsidR="00CC70C5" w:rsidRDefault="00CA2736" w:rsidP="00CC70C5">
      <w:pPr>
        <w:pStyle w:val="QuatrimedecouvertureTitreAdeme"/>
        <w:ind w:left="284" w:right="5783"/>
      </w:pPr>
      <w:hyperlink r:id="rId27" w:history="1">
        <w:r w:rsidR="00CC70C5">
          <w:rPr>
            <w:rStyle w:val="Lienhypertexte"/>
            <w:sz w:val="18"/>
          </w:rPr>
          <w:t>www.ademe.fr</w:t>
        </w:r>
      </w:hyperlink>
      <w:hyperlink r:id="rId28" w:history="1">
        <w:r w:rsidR="00CC70C5">
          <w:br/>
        </w:r>
        <w:r w:rsidR="00CC70C5">
          <w:drawing>
            <wp:inline distT="0" distB="0" distL="0" distR="0" wp14:anchorId="0F618F01" wp14:editId="2CB7D90E">
              <wp:extent cx="254000" cy="215900"/>
              <wp:effectExtent l="0" t="0" r="0" b="12700"/>
              <wp:docPr id="3" name="Image 4" descr="Description : Twitte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Twitte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000" cy="215900"/>
                      </a:xfrm>
                      <a:prstGeom prst="rect">
                        <a:avLst/>
                      </a:prstGeom>
                      <a:noFill/>
                      <a:ln>
                        <a:noFill/>
                      </a:ln>
                    </pic:spPr>
                  </pic:pic>
                </a:graphicData>
              </a:graphic>
            </wp:inline>
          </w:drawing>
        </w:r>
      </w:hyperlink>
      <w:hyperlink r:id="rId31" w:history="1">
        <w:r w:rsidR="00CC70C5">
          <w:rPr>
            <w:rStyle w:val="Lienhypertexte"/>
            <w:sz w:val="18"/>
          </w:rPr>
          <w:t>@ademe</w:t>
        </w:r>
      </w:hyperlink>
    </w:p>
    <w:p w14:paraId="738BA73F" w14:textId="77777777" w:rsidR="00FB1B9C" w:rsidRPr="006E35D6" w:rsidRDefault="00305EA7" w:rsidP="00FB1B9C">
      <w:pPr>
        <w:pStyle w:val="QuatrimedecouvertureTexteAdeme"/>
        <w:ind w:left="720" w:right="5783"/>
        <w:rPr>
          <w:noProof w:val="0"/>
        </w:rPr>
      </w:pPr>
      <w:r>
        <w:drawing>
          <wp:anchor distT="0" distB="0" distL="114300" distR="114300" simplePos="0" relativeHeight="251654144" behindDoc="1" locked="0" layoutInCell="1" allowOverlap="1" wp14:anchorId="240EB0B3" wp14:editId="629D88DC">
            <wp:simplePos x="0" y="0"/>
            <wp:positionH relativeFrom="column">
              <wp:posOffset>-441960</wp:posOffset>
            </wp:positionH>
            <wp:positionV relativeFrom="paragraph">
              <wp:posOffset>4251960</wp:posOffset>
            </wp:positionV>
            <wp:extent cx="7588885" cy="1166495"/>
            <wp:effectExtent l="0" t="0" r="0" b="0"/>
            <wp:wrapNone/>
            <wp:docPr id="10" name="Image 4" descr="SanD:Users:studio1:Desktop:bandeau 17x24.png">
              <a:hlinkClick xmlns:a="http://schemas.openxmlformats.org/drawingml/2006/main" r:id="rId11" tooltip="https://www.ademe.fr/mediatheq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 descr="SanD:Users:studio1:Desktop:bandeau 17x24.png">
                      <a:hlinkClick r:id="rId11" tooltip="https://www.ademe.fr/mediatheque"/>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888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C06CF" w14:textId="77777777" w:rsidR="005A78B3" w:rsidRPr="006E35D6" w:rsidRDefault="00CA2811">
      <w:pPr>
        <w:rPr>
          <w:noProof w:val="0"/>
        </w:rPr>
      </w:pPr>
      <w:r>
        <mc:AlternateContent>
          <mc:Choice Requires="wps">
            <w:drawing>
              <wp:anchor distT="0" distB="0" distL="114300" distR="114300" simplePos="0" relativeHeight="251681792" behindDoc="0" locked="0" layoutInCell="1" allowOverlap="1" wp14:anchorId="509844D9" wp14:editId="7C962C5E">
                <wp:simplePos x="0" y="0"/>
                <wp:positionH relativeFrom="column">
                  <wp:posOffset>4845685</wp:posOffset>
                </wp:positionH>
                <wp:positionV relativeFrom="paragraph">
                  <wp:posOffset>3030220</wp:posOffset>
                </wp:positionV>
                <wp:extent cx="1485900" cy="430530"/>
                <wp:effectExtent l="0" t="0" r="0" b="7620"/>
                <wp:wrapTight wrapText="bothSides">
                  <wp:wrapPolygon edited="0">
                    <wp:start x="554" y="0"/>
                    <wp:lineTo x="554" y="21027"/>
                    <wp:lineTo x="20769" y="21027"/>
                    <wp:lineTo x="20769" y="0"/>
                    <wp:lineTo x="554" y="0"/>
                  </wp:wrapPolygon>
                </wp:wrapTight>
                <wp:docPr id="1049" name="Zone de texte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30530"/>
                        </a:xfrm>
                        <a:prstGeom prst="rect">
                          <a:avLst/>
                        </a:prstGeom>
                        <a:noFill/>
                        <a:ln>
                          <a:noFill/>
                        </a:ln>
                        <a:effectLst/>
                      </wps:spPr>
                      <wps:txbx>
                        <w:txbxContent>
                          <w:p w14:paraId="76D4F007" w14:textId="77777777" w:rsidR="00566319" w:rsidRDefault="00566319" w:rsidP="00CA2811">
                            <w:pPr>
                              <w:pStyle w:val="Paragraphestandard"/>
                              <w:suppressAutoHyphens/>
                              <w:spacing w:before="120"/>
                            </w:pPr>
                            <w:r>
                              <w:rPr>
                                <w:rFonts w:ascii="SourceSansPro-Bold" w:hAnsi="SourceSansPro-Bold" w:cs="SourceSansPro-Bold"/>
                                <w:b/>
                                <w:bCs/>
                                <w:sz w:val="30"/>
                                <w:szCs w:val="30"/>
                              </w:rPr>
                              <w:t>www.ademe.fr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049" o:spid="_x0000_s1027" type="#_x0000_t202" style="position:absolute;left:0;text-align:left;margin-left:381.55pt;margin-top:238.6pt;width:117pt;height:3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" filled="f" stroked="f">
                <v:path arrowok="t"/>
                <v:textbox>
                  <w:txbxContent>
                    <w:p w:rsidR="00566319" w:rsidRDefault="00566319" w:rsidP="00CA2811">
                      <w:pPr>
                        <w:pStyle w:val="Paragraphestandard"/>
                        <w:suppressAutoHyphens/>
                        <w:spacing w:before="120"/>
                      </w:pPr>
                      <w:r>
                        <w:rPr>
                          <w:rFonts w:ascii="SourceSansPro-Bold" w:hAnsi="SourceSansPro-Bold" w:cs="SourceSansPro-Bold"/>
                          <w:b/>
                          <w:bCs/>
                          <w:sz w:val="30"/>
                          <w:szCs w:val="30"/>
                        </w:rPr>
                        <w:t>www.ademe.fr</w:t>
                      </w:r>
                    </w:p>
                  </w:txbxContent>
                </v:textbox>
                <w10:wrap type="tight"/>
              </v:shape>
            </w:pict>
          </mc:Fallback>
        </mc:AlternateContent>
      </w:r>
      <w:r>
        <w:drawing>
          <wp:anchor distT="0" distB="0" distL="114300" distR="114300" simplePos="0" relativeHeight="251680768" behindDoc="1" locked="0" layoutInCell="1" allowOverlap="1" wp14:anchorId="283115CD" wp14:editId="7E1E127D">
            <wp:simplePos x="0" y="0"/>
            <wp:positionH relativeFrom="column">
              <wp:posOffset>-444500</wp:posOffset>
            </wp:positionH>
            <wp:positionV relativeFrom="paragraph">
              <wp:posOffset>3028950</wp:posOffset>
            </wp:positionV>
            <wp:extent cx="7588885" cy="1166495"/>
            <wp:effectExtent l="0" t="0" r="5715" b="1905"/>
            <wp:wrapNone/>
            <wp:docPr id="15" name="Image 3" descr="Description : SanD:Users:studio1:Desktop:bandeau 17x24.png">
              <a:hlinkClick xmlns:a="http://schemas.openxmlformats.org/drawingml/2006/main" r:id="rId11" tooltip="https://www.ademe.fr/mediatheq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 SanD:Users:studio1:Desktop:bandeau 17x24.png">
                      <a:hlinkClick r:id="rId11" tooltip="https://www.ademe.fr/mediatheque"/>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888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A78B3" w:rsidRPr="006E35D6" w:rsidSect="005A78B3">
      <w:headerReference w:type="even" r:id="rId32"/>
      <w:headerReference w:type="default" r:id="rId33"/>
      <w:footerReference w:type="default" r:id="rId34"/>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9BD0C" w14:textId="77777777" w:rsidR="00566319" w:rsidRDefault="00566319" w:rsidP="00FB1B9C">
      <w:r>
        <w:separator/>
      </w:r>
    </w:p>
  </w:endnote>
  <w:endnote w:type="continuationSeparator" w:id="0">
    <w:p w14:paraId="0F6E36A7" w14:textId="77777777" w:rsidR="00566319" w:rsidRDefault="00566319" w:rsidP="00FB1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Arial Unicode MS">
    <w:panose1 w:val="020B0604020202020204"/>
    <w:charset w:val="00"/>
    <w:family w:val="roman"/>
    <w:pitch w:val="variable"/>
    <w:sig w:usb0="00000003" w:usb1="00000000" w:usb2="00000000" w:usb3="00000000" w:csb0="00000001" w:csb1="00000000"/>
  </w:font>
  <w:font w:name="Helv">
    <w:altName w:val="Arial"/>
    <w:panose1 w:val="020B0604020202030204"/>
    <w:charset w:val="4D"/>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ourceSansPro-Bold">
    <w:altName w:val="Source Sans Pro"/>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50A82" w14:textId="77777777" w:rsidR="00566319" w:rsidRPr="0028556D" w:rsidRDefault="00566319">
    <w:pPr>
      <w:pStyle w:val="Pieddepage"/>
      <w:rPr>
        <w:lang w:val="en-US"/>
      </w:rPr>
    </w:pPr>
    <w:r w:rsidRPr="0028556D">
      <w:rPr>
        <w:szCs w:val="18"/>
        <w:lang w:val="en-US"/>
      </w:rPr>
      <w:t>[</w:t>
    </w:r>
    <w:r>
      <w:rPr>
        <w:bCs/>
        <w:szCs w:val="18"/>
      </w:rPr>
      <w:fldChar w:fldCharType="begin"/>
    </w:r>
    <w:r w:rsidRPr="0028556D">
      <w:rPr>
        <w:lang w:val="en-US"/>
      </w:rPr>
      <w:instrText>PAGE</w:instrText>
    </w:r>
    <w:r>
      <w:fldChar w:fldCharType="separate"/>
    </w:r>
    <w:r w:rsidR="0028556D">
      <w:rPr>
        <w:lang w:val="en-US"/>
      </w:rPr>
      <w:t>1</w:t>
    </w:r>
    <w:r>
      <w:fldChar w:fldCharType="end"/>
    </w:r>
    <w:r w:rsidRPr="0028556D">
      <w:rPr>
        <w:bCs/>
        <w:szCs w:val="18"/>
        <w:lang w:val="en-US"/>
      </w:rPr>
      <w:t>/</w:t>
    </w:r>
    <w:r>
      <w:rPr>
        <w:bCs/>
        <w:szCs w:val="18"/>
      </w:rPr>
      <w:fldChar w:fldCharType="begin"/>
    </w:r>
    <w:r w:rsidRPr="0028556D">
      <w:rPr>
        <w:lang w:val="en-US"/>
      </w:rPr>
      <w:instrText>NUMPAGES</w:instrText>
    </w:r>
    <w:r>
      <w:fldChar w:fldCharType="separate"/>
    </w:r>
    <w:r w:rsidR="0028556D">
      <w:rPr>
        <w:lang w:val="en-US"/>
      </w:rPr>
      <w:t>28</w:t>
    </w:r>
    <w:r>
      <w:fldChar w:fldCharType="end"/>
    </w:r>
    <w:r w:rsidRPr="0028556D">
      <w:rPr>
        <w:szCs w:val="18"/>
        <w:lang w:val="en-US"/>
      </w:rPr>
      <w:t>]</w:t>
    </w:r>
    <w:r w:rsidRPr="0028556D">
      <w:rPr>
        <w:lang w:val="en-US"/>
      </w:rPr>
      <w:tab/>
    </w:r>
    <w:r>
      <w:fldChar w:fldCharType="begin"/>
    </w:r>
    <w:r w:rsidRPr="0028556D">
      <w:rPr>
        <w:lang w:val="en-US"/>
      </w:rPr>
      <w:instrText>FILENAME</w:instrText>
    </w:r>
    <w:r>
      <w:fldChar w:fldCharType="separate"/>
    </w:r>
    <w:r w:rsidR="003279B1" w:rsidRPr="0028556D">
      <w:rPr>
        <w:lang w:val="en-US"/>
      </w:rPr>
      <w:t>cdc-ademe-realisation-test-reponse-thermique-trt-20200224</w:t>
    </w:r>
    <w:r>
      <w:fldChar w:fldCharType="end"/>
    </w:r>
  </w:p>
  <w:p w14:paraId="5760FDF5" w14:textId="77777777" w:rsidR="00566319" w:rsidRDefault="00566319">
    <w:pPr>
      <w:pStyle w:val="Pieddepage"/>
    </w:pPr>
    <w:r w:rsidRPr="0028556D">
      <w:rPr>
        <w:lang w:val="en-US"/>
      </w:rPr>
      <w:tab/>
    </w:r>
    <w:r>
      <w:t xml:space="preserve">Version du </w:t>
    </w:r>
    <w:r w:rsidR="003279B1">
      <w:t>24/02/2020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B2429" w14:textId="77777777" w:rsidR="00566319" w:rsidRDefault="00566319" w:rsidP="005A78B3">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A872996" w14:textId="77777777" w:rsidR="00566319" w:rsidRDefault="0056631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F500" w14:textId="77777777" w:rsidR="00566319" w:rsidRPr="00FD6816" w:rsidRDefault="00566319" w:rsidP="005A78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84E61" w14:textId="77777777" w:rsidR="00566319" w:rsidRDefault="00566319" w:rsidP="00FB1B9C">
      <w:r>
        <w:separator/>
      </w:r>
    </w:p>
  </w:footnote>
  <w:footnote w:type="continuationSeparator" w:id="0">
    <w:p w14:paraId="4B39835A" w14:textId="77777777" w:rsidR="00566319" w:rsidRDefault="00566319" w:rsidP="00FB1B9C">
      <w:r>
        <w:continuationSeparator/>
      </w:r>
    </w:p>
  </w:footnote>
  <w:footnote w:id="1">
    <w:p w14:paraId="2C235C78" w14:textId="77777777" w:rsidR="00566319" w:rsidRDefault="00566319" w:rsidP="00566319">
      <w:pPr>
        <w:pStyle w:val="Notedebasdepage"/>
      </w:pPr>
      <w:r>
        <w:rPr>
          <w:rStyle w:val="Appelnotedebasdep"/>
        </w:rPr>
        <w:footnoteRef/>
      </w:r>
      <w:r>
        <w:rPr>
          <w:rStyle w:val="Appelnotedebasdep"/>
        </w:rPr>
        <w:tab/>
      </w:r>
      <w:r>
        <w:t xml:space="preserve"> Reconnu Garant de l’Environnement : charte signée avec l’ADEME, le Ministère de l’Ecologie, du Développement Durable et de l’Energie et le Ministère de l’Egalité des territoires et du Logement. Elle concerne les signes de qualité (qualifications ou certifications) délivrés aux professionnels réalisant des prestations intellectuelles concourant à la performance énergétique des bâtiments et des installations d’énergie renouvelable.</w:t>
      </w:r>
    </w:p>
    <w:p w14:paraId="639F416E" w14:textId="77777777" w:rsidR="00566319" w:rsidRDefault="00566319" w:rsidP="00566319">
      <w:pPr>
        <w:pStyle w:val="Notedebasdepage"/>
      </w:pPr>
      <w:r>
        <w:tab/>
        <w:t>A compter du 1</w:t>
      </w:r>
      <w:r>
        <w:rPr>
          <w:vertAlign w:val="superscript"/>
        </w:rPr>
        <w:t>er</w:t>
      </w:r>
      <w:r>
        <w:t xml:space="preserve"> janvier 2017 pour la France métropolitaire et la Corse.</w:t>
      </w:r>
    </w:p>
    <w:p w14:paraId="6F9E10FE" w14:textId="77777777" w:rsidR="00566319" w:rsidRDefault="00566319" w:rsidP="00566319">
      <w:pPr>
        <w:pStyle w:val="Notedebasdepage"/>
      </w:pPr>
      <w:r>
        <w:tab/>
        <w:t>A compter de l’application de RGE dans les DOM et hors collectivités d’outre-mer de Nouvelle Calédonie, Polynésie française et Wallis et Futuna, tant qu’un dispositif de nature équivalente n’est pas organisé par les autorités compétentes.</w:t>
      </w:r>
    </w:p>
    <w:p w14:paraId="1DFEE007" w14:textId="7440C020" w:rsidR="00566319" w:rsidRDefault="00566319" w:rsidP="00566319">
      <w:pPr>
        <w:pStyle w:val="Notedebasdepage"/>
      </w:pPr>
      <w:r>
        <w:tab/>
        <w:t xml:space="preserve">La liste des référencements conformes est susceptible d’évoluer régulièrement. Dans le cas de la prestation, la qualification OPQIBI 10.07 </w:t>
      </w:r>
      <w:r>
        <w:rPr>
          <w:rFonts w:ascii="Helv" w:eastAsiaTheme="minorHAnsi" w:hAnsi="Helv" w:cs="Helv"/>
          <w:color w:val="000000"/>
          <w:lang w:eastAsia="en-US"/>
        </w:rPr>
        <w:t>"</w:t>
      </w:r>
      <w:r>
        <w:t>Etude des ressources géothermiques" est conforme.</w:t>
      </w:r>
    </w:p>
    <w:p w14:paraId="55E53AD8" w14:textId="77777777" w:rsidR="00566319" w:rsidRDefault="00566319" w:rsidP="00566319">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F3723" w14:textId="77777777" w:rsidR="00566319" w:rsidRDefault="00566319">
    <w:pPr>
      <w:pStyle w:val="En-tte"/>
    </w:pPr>
    <w:r>
      <w:rPr>
        <w:rStyle w:val="Numrodepage"/>
      </w:rPr>
      <w:fldChar w:fldCharType="begin"/>
    </w:r>
    <w:r>
      <w:rPr>
        <w:rStyle w:val="Numrodepage"/>
      </w:rPr>
      <w:instrText xml:space="preserve"> NUMPAGES </w:instrText>
    </w:r>
    <w:r>
      <w:rPr>
        <w:rStyle w:val="Numrodepage"/>
      </w:rPr>
      <w:fldChar w:fldCharType="separate"/>
    </w:r>
    <w:r>
      <w:rPr>
        <w:rStyle w:val="Numrodepage"/>
      </w:rPr>
      <w:t>22</w:t>
    </w:r>
    <w:r>
      <w:rPr>
        <w:rStyle w:val="Numrodepa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D5BA" w14:textId="77777777" w:rsidR="00566319" w:rsidRDefault="00566319" w:rsidP="005A78B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18BB8" w14:textId="77777777" w:rsidR="00566319" w:rsidRDefault="00566319" w:rsidP="005A78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1711"/>
    <w:multiLevelType w:val="multilevel"/>
    <w:tmpl w:val="52120E6C"/>
    <w:lvl w:ilvl="0">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0C6A7E5B"/>
    <w:multiLevelType w:val="multilevel"/>
    <w:tmpl w:val="900A56CA"/>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0D07677E"/>
    <w:multiLevelType w:val="multilevel"/>
    <w:tmpl w:val="EF86B196"/>
    <w:lvl w:ilvl="0">
      <w:start w:val="1"/>
      <w:numFmt w:val="decimal"/>
      <w:pStyle w:val="Titre1"/>
      <w:suff w:val="space"/>
      <w:lvlText w:val="%1 -"/>
      <w:lvlJc w:val="left"/>
      <w:pPr>
        <w:ind w:left="0" w:firstLine="0"/>
      </w:pPr>
      <w:rPr>
        <w:rFonts w:hint="default"/>
      </w:rPr>
    </w:lvl>
    <w:lvl w:ilvl="1">
      <w:start w:val="1"/>
      <w:numFmt w:val="decimal"/>
      <w:pStyle w:val="Titre2"/>
      <w:suff w:val="space"/>
      <w:lvlText w:val="%1.%2 -"/>
      <w:lvlJc w:val="left"/>
      <w:pPr>
        <w:ind w:left="0" w:firstLine="0"/>
      </w:pPr>
      <w:rPr>
        <w:rFonts w:hint="default"/>
      </w:rPr>
    </w:lvl>
    <w:lvl w:ilvl="2">
      <w:start w:val="1"/>
      <w:numFmt w:val="decimal"/>
      <w:pStyle w:val="Titre3"/>
      <w:suff w:val="space"/>
      <w:lvlText w:val="%1.%2.%3 -"/>
      <w:lvlJc w:val="left"/>
      <w:pPr>
        <w:ind w:left="0" w:firstLine="0"/>
      </w:pPr>
      <w:rPr>
        <w:rFonts w:hint="default"/>
      </w:rPr>
    </w:lvl>
    <w:lvl w:ilvl="3">
      <w:start w:val="1"/>
      <w:numFmt w:val="decimal"/>
      <w:pStyle w:val="Titre4"/>
      <w:suff w:val="space"/>
      <w:lvlText w:val="%1.%2.%3.%4 -"/>
      <w:lvlJc w:val="left"/>
      <w:pPr>
        <w:ind w:left="0" w:firstLine="0"/>
      </w:pPr>
      <w:rPr>
        <w:rFonts w:hint="default"/>
      </w:rPr>
    </w:lvl>
    <w:lvl w:ilvl="4">
      <w:start w:val="1"/>
      <w:numFmt w:val="decimal"/>
      <w:pStyle w:val="Titre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193E1C3F"/>
    <w:multiLevelType w:val="multilevel"/>
    <w:tmpl w:val="82F8F872"/>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204C484A"/>
    <w:multiLevelType w:val="multilevel"/>
    <w:tmpl w:val="11EE38E4"/>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B311EEC"/>
    <w:multiLevelType w:val="multilevel"/>
    <w:tmpl w:val="E19A66B4"/>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2CB71FC5"/>
    <w:multiLevelType w:val="multilevel"/>
    <w:tmpl w:val="16586CBE"/>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2F3E13C6"/>
    <w:multiLevelType w:val="multilevel"/>
    <w:tmpl w:val="740A10A6"/>
    <w:lvl w:ilvl="0">
      <w:start w:val="1"/>
      <w:numFmt w:val="decimal"/>
      <w:suff w:val="space"/>
      <w:lvlText w:val="%1 -"/>
      <w:lvlJc w:val="left"/>
      <w:pPr>
        <w:ind w:left="0" w:firstLine="0"/>
      </w:pPr>
    </w:lvl>
    <w:lvl w:ilvl="1">
      <w:start w:val="1"/>
      <w:numFmt w:val="decimal"/>
      <w:suff w:val="space"/>
      <w:lvlText w:val="%1.%2 -"/>
      <w:lvlJc w:val="left"/>
      <w:pPr>
        <w:ind w:left="0" w:firstLine="0"/>
      </w:pPr>
    </w:lvl>
    <w:lvl w:ilvl="2">
      <w:start w:val="1"/>
      <w:numFmt w:val="decimal"/>
      <w:suff w:val="space"/>
      <w:lvlText w:val="%1.%2.%3 -"/>
      <w:lvlJc w:val="left"/>
      <w:pPr>
        <w:ind w:left="0" w:firstLine="0"/>
      </w:pPr>
    </w:lvl>
    <w:lvl w:ilvl="3">
      <w:start w:val="1"/>
      <w:numFmt w:val="decimal"/>
      <w:suff w:val="space"/>
      <w:lvlText w:val="%1.%2.%3.%4 -"/>
      <w:lvlJc w:val="left"/>
      <w:pPr>
        <w:ind w:left="0" w:firstLine="0"/>
      </w:pPr>
    </w:lvl>
    <w:lvl w:ilvl="4">
      <w:start w:val="1"/>
      <w:numFmt w:val="decimal"/>
      <w:suff w:val="space"/>
      <w:lvlText w:val="%1.%2.%3.%4.%5 -"/>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 w15:restartNumberingAfterBreak="0">
    <w:nsid w:val="33A03FB2"/>
    <w:multiLevelType w:val="multilevel"/>
    <w:tmpl w:val="7CE0036E"/>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6FA4150"/>
    <w:multiLevelType w:val="multilevel"/>
    <w:tmpl w:val="C7AA4CB2"/>
    <w:lvl w:ilvl="0">
      <w:start w:val="1"/>
      <w:numFmt w:val="bullet"/>
      <w:lvlText w:val="-"/>
      <w:lvlJc w:val="left"/>
      <w:pPr>
        <w:ind w:left="360" w:hanging="360"/>
      </w:pPr>
      <w:rPr>
        <w:rFonts w:ascii="Calibri" w:hAnsi="Calibri" w:cs="Calibri" w:hint="default"/>
      </w:rPr>
    </w:lvl>
    <w:lvl w:ilvl="1">
      <w:start w:val="1"/>
      <w:numFmt w:val="bullet"/>
      <w:lvlText w:val=""/>
      <w:lvlJc w:val="left"/>
      <w:pPr>
        <w:ind w:left="1080" w:hanging="360"/>
      </w:pPr>
      <w:rPr>
        <w:rFonts w:ascii="Symbol" w:hAnsi="Symbol" w:cs="Times New Roman"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3701539D"/>
    <w:multiLevelType w:val="multilevel"/>
    <w:tmpl w:val="FDA44336"/>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420E607B"/>
    <w:multiLevelType w:val="multilevel"/>
    <w:tmpl w:val="4C629FA2"/>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15:restartNumberingAfterBreak="0">
    <w:nsid w:val="44C2149F"/>
    <w:multiLevelType w:val="multilevel"/>
    <w:tmpl w:val="8CB8E55A"/>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44CD1C5A"/>
    <w:multiLevelType w:val="multilevel"/>
    <w:tmpl w:val="BE901C82"/>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4590722F"/>
    <w:multiLevelType w:val="multilevel"/>
    <w:tmpl w:val="A9629BEA"/>
    <w:lvl w:ilvl="0">
      <w:start w:val="1"/>
      <w:numFmt w:val="bullet"/>
      <w:lvlText w:val="."/>
      <w:lvlJc w:val="left"/>
      <w:pPr>
        <w:ind w:left="720" w:hanging="360"/>
      </w:pPr>
      <w:rPr>
        <w:rFonts w:ascii="Calibr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5" w15:restartNumberingAfterBreak="0">
    <w:nsid w:val="45DB267C"/>
    <w:multiLevelType w:val="multilevel"/>
    <w:tmpl w:val="6A2C7D96"/>
    <w:lvl w:ilvl="0">
      <w:start w:val="1"/>
      <w:numFmt w:val="decimal"/>
      <w:pStyle w:val="TitreFigureAdeme"/>
      <w:suff w:val="space"/>
      <w:lvlText w:val="Figure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EA71267"/>
    <w:multiLevelType w:val="multilevel"/>
    <w:tmpl w:val="3F5C18F2"/>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591F5537"/>
    <w:multiLevelType w:val="multilevel"/>
    <w:tmpl w:val="BC605C2C"/>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15:restartNumberingAfterBreak="0">
    <w:nsid w:val="66A77455"/>
    <w:multiLevelType w:val="multilevel"/>
    <w:tmpl w:val="4314E6E6"/>
    <w:lvl w:ilvl="0">
      <w:start w:val="1"/>
      <w:numFmt w:val="decimal"/>
      <w:pStyle w:val="Style1"/>
      <w:lvlText w:val="%1."/>
      <w:lvlJc w:val="left"/>
      <w:pPr>
        <w:ind w:left="360" w:hanging="360"/>
      </w:pPr>
    </w:lvl>
    <w:lvl w:ilvl="1">
      <w:start w:val="1"/>
      <w:numFmt w:val="decimal"/>
      <w:pStyle w:val="Style2"/>
      <w:isLgl/>
      <w:lvlText w:val="%1.%2."/>
      <w:lvlJc w:val="left"/>
      <w:pPr>
        <w:ind w:left="1146" w:hanging="720"/>
      </w:pPr>
      <w:rPr>
        <w:rFonts w:hint="default"/>
      </w:rPr>
    </w:lvl>
    <w:lvl w:ilvl="2">
      <w:start w:val="1"/>
      <w:numFmt w:val="decimal"/>
      <w:pStyle w:val="Style3"/>
      <w:isLgl/>
      <w:lvlText w:val="%1.%2.%3."/>
      <w:lvlJc w:val="left"/>
      <w:pPr>
        <w:ind w:left="720" w:hanging="720"/>
      </w:pPr>
      <w:rPr>
        <w:rFonts w:hint="default"/>
      </w:rPr>
    </w:lvl>
    <w:lvl w:ilvl="3">
      <w:start w:val="1"/>
      <w:numFmt w:val="decimal"/>
      <w:pStyle w:val="Style4"/>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72F4B10"/>
    <w:multiLevelType w:val="multilevel"/>
    <w:tmpl w:val="DF9E32B0"/>
    <w:lvl w:ilvl="0">
      <w:start w:val="1"/>
      <w:numFmt w:val="bullet"/>
      <w:lvlText w:val="."/>
      <w:lvlJc w:val="left"/>
      <w:pPr>
        <w:ind w:left="1080" w:hanging="360"/>
      </w:pPr>
      <w:rPr>
        <w:rFonts w:ascii="Calibr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0" w15:restartNumberingAfterBreak="0">
    <w:nsid w:val="676B370D"/>
    <w:multiLevelType w:val="multilevel"/>
    <w:tmpl w:val="5B346A96"/>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67D77D55"/>
    <w:multiLevelType w:val="multilevel"/>
    <w:tmpl w:val="EA9E442A"/>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6A424474"/>
    <w:multiLevelType w:val="multilevel"/>
    <w:tmpl w:val="B34AA1AA"/>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 w15:restartNumberingAfterBreak="0">
    <w:nsid w:val="6B7375E6"/>
    <w:multiLevelType w:val="multilevel"/>
    <w:tmpl w:val="381038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4" w15:restartNumberingAfterBreak="0">
    <w:nsid w:val="766F57D1"/>
    <w:multiLevelType w:val="multilevel"/>
    <w:tmpl w:val="7BAE60F8"/>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76DC2DF8"/>
    <w:multiLevelType w:val="multilevel"/>
    <w:tmpl w:val="4232EFB6"/>
    <w:lvl w:ilvl="0">
      <w:start w:val="1"/>
      <w:numFmt w:val="decimal"/>
      <w:pStyle w:val="TitreTableauAdeme"/>
      <w:suff w:val="space"/>
      <w:lvlText w:val="Tableau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7153E92"/>
    <w:multiLevelType w:val="multilevel"/>
    <w:tmpl w:val="58B0C646"/>
    <w:lvl w:ilvl="0">
      <w:start w:val="2"/>
      <w:numFmt w:val="bullet"/>
      <w:lvlText w:val="-"/>
      <w:lvlJc w:val="left"/>
      <w:pPr>
        <w:ind w:left="720" w:hanging="360"/>
      </w:pPr>
      <w:rPr>
        <w:rFonts w:ascii="Arial" w:hAnsi="Arial" w:cs="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7B6638A5"/>
    <w:multiLevelType w:val="multilevel"/>
    <w:tmpl w:val="8952AD1C"/>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7C367F5A"/>
    <w:multiLevelType w:val="multilevel"/>
    <w:tmpl w:val="F68E3800"/>
    <w:lvl w:ilvl="0">
      <w:start w:val="1"/>
      <w:numFmt w:val="decimal"/>
      <w:suff w:val="space"/>
      <w:lvlText w:val="%1 -"/>
      <w:lvlJc w:val="left"/>
      <w:pPr>
        <w:ind w:left="0" w:firstLine="0"/>
      </w:pPr>
    </w:lvl>
    <w:lvl w:ilvl="1">
      <w:start w:val="1"/>
      <w:numFmt w:val="decimal"/>
      <w:suff w:val="space"/>
      <w:lvlText w:val="%1.%2 -"/>
      <w:lvlJc w:val="left"/>
      <w:pPr>
        <w:ind w:left="0" w:firstLine="0"/>
      </w:pPr>
    </w:lvl>
    <w:lvl w:ilvl="2">
      <w:start w:val="1"/>
      <w:numFmt w:val="decimal"/>
      <w:suff w:val="space"/>
      <w:lvlText w:val="%1.%2.%3 -"/>
      <w:lvlJc w:val="left"/>
      <w:pPr>
        <w:ind w:left="0" w:firstLine="0"/>
      </w:pPr>
    </w:lvl>
    <w:lvl w:ilvl="3">
      <w:start w:val="1"/>
      <w:numFmt w:val="decimal"/>
      <w:suff w:val="space"/>
      <w:lvlText w:val="%1.%2.%3.%4 -"/>
      <w:lvlJc w:val="left"/>
      <w:pPr>
        <w:ind w:left="0" w:firstLine="0"/>
      </w:pPr>
    </w:lvl>
    <w:lvl w:ilvl="4">
      <w:start w:val="1"/>
      <w:numFmt w:val="decimal"/>
      <w:suff w:val="space"/>
      <w:lvlText w:val="%1.%2.%3.%4.%5 -"/>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9" w15:restartNumberingAfterBreak="0">
    <w:nsid w:val="7DC55378"/>
    <w:multiLevelType w:val="multilevel"/>
    <w:tmpl w:val="F7ECDFF8"/>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523711896">
    <w:abstractNumId w:val="23"/>
  </w:num>
  <w:num w:numId="2" w16cid:durableId="800929094">
    <w:abstractNumId w:val="2"/>
    <w:lvlOverride w:ilvl="0">
      <w:lvl w:ilvl="0">
        <w:start w:val="1"/>
        <w:numFmt w:val="decimal"/>
        <w:pStyle w:val="Titre1"/>
        <w:suff w:val="space"/>
        <w:lvlText w:val="%1 -"/>
        <w:lvlJc w:val="left"/>
        <w:pPr>
          <w:ind w:left="0" w:firstLine="0"/>
        </w:pPr>
        <w:rPr>
          <w:rFonts w:hint="default"/>
        </w:rPr>
      </w:lvl>
    </w:lvlOverride>
  </w:num>
  <w:num w:numId="3" w16cid:durableId="881289645">
    <w:abstractNumId w:val="15"/>
  </w:num>
  <w:num w:numId="4" w16cid:durableId="49112200">
    <w:abstractNumId w:val="25"/>
  </w:num>
  <w:num w:numId="5" w16cid:durableId="1716151765">
    <w:abstractNumId w:val="18"/>
  </w:num>
  <w:num w:numId="6" w16cid:durableId="570501168">
    <w:abstractNumId w:val="7"/>
  </w:num>
  <w:num w:numId="7" w16cid:durableId="970749224">
    <w:abstractNumId w:val="28"/>
  </w:num>
  <w:num w:numId="8" w16cid:durableId="1535730542">
    <w:abstractNumId w:val="20"/>
  </w:num>
  <w:num w:numId="9" w16cid:durableId="557321827">
    <w:abstractNumId w:val="16"/>
  </w:num>
  <w:num w:numId="10" w16cid:durableId="1323896155">
    <w:abstractNumId w:val="10"/>
  </w:num>
  <w:num w:numId="11" w16cid:durableId="1317566569">
    <w:abstractNumId w:val="27"/>
  </w:num>
  <w:num w:numId="12" w16cid:durableId="1012687427">
    <w:abstractNumId w:val="14"/>
  </w:num>
  <w:num w:numId="13" w16cid:durableId="597298516">
    <w:abstractNumId w:val="0"/>
  </w:num>
  <w:num w:numId="14" w16cid:durableId="1919560210">
    <w:abstractNumId w:val="17"/>
  </w:num>
  <w:num w:numId="15" w16cid:durableId="28187798">
    <w:abstractNumId w:val="5"/>
  </w:num>
  <w:num w:numId="16" w16cid:durableId="784353714">
    <w:abstractNumId w:val="11"/>
  </w:num>
  <w:num w:numId="17" w16cid:durableId="1477257840">
    <w:abstractNumId w:val="13"/>
  </w:num>
  <w:num w:numId="18" w16cid:durableId="1704474209">
    <w:abstractNumId w:val="3"/>
  </w:num>
  <w:num w:numId="19" w16cid:durableId="243879325">
    <w:abstractNumId w:val="21"/>
  </w:num>
  <w:num w:numId="20" w16cid:durableId="1464470133">
    <w:abstractNumId w:val="9"/>
  </w:num>
  <w:num w:numId="21" w16cid:durableId="1948659177">
    <w:abstractNumId w:val="22"/>
  </w:num>
  <w:num w:numId="22" w16cid:durableId="417557335">
    <w:abstractNumId w:val="12"/>
  </w:num>
  <w:num w:numId="23" w16cid:durableId="408309394">
    <w:abstractNumId w:val="6"/>
  </w:num>
  <w:num w:numId="24" w16cid:durableId="990450508">
    <w:abstractNumId w:val="4"/>
  </w:num>
  <w:num w:numId="25" w16cid:durableId="1950769685">
    <w:abstractNumId w:val="19"/>
  </w:num>
  <w:num w:numId="26" w16cid:durableId="2036996367">
    <w:abstractNumId w:val="1"/>
  </w:num>
  <w:num w:numId="27" w16cid:durableId="893352672">
    <w:abstractNumId w:val="29"/>
  </w:num>
  <w:num w:numId="28" w16cid:durableId="93324131">
    <w:abstractNumId w:val="24"/>
  </w:num>
  <w:num w:numId="29" w16cid:durableId="626158846">
    <w:abstractNumId w:val="8"/>
  </w:num>
  <w:num w:numId="30" w16cid:durableId="119224194">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796"/>
    <w:rsid w:val="00032464"/>
    <w:rsid w:val="00033FDB"/>
    <w:rsid w:val="00035BE7"/>
    <w:rsid w:val="00040752"/>
    <w:rsid w:val="00042475"/>
    <w:rsid w:val="00044B1C"/>
    <w:rsid w:val="00051041"/>
    <w:rsid w:val="00061972"/>
    <w:rsid w:val="00067774"/>
    <w:rsid w:val="0007100F"/>
    <w:rsid w:val="00072961"/>
    <w:rsid w:val="000849E9"/>
    <w:rsid w:val="00086C1D"/>
    <w:rsid w:val="000900DA"/>
    <w:rsid w:val="00091C0B"/>
    <w:rsid w:val="00093F37"/>
    <w:rsid w:val="000B288D"/>
    <w:rsid w:val="000B3174"/>
    <w:rsid w:val="000B73BA"/>
    <w:rsid w:val="000C4A1E"/>
    <w:rsid w:val="000D3209"/>
    <w:rsid w:val="000D4504"/>
    <w:rsid w:val="000D4572"/>
    <w:rsid w:val="000D5BAF"/>
    <w:rsid w:val="000E3CAA"/>
    <w:rsid w:val="000E7D36"/>
    <w:rsid w:val="000F4561"/>
    <w:rsid w:val="000F4BCA"/>
    <w:rsid w:val="00100238"/>
    <w:rsid w:val="001017E0"/>
    <w:rsid w:val="00102075"/>
    <w:rsid w:val="00106252"/>
    <w:rsid w:val="00116313"/>
    <w:rsid w:val="0012168B"/>
    <w:rsid w:val="00124DA8"/>
    <w:rsid w:val="0013695A"/>
    <w:rsid w:val="00140098"/>
    <w:rsid w:val="001406FC"/>
    <w:rsid w:val="00141A82"/>
    <w:rsid w:val="0014254F"/>
    <w:rsid w:val="00150A3B"/>
    <w:rsid w:val="0015187C"/>
    <w:rsid w:val="00152E15"/>
    <w:rsid w:val="00154B74"/>
    <w:rsid w:val="001635F9"/>
    <w:rsid w:val="001659A4"/>
    <w:rsid w:val="001801CB"/>
    <w:rsid w:val="001810DC"/>
    <w:rsid w:val="0018190C"/>
    <w:rsid w:val="00186F6F"/>
    <w:rsid w:val="00197E20"/>
    <w:rsid w:val="001A65A7"/>
    <w:rsid w:val="001B03B1"/>
    <w:rsid w:val="001B329A"/>
    <w:rsid w:val="001B43AD"/>
    <w:rsid w:val="001C2FBD"/>
    <w:rsid w:val="001C47E6"/>
    <w:rsid w:val="001D14CB"/>
    <w:rsid w:val="001D3721"/>
    <w:rsid w:val="001E29B6"/>
    <w:rsid w:val="001E4875"/>
    <w:rsid w:val="001E7B02"/>
    <w:rsid w:val="001F5CC4"/>
    <w:rsid w:val="001F6EB0"/>
    <w:rsid w:val="002132B5"/>
    <w:rsid w:val="00217EA5"/>
    <w:rsid w:val="002209FD"/>
    <w:rsid w:val="00225E74"/>
    <w:rsid w:val="00226E9D"/>
    <w:rsid w:val="0023554E"/>
    <w:rsid w:val="00235E9F"/>
    <w:rsid w:val="00242295"/>
    <w:rsid w:val="0024425B"/>
    <w:rsid w:val="002510AF"/>
    <w:rsid w:val="00272DEE"/>
    <w:rsid w:val="002779CB"/>
    <w:rsid w:val="0028556D"/>
    <w:rsid w:val="00296115"/>
    <w:rsid w:val="002A1A51"/>
    <w:rsid w:val="002A2D5E"/>
    <w:rsid w:val="002A4B65"/>
    <w:rsid w:val="002B1D50"/>
    <w:rsid w:val="002B36BF"/>
    <w:rsid w:val="002B5F0F"/>
    <w:rsid w:val="002C2129"/>
    <w:rsid w:val="002C6100"/>
    <w:rsid w:val="002C7178"/>
    <w:rsid w:val="002D1796"/>
    <w:rsid w:val="002E7237"/>
    <w:rsid w:val="002E7B2C"/>
    <w:rsid w:val="002F5ACC"/>
    <w:rsid w:val="003023A7"/>
    <w:rsid w:val="00305EA7"/>
    <w:rsid w:val="0030793B"/>
    <w:rsid w:val="00320CEA"/>
    <w:rsid w:val="00325774"/>
    <w:rsid w:val="003279B1"/>
    <w:rsid w:val="0034340D"/>
    <w:rsid w:val="003436BB"/>
    <w:rsid w:val="00350CF3"/>
    <w:rsid w:val="0035522D"/>
    <w:rsid w:val="00372008"/>
    <w:rsid w:val="00376791"/>
    <w:rsid w:val="003A3BB4"/>
    <w:rsid w:val="003A4EF0"/>
    <w:rsid w:val="003B0F20"/>
    <w:rsid w:val="003B6AC8"/>
    <w:rsid w:val="003C06F0"/>
    <w:rsid w:val="003D3716"/>
    <w:rsid w:val="003D40AC"/>
    <w:rsid w:val="003D5F13"/>
    <w:rsid w:val="003D78DA"/>
    <w:rsid w:val="003D7A1F"/>
    <w:rsid w:val="003E23F3"/>
    <w:rsid w:val="003E7D7C"/>
    <w:rsid w:val="003F0A77"/>
    <w:rsid w:val="003F1E0D"/>
    <w:rsid w:val="003F563D"/>
    <w:rsid w:val="0040412D"/>
    <w:rsid w:val="00405F23"/>
    <w:rsid w:val="00416402"/>
    <w:rsid w:val="00423D48"/>
    <w:rsid w:val="004344B6"/>
    <w:rsid w:val="00435D23"/>
    <w:rsid w:val="004406EA"/>
    <w:rsid w:val="004449E8"/>
    <w:rsid w:val="00455089"/>
    <w:rsid w:val="004552AE"/>
    <w:rsid w:val="00484709"/>
    <w:rsid w:val="0049255A"/>
    <w:rsid w:val="00492AA7"/>
    <w:rsid w:val="00494C5E"/>
    <w:rsid w:val="004A1702"/>
    <w:rsid w:val="004A5FC9"/>
    <w:rsid w:val="004B18AF"/>
    <w:rsid w:val="004B59B9"/>
    <w:rsid w:val="004B6448"/>
    <w:rsid w:val="004C3A97"/>
    <w:rsid w:val="004E4890"/>
    <w:rsid w:val="004F0826"/>
    <w:rsid w:val="004F4640"/>
    <w:rsid w:val="00502263"/>
    <w:rsid w:val="0050262A"/>
    <w:rsid w:val="0051166F"/>
    <w:rsid w:val="00517012"/>
    <w:rsid w:val="00524B6F"/>
    <w:rsid w:val="00536AAC"/>
    <w:rsid w:val="0055310B"/>
    <w:rsid w:val="00554D66"/>
    <w:rsid w:val="00554FEE"/>
    <w:rsid w:val="00563E9A"/>
    <w:rsid w:val="00564431"/>
    <w:rsid w:val="0056612A"/>
    <w:rsid w:val="00566319"/>
    <w:rsid w:val="00571B91"/>
    <w:rsid w:val="0057258B"/>
    <w:rsid w:val="00575606"/>
    <w:rsid w:val="00583B0F"/>
    <w:rsid w:val="00590C9E"/>
    <w:rsid w:val="005920D3"/>
    <w:rsid w:val="0059237A"/>
    <w:rsid w:val="005A78B3"/>
    <w:rsid w:val="005C054F"/>
    <w:rsid w:val="005C169E"/>
    <w:rsid w:val="005C2383"/>
    <w:rsid w:val="005C3CFC"/>
    <w:rsid w:val="005D0D3B"/>
    <w:rsid w:val="005E1808"/>
    <w:rsid w:val="005E2307"/>
    <w:rsid w:val="005E3461"/>
    <w:rsid w:val="005E58E1"/>
    <w:rsid w:val="005E6661"/>
    <w:rsid w:val="005F1B14"/>
    <w:rsid w:val="00603379"/>
    <w:rsid w:val="00603F74"/>
    <w:rsid w:val="00606E86"/>
    <w:rsid w:val="00613976"/>
    <w:rsid w:val="0061729F"/>
    <w:rsid w:val="00625F5A"/>
    <w:rsid w:val="00647DA4"/>
    <w:rsid w:val="0065330E"/>
    <w:rsid w:val="006548F5"/>
    <w:rsid w:val="00654E8B"/>
    <w:rsid w:val="006556C6"/>
    <w:rsid w:val="00657D71"/>
    <w:rsid w:val="006614D3"/>
    <w:rsid w:val="00664F0B"/>
    <w:rsid w:val="00673D99"/>
    <w:rsid w:val="00675646"/>
    <w:rsid w:val="00690783"/>
    <w:rsid w:val="00697A0A"/>
    <w:rsid w:val="006B6135"/>
    <w:rsid w:val="006B750D"/>
    <w:rsid w:val="006C148C"/>
    <w:rsid w:val="006C5082"/>
    <w:rsid w:val="006D12A9"/>
    <w:rsid w:val="006E28BB"/>
    <w:rsid w:val="006E35D6"/>
    <w:rsid w:val="006E4859"/>
    <w:rsid w:val="0070010C"/>
    <w:rsid w:val="007004D3"/>
    <w:rsid w:val="00707968"/>
    <w:rsid w:val="00711C61"/>
    <w:rsid w:val="00720B13"/>
    <w:rsid w:val="00724BA8"/>
    <w:rsid w:val="00726A32"/>
    <w:rsid w:val="00730FE8"/>
    <w:rsid w:val="00744FC3"/>
    <w:rsid w:val="00747603"/>
    <w:rsid w:val="00770949"/>
    <w:rsid w:val="0077241E"/>
    <w:rsid w:val="00774BC7"/>
    <w:rsid w:val="00776838"/>
    <w:rsid w:val="007B0984"/>
    <w:rsid w:val="007B1A86"/>
    <w:rsid w:val="007B639B"/>
    <w:rsid w:val="007C017E"/>
    <w:rsid w:val="007C2FE8"/>
    <w:rsid w:val="007C53CC"/>
    <w:rsid w:val="007E56B4"/>
    <w:rsid w:val="00800CD0"/>
    <w:rsid w:val="00820078"/>
    <w:rsid w:val="0082576A"/>
    <w:rsid w:val="00825EA1"/>
    <w:rsid w:val="00844920"/>
    <w:rsid w:val="008532DF"/>
    <w:rsid w:val="00855F05"/>
    <w:rsid w:val="008571F1"/>
    <w:rsid w:val="00861E15"/>
    <w:rsid w:val="00865EDC"/>
    <w:rsid w:val="008712DD"/>
    <w:rsid w:val="008723D3"/>
    <w:rsid w:val="00877EBC"/>
    <w:rsid w:val="0088200E"/>
    <w:rsid w:val="008B03FF"/>
    <w:rsid w:val="008B6366"/>
    <w:rsid w:val="008C68AE"/>
    <w:rsid w:val="008D33A6"/>
    <w:rsid w:val="008E07EC"/>
    <w:rsid w:val="008E1DEB"/>
    <w:rsid w:val="008E31C4"/>
    <w:rsid w:val="008E72EF"/>
    <w:rsid w:val="008F0BFE"/>
    <w:rsid w:val="00904CAC"/>
    <w:rsid w:val="00930938"/>
    <w:rsid w:val="00930F7A"/>
    <w:rsid w:val="00933570"/>
    <w:rsid w:val="009417C1"/>
    <w:rsid w:val="00950407"/>
    <w:rsid w:val="00963707"/>
    <w:rsid w:val="009726DC"/>
    <w:rsid w:val="0097376D"/>
    <w:rsid w:val="00986319"/>
    <w:rsid w:val="00995400"/>
    <w:rsid w:val="00997B09"/>
    <w:rsid w:val="009A34CC"/>
    <w:rsid w:val="009B11F7"/>
    <w:rsid w:val="009B3809"/>
    <w:rsid w:val="009B4387"/>
    <w:rsid w:val="009B5011"/>
    <w:rsid w:val="009B5743"/>
    <w:rsid w:val="009C0337"/>
    <w:rsid w:val="009C2D45"/>
    <w:rsid w:val="009C650F"/>
    <w:rsid w:val="009C7AEF"/>
    <w:rsid w:val="009D35A6"/>
    <w:rsid w:val="009D477A"/>
    <w:rsid w:val="009E0BA1"/>
    <w:rsid w:val="009F0473"/>
    <w:rsid w:val="009F181B"/>
    <w:rsid w:val="009F7F88"/>
    <w:rsid w:val="00A10AF1"/>
    <w:rsid w:val="00A15323"/>
    <w:rsid w:val="00A23FAF"/>
    <w:rsid w:val="00A2620E"/>
    <w:rsid w:val="00A432DD"/>
    <w:rsid w:val="00A54DB0"/>
    <w:rsid w:val="00A56153"/>
    <w:rsid w:val="00A56C3A"/>
    <w:rsid w:val="00A602F8"/>
    <w:rsid w:val="00A63094"/>
    <w:rsid w:val="00A72C98"/>
    <w:rsid w:val="00A72CB0"/>
    <w:rsid w:val="00A801F4"/>
    <w:rsid w:val="00A86B2D"/>
    <w:rsid w:val="00A9422D"/>
    <w:rsid w:val="00A94F75"/>
    <w:rsid w:val="00AA53F9"/>
    <w:rsid w:val="00AA5D03"/>
    <w:rsid w:val="00AB4245"/>
    <w:rsid w:val="00AB66D7"/>
    <w:rsid w:val="00AB720E"/>
    <w:rsid w:val="00AC1A00"/>
    <w:rsid w:val="00AD0B39"/>
    <w:rsid w:val="00AE411E"/>
    <w:rsid w:val="00AF5AB1"/>
    <w:rsid w:val="00B057FC"/>
    <w:rsid w:val="00B17139"/>
    <w:rsid w:val="00B214A4"/>
    <w:rsid w:val="00B40EB3"/>
    <w:rsid w:val="00B43144"/>
    <w:rsid w:val="00B52724"/>
    <w:rsid w:val="00B55D6D"/>
    <w:rsid w:val="00B66C77"/>
    <w:rsid w:val="00B67B8A"/>
    <w:rsid w:val="00B706EE"/>
    <w:rsid w:val="00B76236"/>
    <w:rsid w:val="00B83C02"/>
    <w:rsid w:val="00B86F17"/>
    <w:rsid w:val="00B90AF3"/>
    <w:rsid w:val="00BA2D97"/>
    <w:rsid w:val="00BA3D7B"/>
    <w:rsid w:val="00BA61FD"/>
    <w:rsid w:val="00BA7E4B"/>
    <w:rsid w:val="00BB58DF"/>
    <w:rsid w:val="00BC01F9"/>
    <w:rsid w:val="00BC0A7E"/>
    <w:rsid w:val="00BC4DC8"/>
    <w:rsid w:val="00BE0B2D"/>
    <w:rsid w:val="00BE4299"/>
    <w:rsid w:val="00BF1323"/>
    <w:rsid w:val="00C01B8F"/>
    <w:rsid w:val="00C042F9"/>
    <w:rsid w:val="00C05C3A"/>
    <w:rsid w:val="00C06E16"/>
    <w:rsid w:val="00C21576"/>
    <w:rsid w:val="00C32ED6"/>
    <w:rsid w:val="00C34E41"/>
    <w:rsid w:val="00C35FA4"/>
    <w:rsid w:val="00C45C49"/>
    <w:rsid w:val="00C53147"/>
    <w:rsid w:val="00C55845"/>
    <w:rsid w:val="00C61B2B"/>
    <w:rsid w:val="00C8221A"/>
    <w:rsid w:val="00C8222E"/>
    <w:rsid w:val="00C82DCD"/>
    <w:rsid w:val="00CA013D"/>
    <w:rsid w:val="00CA2736"/>
    <w:rsid w:val="00CA2811"/>
    <w:rsid w:val="00CA2E9D"/>
    <w:rsid w:val="00CA3237"/>
    <w:rsid w:val="00CA68EB"/>
    <w:rsid w:val="00CB0F99"/>
    <w:rsid w:val="00CB35A2"/>
    <w:rsid w:val="00CC0B28"/>
    <w:rsid w:val="00CC70C5"/>
    <w:rsid w:val="00CC760F"/>
    <w:rsid w:val="00CD0C2A"/>
    <w:rsid w:val="00CD5EF9"/>
    <w:rsid w:val="00CD7EB9"/>
    <w:rsid w:val="00CE02C9"/>
    <w:rsid w:val="00CE02F0"/>
    <w:rsid w:val="00CE3019"/>
    <w:rsid w:val="00CE4E02"/>
    <w:rsid w:val="00D01436"/>
    <w:rsid w:val="00D07746"/>
    <w:rsid w:val="00D119C3"/>
    <w:rsid w:val="00D217D2"/>
    <w:rsid w:val="00D23F9A"/>
    <w:rsid w:val="00D26B1E"/>
    <w:rsid w:val="00D2760E"/>
    <w:rsid w:val="00D3492E"/>
    <w:rsid w:val="00D36358"/>
    <w:rsid w:val="00D40AFE"/>
    <w:rsid w:val="00D40D65"/>
    <w:rsid w:val="00D412FA"/>
    <w:rsid w:val="00D46961"/>
    <w:rsid w:val="00D505FF"/>
    <w:rsid w:val="00D51B21"/>
    <w:rsid w:val="00D53D47"/>
    <w:rsid w:val="00D61C89"/>
    <w:rsid w:val="00D61EE4"/>
    <w:rsid w:val="00D62494"/>
    <w:rsid w:val="00D708B5"/>
    <w:rsid w:val="00D720F1"/>
    <w:rsid w:val="00D72B5A"/>
    <w:rsid w:val="00D9152D"/>
    <w:rsid w:val="00D949B4"/>
    <w:rsid w:val="00D96ECB"/>
    <w:rsid w:val="00DB45D3"/>
    <w:rsid w:val="00DC205F"/>
    <w:rsid w:val="00DD0800"/>
    <w:rsid w:val="00DD52B1"/>
    <w:rsid w:val="00DD6C6D"/>
    <w:rsid w:val="00DE1697"/>
    <w:rsid w:val="00DE59B0"/>
    <w:rsid w:val="00DE68A0"/>
    <w:rsid w:val="00DF5F46"/>
    <w:rsid w:val="00E23696"/>
    <w:rsid w:val="00E30524"/>
    <w:rsid w:val="00E3440C"/>
    <w:rsid w:val="00E35F4A"/>
    <w:rsid w:val="00E3698F"/>
    <w:rsid w:val="00E519AE"/>
    <w:rsid w:val="00E53CB8"/>
    <w:rsid w:val="00E5448E"/>
    <w:rsid w:val="00E565EA"/>
    <w:rsid w:val="00E6634F"/>
    <w:rsid w:val="00E66FFC"/>
    <w:rsid w:val="00E7234D"/>
    <w:rsid w:val="00E72A3F"/>
    <w:rsid w:val="00E760E0"/>
    <w:rsid w:val="00E80B6B"/>
    <w:rsid w:val="00E81898"/>
    <w:rsid w:val="00E81A37"/>
    <w:rsid w:val="00E83F00"/>
    <w:rsid w:val="00E8622C"/>
    <w:rsid w:val="00E86DE3"/>
    <w:rsid w:val="00E95B0A"/>
    <w:rsid w:val="00E962B6"/>
    <w:rsid w:val="00E97FAF"/>
    <w:rsid w:val="00EA0050"/>
    <w:rsid w:val="00EB068A"/>
    <w:rsid w:val="00EB5888"/>
    <w:rsid w:val="00EB5C93"/>
    <w:rsid w:val="00ED519A"/>
    <w:rsid w:val="00EE17FC"/>
    <w:rsid w:val="00EE626F"/>
    <w:rsid w:val="00EE683E"/>
    <w:rsid w:val="00F0285D"/>
    <w:rsid w:val="00F12098"/>
    <w:rsid w:val="00F21FCA"/>
    <w:rsid w:val="00F27233"/>
    <w:rsid w:val="00F30DBC"/>
    <w:rsid w:val="00F55C78"/>
    <w:rsid w:val="00F616EA"/>
    <w:rsid w:val="00F640B8"/>
    <w:rsid w:val="00FA162D"/>
    <w:rsid w:val="00FB1B9C"/>
    <w:rsid w:val="00FB5C8B"/>
    <w:rsid w:val="00FC1790"/>
    <w:rsid w:val="00FC259D"/>
    <w:rsid w:val="00FD5B3B"/>
    <w:rsid w:val="00FE025E"/>
    <w:rsid w:val="00FE314E"/>
    <w:rsid w:val="00FF6C2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5B5E2D"/>
  <w15:docId w15:val="{84E0E68C-52FB-4772-BB28-C40BCEBBA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Ademe"/>
    <w:qFormat/>
    <w:rsid w:val="00FB1B9C"/>
    <w:pPr>
      <w:spacing w:after="0" w:line="240" w:lineRule="auto"/>
      <w:jc w:val="both"/>
    </w:pPr>
    <w:rPr>
      <w:rFonts w:ascii="Calibri" w:eastAsia="Times New Roman" w:hAnsi="Calibri" w:cs="Times New Roman"/>
      <w:noProof/>
      <w:sz w:val="24"/>
      <w:szCs w:val="24"/>
      <w:lang w:eastAsia="fr-FR"/>
    </w:rPr>
  </w:style>
  <w:style w:type="paragraph" w:styleId="Titre1">
    <w:name w:val="heading 1"/>
    <w:aliases w:val="Titre 1 Ademe"/>
    <w:basedOn w:val="Normal"/>
    <w:next w:val="Normal"/>
    <w:link w:val="Titre1Car"/>
    <w:autoRedefine/>
    <w:qFormat/>
    <w:rsid w:val="00FB1B9C"/>
    <w:pPr>
      <w:numPr>
        <w:numId w:val="2"/>
      </w:numPr>
      <w:spacing w:before="240" w:after="120"/>
      <w:outlineLvl w:val="0"/>
    </w:pPr>
    <w:rPr>
      <w:b/>
      <w:bCs/>
      <w:caps/>
      <w:kern w:val="40"/>
      <w:sz w:val="40"/>
      <w:szCs w:val="32"/>
    </w:rPr>
  </w:style>
  <w:style w:type="paragraph" w:styleId="Titre2">
    <w:name w:val="heading 2"/>
    <w:aliases w:val="Titre 2 Ademe"/>
    <w:basedOn w:val="Normal"/>
    <w:next w:val="Normal"/>
    <w:link w:val="Titre2Car"/>
    <w:autoRedefine/>
    <w:qFormat/>
    <w:rsid w:val="00FB1B9C"/>
    <w:pPr>
      <w:numPr>
        <w:ilvl w:val="1"/>
        <w:numId w:val="2"/>
      </w:numPr>
      <w:spacing w:before="100" w:beforeAutospacing="1" w:after="240"/>
      <w:jc w:val="left"/>
      <w:outlineLvl w:val="1"/>
    </w:pPr>
    <w:rPr>
      <w:b/>
      <w:bCs/>
      <w:i/>
      <w:kern w:val="28"/>
      <w:sz w:val="28"/>
    </w:rPr>
  </w:style>
  <w:style w:type="paragraph" w:styleId="Titre3">
    <w:name w:val="heading 3"/>
    <w:aliases w:val="Titre 3 Ademe"/>
    <w:basedOn w:val="Normal"/>
    <w:next w:val="Normal"/>
    <w:link w:val="Titre3Car"/>
    <w:autoRedefine/>
    <w:qFormat/>
    <w:rsid w:val="00FB1B9C"/>
    <w:pPr>
      <w:numPr>
        <w:ilvl w:val="2"/>
        <w:numId w:val="2"/>
      </w:numPr>
      <w:spacing w:before="100" w:beforeAutospacing="1" w:after="100" w:afterAutospacing="1"/>
      <w:jc w:val="left"/>
      <w:outlineLvl w:val="2"/>
    </w:pPr>
    <w:rPr>
      <w:b/>
      <w:bCs/>
      <w:i/>
      <w:kern w:val="24"/>
      <w:szCs w:val="20"/>
    </w:rPr>
  </w:style>
  <w:style w:type="paragraph" w:styleId="Titre4">
    <w:name w:val="heading 4"/>
    <w:aliases w:val="Titre 4 Ademe"/>
    <w:basedOn w:val="Normal"/>
    <w:next w:val="Normal"/>
    <w:link w:val="Titre4Car"/>
    <w:autoRedefine/>
    <w:qFormat/>
    <w:rsid w:val="00FB1B9C"/>
    <w:pPr>
      <w:numPr>
        <w:ilvl w:val="3"/>
        <w:numId w:val="2"/>
      </w:numPr>
      <w:tabs>
        <w:tab w:val="left" w:pos="964"/>
      </w:tabs>
      <w:spacing w:before="100" w:beforeAutospacing="1" w:after="100" w:afterAutospacing="1"/>
      <w:jc w:val="left"/>
      <w:outlineLvl w:val="3"/>
    </w:pPr>
    <w:rPr>
      <w:b/>
      <w:bCs/>
      <w:szCs w:val="28"/>
    </w:rPr>
  </w:style>
  <w:style w:type="paragraph" w:styleId="Titre5">
    <w:name w:val="heading 5"/>
    <w:aliases w:val="Titre 5 Ademe"/>
    <w:basedOn w:val="Normal"/>
    <w:next w:val="Normal"/>
    <w:link w:val="Titre5Car"/>
    <w:autoRedefine/>
    <w:qFormat/>
    <w:rsid w:val="00FB1B9C"/>
    <w:pPr>
      <w:numPr>
        <w:ilvl w:val="4"/>
        <w:numId w:val="2"/>
      </w:numPr>
      <w:tabs>
        <w:tab w:val="left" w:pos="1134"/>
      </w:tabs>
      <w:spacing w:before="100" w:beforeAutospacing="1" w:after="100" w:afterAutospacing="1"/>
      <w:jc w:val="left"/>
      <w:outlineLvl w:val="4"/>
    </w:pPr>
    <w:rPr>
      <w:bCs/>
      <w:iCs/>
      <w:szCs w:val="26"/>
    </w:rPr>
  </w:style>
  <w:style w:type="paragraph" w:styleId="Titre6">
    <w:name w:val="heading 6"/>
    <w:basedOn w:val="Normal"/>
    <w:next w:val="Normal"/>
    <w:link w:val="Titre6Car"/>
    <w:autoRedefine/>
    <w:qFormat/>
    <w:rsid w:val="00FB1B9C"/>
    <w:pPr>
      <w:numPr>
        <w:ilvl w:val="5"/>
        <w:numId w:val="1"/>
      </w:numPr>
      <w:tabs>
        <w:tab w:val="left" w:pos="1276"/>
      </w:tabs>
      <w:spacing w:before="100" w:beforeAutospacing="1" w:after="100" w:afterAutospacing="1"/>
      <w:outlineLvl w:val="5"/>
    </w:pPr>
    <w:rPr>
      <w:bCs/>
    </w:rPr>
  </w:style>
  <w:style w:type="paragraph" w:styleId="Titre7">
    <w:name w:val="heading 7"/>
    <w:basedOn w:val="Normal"/>
    <w:next w:val="Normal"/>
    <w:link w:val="Titre7Car"/>
    <w:autoRedefine/>
    <w:qFormat/>
    <w:rsid w:val="00FB1B9C"/>
    <w:pPr>
      <w:numPr>
        <w:ilvl w:val="6"/>
        <w:numId w:val="1"/>
      </w:numPr>
      <w:tabs>
        <w:tab w:val="left" w:pos="1560"/>
      </w:tabs>
      <w:overflowPunct w:val="0"/>
      <w:autoSpaceDE w:val="0"/>
      <w:spacing w:before="100" w:beforeAutospacing="1" w:after="100" w:afterAutospacing="1"/>
      <w:textAlignment w:val="baseline"/>
      <w:outlineLvl w:val="6"/>
    </w:pPr>
    <w:rPr>
      <w:rFonts w:cs="Book Antiqua"/>
    </w:rPr>
  </w:style>
  <w:style w:type="paragraph" w:styleId="Titre8">
    <w:name w:val="heading 8"/>
    <w:basedOn w:val="Normal"/>
    <w:next w:val="Normal"/>
    <w:link w:val="Titre8Car"/>
    <w:autoRedefine/>
    <w:qFormat/>
    <w:rsid w:val="00FB1B9C"/>
    <w:pPr>
      <w:numPr>
        <w:ilvl w:val="7"/>
        <w:numId w:val="1"/>
      </w:numPr>
      <w:tabs>
        <w:tab w:val="left" w:pos="1701"/>
      </w:tabs>
      <w:overflowPunct w:val="0"/>
      <w:autoSpaceDE w:val="0"/>
      <w:spacing w:before="100" w:beforeAutospacing="1" w:after="100" w:afterAutospacing="1"/>
      <w:textAlignment w:val="baseline"/>
      <w:outlineLvl w:val="7"/>
    </w:pPr>
    <w:rPr>
      <w:rFonts w:cs="Book Antiqua"/>
      <w:iCs/>
    </w:rPr>
  </w:style>
  <w:style w:type="paragraph" w:styleId="Titre9">
    <w:name w:val="heading 9"/>
    <w:basedOn w:val="Normal"/>
    <w:next w:val="Normal"/>
    <w:link w:val="Titre9Car"/>
    <w:autoRedefine/>
    <w:qFormat/>
    <w:rsid w:val="00FB1B9C"/>
    <w:pPr>
      <w:numPr>
        <w:ilvl w:val="8"/>
        <w:numId w:val="1"/>
      </w:numPr>
      <w:tabs>
        <w:tab w:val="left" w:pos="1843"/>
      </w:tabs>
      <w:overflowPunct w:val="0"/>
      <w:autoSpaceDE w:val="0"/>
      <w:spacing w:before="100" w:beforeAutospacing="1" w:after="100" w:afterAutospacing="1"/>
      <w:textAlignment w:val="baseline"/>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Ademe Car"/>
    <w:basedOn w:val="Policepardfaut"/>
    <w:link w:val="Titre1"/>
    <w:qFormat/>
    <w:rsid w:val="00FB1B9C"/>
    <w:rPr>
      <w:rFonts w:ascii="Calibri" w:eastAsia="Times New Roman" w:hAnsi="Calibri" w:cs="Times New Roman"/>
      <w:b/>
      <w:bCs/>
      <w:caps/>
      <w:noProof/>
      <w:kern w:val="40"/>
      <w:sz w:val="40"/>
      <w:szCs w:val="32"/>
      <w:lang w:eastAsia="fr-FR"/>
    </w:rPr>
  </w:style>
  <w:style w:type="character" w:customStyle="1" w:styleId="Titre2Car">
    <w:name w:val="Titre 2 Car"/>
    <w:aliases w:val="Titre 2 Ademe Car"/>
    <w:basedOn w:val="Policepardfaut"/>
    <w:link w:val="Titre2"/>
    <w:qFormat/>
    <w:rsid w:val="00FB1B9C"/>
    <w:rPr>
      <w:rFonts w:ascii="Calibri" w:eastAsia="Times New Roman" w:hAnsi="Calibri" w:cs="Times New Roman"/>
      <w:b/>
      <w:bCs/>
      <w:i/>
      <w:noProof/>
      <w:kern w:val="28"/>
      <w:sz w:val="28"/>
      <w:szCs w:val="24"/>
      <w:lang w:eastAsia="fr-FR"/>
    </w:rPr>
  </w:style>
  <w:style w:type="character" w:customStyle="1" w:styleId="Titre3Car">
    <w:name w:val="Titre 3 Car"/>
    <w:aliases w:val="Titre 3 Ademe Car"/>
    <w:basedOn w:val="Policepardfaut"/>
    <w:link w:val="Titre3"/>
    <w:qFormat/>
    <w:rsid w:val="00FB1B9C"/>
    <w:rPr>
      <w:rFonts w:ascii="Calibri" w:eastAsia="Times New Roman" w:hAnsi="Calibri" w:cs="Times New Roman"/>
      <w:b/>
      <w:bCs/>
      <w:i/>
      <w:noProof/>
      <w:kern w:val="24"/>
      <w:sz w:val="24"/>
      <w:szCs w:val="20"/>
      <w:lang w:eastAsia="fr-FR"/>
    </w:rPr>
  </w:style>
  <w:style w:type="character" w:customStyle="1" w:styleId="Titre4Car">
    <w:name w:val="Titre 4 Car"/>
    <w:aliases w:val="Titre 4 Ademe Car"/>
    <w:basedOn w:val="Policepardfaut"/>
    <w:link w:val="Titre4"/>
    <w:qFormat/>
    <w:rsid w:val="00FB1B9C"/>
    <w:rPr>
      <w:rFonts w:ascii="Calibri" w:eastAsia="Times New Roman" w:hAnsi="Calibri" w:cs="Times New Roman"/>
      <w:b/>
      <w:bCs/>
      <w:noProof/>
      <w:sz w:val="24"/>
      <w:szCs w:val="28"/>
      <w:lang w:eastAsia="fr-FR"/>
    </w:rPr>
  </w:style>
  <w:style w:type="character" w:customStyle="1" w:styleId="Titre5Car">
    <w:name w:val="Titre 5 Car"/>
    <w:aliases w:val="Titre 5 Ademe Car"/>
    <w:basedOn w:val="Policepardfaut"/>
    <w:link w:val="Titre5"/>
    <w:qFormat/>
    <w:rsid w:val="00FB1B9C"/>
    <w:rPr>
      <w:rFonts w:ascii="Calibri" w:eastAsia="Times New Roman" w:hAnsi="Calibri" w:cs="Times New Roman"/>
      <w:bCs/>
      <w:iCs/>
      <w:noProof/>
      <w:sz w:val="24"/>
      <w:szCs w:val="26"/>
      <w:lang w:eastAsia="fr-FR"/>
    </w:rPr>
  </w:style>
  <w:style w:type="character" w:customStyle="1" w:styleId="Titre6Car">
    <w:name w:val="Titre 6 Car"/>
    <w:basedOn w:val="Policepardfaut"/>
    <w:link w:val="Titre6"/>
    <w:qFormat/>
    <w:rsid w:val="00FB1B9C"/>
    <w:rPr>
      <w:rFonts w:ascii="Calibri" w:eastAsia="Times New Roman" w:hAnsi="Calibri" w:cs="Times New Roman"/>
      <w:bCs/>
      <w:noProof/>
      <w:sz w:val="24"/>
      <w:szCs w:val="24"/>
      <w:lang w:eastAsia="fr-FR"/>
    </w:rPr>
  </w:style>
  <w:style w:type="character" w:customStyle="1" w:styleId="Titre7Car">
    <w:name w:val="Titre 7 Car"/>
    <w:basedOn w:val="Policepardfaut"/>
    <w:link w:val="Titre7"/>
    <w:qFormat/>
    <w:rsid w:val="00FB1B9C"/>
    <w:rPr>
      <w:rFonts w:ascii="Calibri" w:eastAsia="Times New Roman" w:hAnsi="Calibri" w:cs="Book Antiqua"/>
      <w:noProof/>
      <w:sz w:val="24"/>
      <w:szCs w:val="24"/>
      <w:lang w:eastAsia="fr-FR"/>
    </w:rPr>
  </w:style>
  <w:style w:type="character" w:customStyle="1" w:styleId="Titre8Car">
    <w:name w:val="Titre 8 Car"/>
    <w:basedOn w:val="Policepardfaut"/>
    <w:link w:val="Titre8"/>
    <w:qFormat/>
    <w:rsid w:val="00FB1B9C"/>
    <w:rPr>
      <w:rFonts w:ascii="Calibri" w:eastAsia="Times New Roman" w:hAnsi="Calibri" w:cs="Book Antiqua"/>
      <w:iCs/>
      <w:noProof/>
      <w:sz w:val="24"/>
      <w:szCs w:val="24"/>
      <w:lang w:eastAsia="fr-FR"/>
    </w:rPr>
  </w:style>
  <w:style w:type="character" w:customStyle="1" w:styleId="Titre9Car">
    <w:name w:val="Titre 9 Car"/>
    <w:basedOn w:val="Policepardfaut"/>
    <w:link w:val="Titre9"/>
    <w:qFormat/>
    <w:rsid w:val="00FB1B9C"/>
    <w:rPr>
      <w:rFonts w:ascii="Calibri" w:eastAsia="Times New Roman" w:hAnsi="Calibri" w:cs="Times New Roman"/>
      <w:noProof/>
      <w:sz w:val="24"/>
      <w:szCs w:val="24"/>
      <w:lang w:eastAsia="fr-FR"/>
    </w:rPr>
  </w:style>
  <w:style w:type="paragraph" w:customStyle="1" w:styleId="QuatrimedecouvertureTexteAdeme">
    <w:name w:val="Quatrième de couverture Texte Ademe"/>
    <w:basedOn w:val="Normal"/>
    <w:autoRedefine/>
    <w:qFormat/>
    <w:rsid w:val="00FB1B9C"/>
    <w:pPr>
      <w:spacing w:line="360" w:lineRule="auto"/>
      <w:ind w:left="1134" w:right="5504"/>
    </w:pPr>
    <w:rPr>
      <w:color w:val="004A99"/>
      <w:sz w:val="16"/>
    </w:rPr>
  </w:style>
  <w:style w:type="paragraph" w:customStyle="1" w:styleId="QuatrimedecouvertureTitreAdeme">
    <w:name w:val="Quatrième de couverture Titre Ademe"/>
    <w:basedOn w:val="QuatrimedecouvertureTexteAdeme"/>
    <w:autoRedefine/>
    <w:qFormat/>
    <w:rsid w:val="00FB1B9C"/>
    <w:rPr>
      <w:sz w:val="26"/>
      <w:szCs w:val="16"/>
    </w:rPr>
  </w:style>
  <w:style w:type="paragraph" w:customStyle="1" w:styleId="NormalGrandTitre1Ademe">
    <w:name w:val="Normal Grand Titre 1 Ademe"/>
    <w:basedOn w:val="Normal"/>
    <w:autoRedefine/>
    <w:qFormat/>
    <w:rsid w:val="00FB1B9C"/>
    <w:pPr>
      <w:pBdr>
        <w:top w:val="double" w:sz="4" w:space="1" w:color="004A99"/>
        <w:bottom w:val="double" w:sz="4" w:space="1" w:color="004A99"/>
      </w:pBdr>
      <w:spacing w:before="240" w:after="100" w:afterAutospacing="1" w:line="274" w:lineRule="auto"/>
      <w:jc w:val="center"/>
    </w:pPr>
    <w:rPr>
      <w:b/>
      <w:caps/>
      <w:color w:val="004A99"/>
      <w:sz w:val="36"/>
    </w:rPr>
  </w:style>
  <w:style w:type="paragraph" w:customStyle="1" w:styleId="NormalGrandTitre2Ademe">
    <w:name w:val="Normal Grand Titre 2 Ademe"/>
    <w:basedOn w:val="TM1"/>
    <w:autoRedefine/>
    <w:qFormat/>
    <w:rsid w:val="00FB1B9C"/>
    <w:rPr>
      <w:b w:val="0"/>
      <w:caps w:val="0"/>
      <w:sz w:val="32"/>
    </w:rPr>
  </w:style>
  <w:style w:type="paragraph" w:styleId="TM1">
    <w:name w:val="toc 1"/>
    <w:aliases w:val="TM 1 Ademe"/>
    <w:basedOn w:val="Normal"/>
    <w:next w:val="Normal"/>
    <w:autoRedefine/>
    <w:uiPriority w:val="39"/>
    <w:unhideWhenUsed/>
    <w:qFormat/>
    <w:rsid w:val="00FB1B9C"/>
    <w:pPr>
      <w:tabs>
        <w:tab w:val="left" w:pos="440"/>
        <w:tab w:val="right" w:leader="dot" w:pos="9060"/>
      </w:tabs>
      <w:spacing w:before="100" w:beforeAutospacing="1" w:after="100" w:afterAutospacing="1"/>
    </w:pPr>
    <w:rPr>
      <w:b/>
      <w:caps/>
      <w:color w:val="004A99"/>
    </w:rPr>
  </w:style>
  <w:style w:type="paragraph" w:customStyle="1" w:styleId="PrambuleEncadrTexteAdeme">
    <w:name w:val="Préambule Encadré Texte Ademe"/>
    <w:basedOn w:val="Normal"/>
    <w:autoRedefine/>
    <w:qFormat/>
    <w:rsid w:val="00FB1B9C"/>
    <w:pPr>
      <w:pBdr>
        <w:top w:val="thinThickSmallGap" w:sz="18" w:space="1" w:color="004A99"/>
        <w:left w:val="thinThickSmallGap" w:sz="18" w:space="4" w:color="004A99"/>
        <w:bottom w:val="thickThinSmallGap" w:sz="18" w:space="1" w:color="004A99"/>
        <w:right w:val="thickThinSmallGap" w:sz="18" w:space="4" w:color="004A99"/>
      </w:pBdr>
    </w:pPr>
    <w:rPr>
      <w:sz w:val="21"/>
      <w:szCs w:val="21"/>
    </w:rPr>
  </w:style>
  <w:style w:type="paragraph" w:customStyle="1" w:styleId="NormalFondTexteAdeme">
    <w:name w:val="Normal Fond Texte Ademe"/>
    <w:basedOn w:val="NormalFondTitreAdeme"/>
    <w:autoRedefine/>
    <w:qFormat/>
    <w:rsid w:val="00FB1B9C"/>
    <w:rPr>
      <w:b w:val="0"/>
      <w:sz w:val="24"/>
    </w:rPr>
  </w:style>
  <w:style w:type="paragraph" w:styleId="En-tte">
    <w:name w:val="header"/>
    <w:basedOn w:val="Normal"/>
    <w:link w:val="En-tteCar"/>
    <w:unhideWhenUsed/>
    <w:rsid w:val="00FB1B9C"/>
    <w:pPr>
      <w:tabs>
        <w:tab w:val="center" w:pos="4536"/>
        <w:tab w:val="right" w:pos="9072"/>
      </w:tabs>
    </w:pPr>
  </w:style>
  <w:style w:type="character" w:customStyle="1" w:styleId="En-tteCar">
    <w:name w:val="En-tête Car"/>
    <w:basedOn w:val="Policepardfaut"/>
    <w:link w:val="En-tte"/>
    <w:qFormat/>
    <w:rsid w:val="00FB1B9C"/>
    <w:rPr>
      <w:rFonts w:ascii="Calibri" w:eastAsia="Times New Roman" w:hAnsi="Calibri" w:cs="Times New Roman"/>
      <w:noProof/>
      <w:sz w:val="24"/>
      <w:szCs w:val="24"/>
      <w:lang w:eastAsia="fr-FR"/>
    </w:rPr>
  </w:style>
  <w:style w:type="paragraph" w:customStyle="1" w:styleId="PrambuleFondTexteAdeme">
    <w:name w:val="Préambule Fond Texte Ademe"/>
    <w:basedOn w:val="Normal"/>
    <w:autoRedefine/>
    <w:qFormat/>
    <w:rsid w:val="00FB1B9C"/>
    <w:pPr>
      <w:shd w:val="clear" w:color="auto" w:fill="CDE5FF"/>
    </w:pPr>
    <w:rPr>
      <w:b/>
    </w:rPr>
  </w:style>
  <w:style w:type="paragraph" w:customStyle="1" w:styleId="NormalFondTitreAdeme">
    <w:name w:val="Normal Fond Titre Ademe"/>
    <w:basedOn w:val="PrambuleFondTexteAdeme"/>
    <w:qFormat/>
    <w:rsid w:val="00E97FAF"/>
    <w:rPr>
      <w:sz w:val="28"/>
    </w:rPr>
  </w:style>
  <w:style w:type="character" w:customStyle="1" w:styleId="NormalGrasAdeme">
    <w:name w:val="Normal Gras Ademe"/>
    <w:uiPriority w:val="1"/>
    <w:qFormat/>
    <w:rsid w:val="00FB1B9C"/>
    <w:rPr>
      <w:rFonts w:ascii="Calibri" w:hAnsi="Calibri"/>
      <w:b/>
      <w:sz w:val="24"/>
    </w:rPr>
  </w:style>
  <w:style w:type="paragraph" w:styleId="Notedebasdepage">
    <w:name w:val="footnote text"/>
    <w:aliases w:val="Note de bas de page Ademe"/>
    <w:basedOn w:val="Normal"/>
    <w:link w:val="NotedebasdepageCar"/>
    <w:unhideWhenUsed/>
    <w:rsid w:val="00FB1B9C"/>
    <w:rPr>
      <w:i/>
      <w:sz w:val="20"/>
      <w:szCs w:val="20"/>
    </w:rPr>
  </w:style>
  <w:style w:type="character" w:customStyle="1" w:styleId="NotedebasdepageCar">
    <w:name w:val="Note de bas de page Car"/>
    <w:aliases w:val="Note de bas de page Ademe Car"/>
    <w:basedOn w:val="Policepardfaut"/>
    <w:link w:val="Notedebasdepage"/>
    <w:uiPriority w:val="99"/>
    <w:qFormat/>
    <w:rsid w:val="00FB1B9C"/>
    <w:rPr>
      <w:rFonts w:ascii="Calibri" w:eastAsia="Times New Roman" w:hAnsi="Calibri" w:cs="Times New Roman"/>
      <w:i/>
      <w:noProof/>
      <w:sz w:val="20"/>
      <w:szCs w:val="20"/>
      <w:lang w:eastAsia="fr-FR"/>
    </w:rPr>
  </w:style>
  <w:style w:type="paragraph" w:customStyle="1" w:styleId="PagedegardeTitre1Ademe">
    <w:name w:val="Page de garde Titre 1 Ademe"/>
    <w:basedOn w:val="Normal"/>
    <w:autoRedefine/>
    <w:qFormat/>
    <w:rsid w:val="00FB1B9C"/>
    <w:pPr>
      <w:spacing w:line="360" w:lineRule="auto"/>
      <w:ind w:left="-142" w:right="3683"/>
      <w:jc w:val="center"/>
    </w:pPr>
    <w:rPr>
      <w:b/>
      <w:caps/>
      <w:sz w:val="44"/>
    </w:rPr>
  </w:style>
  <w:style w:type="paragraph" w:customStyle="1" w:styleId="PagedegardeTitre2Ademe">
    <w:name w:val="Page de garde Titre 2 Ademe"/>
    <w:basedOn w:val="Normal"/>
    <w:autoRedefine/>
    <w:qFormat/>
    <w:rsid w:val="00FB1B9C"/>
    <w:pPr>
      <w:spacing w:line="360" w:lineRule="auto"/>
      <w:ind w:left="-142" w:right="3683"/>
      <w:jc w:val="center"/>
    </w:pPr>
    <w:rPr>
      <w:sz w:val="20"/>
    </w:rPr>
  </w:style>
  <w:style w:type="paragraph" w:customStyle="1" w:styleId="PagedegardeTitre3Ademe">
    <w:name w:val="Page de garde Titre 3 Ademe"/>
    <w:basedOn w:val="Normal"/>
    <w:autoRedefine/>
    <w:qFormat/>
    <w:rsid w:val="00FB1B9C"/>
    <w:pPr>
      <w:jc w:val="center"/>
    </w:pPr>
    <w:rPr>
      <w:caps/>
      <w:sz w:val="32"/>
    </w:rPr>
  </w:style>
  <w:style w:type="paragraph" w:customStyle="1" w:styleId="PagedegardeTitre4Ademe">
    <w:name w:val="Page de garde Titre 4 Ademe"/>
    <w:basedOn w:val="Normal"/>
    <w:qFormat/>
    <w:rsid w:val="003D3716"/>
    <w:pPr>
      <w:jc w:val="center"/>
    </w:pPr>
    <w:rPr>
      <w:b/>
      <w:caps/>
      <w:noProof w:val="0"/>
      <w:color w:val="004A99"/>
      <w:sz w:val="48"/>
    </w:rPr>
  </w:style>
  <w:style w:type="paragraph" w:customStyle="1" w:styleId="PagedegardeTitre5Ademe">
    <w:name w:val="Page de garde Titre 5 Ademe"/>
    <w:basedOn w:val="Normal"/>
    <w:autoRedefine/>
    <w:qFormat/>
    <w:rsid w:val="003D3716"/>
    <w:pPr>
      <w:ind w:right="-995"/>
      <w:jc w:val="right"/>
    </w:pPr>
    <w:rPr>
      <w:b/>
      <w:caps/>
      <w:color w:val="FF0000"/>
      <w:sz w:val="40"/>
    </w:rPr>
  </w:style>
  <w:style w:type="paragraph" w:customStyle="1" w:styleId="PagedegardeTitre6Ademe">
    <w:name w:val="Page de garde Titre 6 Ademe"/>
    <w:basedOn w:val="Normal"/>
    <w:autoRedefine/>
    <w:qFormat/>
    <w:rsid w:val="00FB1B9C"/>
    <w:rPr>
      <w:b/>
      <w:sz w:val="20"/>
    </w:rPr>
  </w:style>
  <w:style w:type="paragraph" w:styleId="Pieddepage">
    <w:name w:val="footer"/>
    <w:aliases w:val="Pied de page Ademe"/>
    <w:basedOn w:val="Normal"/>
    <w:link w:val="PieddepageCar"/>
    <w:unhideWhenUsed/>
    <w:rsid w:val="00FB1B9C"/>
    <w:pPr>
      <w:tabs>
        <w:tab w:val="right" w:pos="9072"/>
      </w:tabs>
    </w:pPr>
    <w:rPr>
      <w:sz w:val="18"/>
    </w:rPr>
  </w:style>
  <w:style w:type="character" w:customStyle="1" w:styleId="PieddepageCar">
    <w:name w:val="Pied de page Car"/>
    <w:aliases w:val="Pied de page Ademe Car"/>
    <w:basedOn w:val="Policepardfaut"/>
    <w:link w:val="Pieddepage"/>
    <w:qFormat/>
    <w:rsid w:val="00FB1B9C"/>
    <w:rPr>
      <w:rFonts w:ascii="Calibri" w:eastAsia="Times New Roman" w:hAnsi="Calibri" w:cs="Times New Roman"/>
      <w:noProof/>
      <w:sz w:val="18"/>
      <w:szCs w:val="24"/>
      <w:lang w:eastAsia="fr-FR"/>
    </w:rPr>
  </w:style>
  <w:style w:type="paragraph" w:styleId="Tabledesillustrations">
    <w:name w:val="table of figures"/>
    <w:aliases w:val="Table des illustrations Ademe"/>
    <w:basedOn w:val="Normal"/>
    <w:next w:val="Normal"/>
    <w:uiPriority w:val="99"/>
    <w:unhideWhenUsed/>
    <w:qFormat/>
    <w:rsid w:val="00FB1B9C"/>
    <w:pPr>
      <w:tabs>
        <w:tab w:val="right" w:leader="dot" w:pos="9072"/>
      </w:tabs>
    </w:pPr>
    <w:rPr>
      <w:b/>
    </w:rPr>
  </w:style>
  <w:style w:type="paragraph" w:customStyle="1" w:styleId="TitreAnnexeAdeme">
    <w:name w:val="Titre Annexe Ademe"/>
    <w:basedOn w:val="Normal"/>
    <w:autoRedefine/>
    <w:qFormat/>
    <w:rsid w:val="002C2129"/>
    <w:pPr>
      <w:jc w:val="center"/>
    </w:pPr>
    <w:rPr>
      <w:b/>
      <w:i/>
      <w:sz w:val="28"/>
    </w:rPr>
  </w:style>
  <w:style w:type="paragraph" w:customStyle="1" w:styleId="TitreFigureAdeme">
    <w:name w:val="Titre Figure Ademe"/>
    <w:basedOn w:val="TitreAnnexeAdeme"/>
    <w:autoRedefine/>
    <w:qFormat/>
    <w:rsid w:val="00FB1B9C"/>
    <w:pPr>
      <w:numPr>
        <w:numId w:val="3"/>
      </w:numPr>
    </w:pPr>
  </w:style>
  <w:style w:type="paragraph" w:customStyle="1" w:styleId="TitreTableauAdeme">
    <w:name w:val="Titre Tableau Ademe"/>
    <w:basedOn w:val="Normal"/>
    <w:autoRedefine/>
    <w:qFormat/>
    <w:rsid w:val="00FB1B9C"/>
    <w:pPr>
      <w:numPr>
        <w:numId w:val="4"/>
      </w:numPr>
    </w:pPr>
    <w:rPr>
      <w:sz w:val="28"/>
      <w:szCs w:val="28"/>
    </w:rPr>
  </w:style>
  <w:style w:type="paragraph" w:styleId="TM2">
    <w:name w:val="toc 2"/>
    <w:aliases w:val="TM 2 Ademe"/>
    <w:basedOn w:val="Normal"/>
    <w:next w:val="Normal"/>
    <w:autoRedefine/>
    <w:uiPriority w:val="39"/>
    <w:unhideWhenUsed/>
    <w:rsid w:val="00FB1B9C"/>
    <w:pPr>
      <w:tabs>
        <w:tab w:val="left" w:pos="880"/>
        <w:tab w:val="right" w:leader="dot" w:pos="9060"/>
      </w:tabs>
      <w:spacing w:before="100" w:beforeAutospacing="1" w:after="100" w:afterAutospacing="1"/>
      <w:ind w:left="238"/>
    </w:pPr>
    <w:rPr>
      <w:caps/>
    </w:rPr>
  </w:style>
  <w:style w:type="paragraph" w:styleId="TM3">
    <w:name w:val="toc 3"/>
    <w:aliases w:val="TM 3 Ademe"/>
    <w:basedOn w:val="Normal"/>
    <w:next w:val="Normal"/>
    <w:autoRedefine/>
    <w:uiPriority w:val="39"/>
    <w:unhideWhenUsed/>
    <w:rsid w:val="00FB1B9C"/>
    <w:pPr>
      <w:tabs>
        <w:tab w:val="left" w:pos="1320"/>
        <w:tab w:val="right" w:leader="dot" w:pos="9060"/>
      </w:tabs>
      <w:ind w:left="480"/>
    </w:pPr>
  </w:style>
  <w:style w:type="paragraph" w:styleId="TM4">
    <w:name w:val="toc 4"/>
    <w:aliases w:val="TM 4 Ademe"/>
    <w:basedOn w:val="Normal"/>
    <w:next w:val="Normal"/>
    <w:autoRedefine/>
    <w:uiPriority w:val="39"/>
    <w:unhideWhenUsed/>
    <w:rsid w:val="00FB1B9C"/>
    <w:pPr>
      <w:tabs>
        <w:tab w:val="left" w:pos="1540"/>
        <w:tab w:val="right" w:leader="dot" w:pos="9060"/>
      </w:tabs>
      <w:ind w:left="720"/>
    </w:pPr>
  </w:style>
  <w:style w:type="paragraph" w:styleId="TM5">
    <w:name w:val="toc 5"/>
    <w:aliases w:val="TM 5 Ademe"/>
    <w:basedOn w:val="Normal"/>
    <w:next w:val="Normal"/>
    <w:autoRedefine/>
    <w:uiPriority w:val="39"/>
    <w:unhideWhenUsed/>
    <w:rsid w:val="00FB1B9C"/>
    <w:pPr>
      <w:tabs>
        <w:tab w:val="left" w:pos="1880"/>
        <w:tab w:val="right" w:leader="dot" w:pos="9060"/>
      </w:tabs>
      <w:ind w:left="960"/>
    </w:pPr>
  </w:style>
  <w:style w:type="character" w:styleId="Lienhypertexte">
    <w:name w:val="Hyperlink"/>
    <w:aliases w:val="Normal Lien hypertexte"/>
    <w:uiPriority w:val="99"/>
    <w:unhideWhenUsed/>
    <w:rsid w:val="00FB1B9C"/>
    <w:rPr>
      <w:color w:val="0000FF"/>
      <w:u w:val="single"/>
    </w:rPr>
  </w:style>
  <w:style w:type="paragraph" w:customStyle="1" w:styleId="PrambuleEncadrTitreAdeme">
    <w:name w:val="Préambule Encadré Titre Ademe"/>
    <w:basedOn w:val="PrambuleEncadrTexteAdeme"/>
    <w:autoRedefine/>
    <w:qFormat/>
    <w:rsid w:val="00FB1B9C"/>
    <w:rPr>
      <w:b/>
      <w:u w:val="single"/>
    </w:rPr>
  </w:style>
  <w:style w:type="paragraph" w:customStyle="1" w:styleId="PrambuleNormalAdeme">
    <w:name w:val="Préambule Normal Ademe"/>
    <w:basedOn w:val="Normal"/>
    <w:autoRedefine/>
    <w:qFormat/>
    <w:rsid w:val="00FB1B9C"/>
    <w:rPr>
      <w:sz w:val="21"/>
      <w:szCs w:val="21"/>
    </w:rPr>
  </w:style>
  <w:style w:type="character" w:customStyle="1" w:styleId="PrambuleGrasAdeme">
    <w:name w:val="Préambule Gras Ademe"/>
    <w:uiPriority w:val="1"/>
    <w:qFormat/>
    <w:rsid w:val="00FB1B9C"/>
    <w:rPr>
      <w:rFonts w:ascii="Calibri" w:hAnsi="Calibri"/>
      <w:b/>
      <w:sz w:val="21"/>
    </w:rPr>
  </w:style>
  <w:style w:type="paragraph" w:customStyle="1" w:styleId="CharCarChar1CarCarCarCarCarCar1CarCarCarCarCarCarCar">
    <w:name w:val="Char Car Char1 Car Car Car Car Car Car1 Car Car Car Car Car Car Car"/>
    <w:basedOn w:val="Normal"/>
    <w:autoRedefine/>
    <w:semiHidden/>
    <w:qFormat/>
    <w:rsid w:val="00FB1B9C"/>
    <w:pPr>
      <w:spacing w:line="20" w:lineRule="exact"/>
      <w:jc w:val="left"/>
    </w:pPr>
    <w:rPr>
      <w:rFonts w:ascii="Bookman Old Style" w:hAnsi="Bookman Old Style"/>
      <w:noProof w:val="0"/>
      <w:lang w:val="en-US" w:eastAsia="en-US"/>
    </w:rPr>
  </w:style>
  <w:style w:type="paragraph" w:customStyle="1" w:styleId="Formatlibre">
    <w:name w:val="Format libre"/>
    <w:qFormat/>
    <w:rsid w:val="00FB1B9C"/>
    <w:pPr>
      <w:suppressAutoHyphens/>
      <w:spacing w:after="0" w:line="240" w:lineRule="auto"/>
    </w:pPr>
    <w:rPr>
      <w:rFonts w:ascii="Helvetica" w:eastAsia="ヒラギノ角ゴ Pro W3" w:hAnsi="Helvetica" w:cs="Times New Roman"/>
      <w:color w:val="000000"/>
      <w:sz w:val="24"/>
      <w:szCs w:val="20"/>
      <w:lang w:eastAsia="ar-SA"/>
    </w:rPr>
  </w:style>
  <w:style w:type="paragraph" w:customStyle="1" w:styleId="Style1">
    <w:name w:val="Style1"/>
    <w:basedOn w:val="Normal"/>
    <w:qFormat/>
    <w:rsid w:val="00FB1B9C"/>
    <w:pPr>
      <w:numPr>
        <w:numId w:val="5"/>
      </w:numPr>
      <w:contextualSpacing/>
    </w:pPr>
    <w:rPr>
      <w:rFonts w:ascii="Arial" w:eastAsia="Calibri" w:hAnsi="Arial" w:cs="Arial"/>
      <w:b/>
      <w:noProof w:val="0"/>
      <w:sz w:val="28"/>
      <w:szCs w:val="28"/>
      <w:lang w:eastAsia="en-US"/>
    </w:rPr>
  </w:style>
  <w:style w:type="paragraph" w:customStyle="1" w:styleId="Style2">
    <w:name w:val="Style2"/>
    <w:basedOn w:val="Normal"/>
    <w:link w:val="Style2Car"/>
    <w:qFormat/>
    <w:rsid w:val="00FB1B9C"/>
    <w:pPr>
      <w:numPr>
        <w:ilvl w:val="1"/>
        <w:numId w:val="5"/>
      </w:numPr>
      <w:contextualSpacing/>
    </w:pPr>
    <w:rPr>
      <w:rFonts w:ascii="Arial" w:eastAsia="Calibri" w:hAnsi="Arial" w:cs="Arial"/>
      <w:b/>
      <w:noProof w:val="0"/>
      <w:lang w:eastAsia="en-US"/>
    </w:rPr>
  </w:style>
  <w:style w:type="character" w:customStyle="1" w:styleId="Style2Car">
    <w:name w:val="Style2 Car"/>
    <w:link w:val="Style2"/>
    <w:qFormat/>
    <w:rsid w:val="00FB1B9C"/>
    <w:rPr>
      <w:rFonts w:ascii="Arial" w:eastAsia="Calibri" w:hAnsi="Arial" w:cs="Arial"/>
      <w:b/>
      <w:sz w:val="24"/>
      <w:szCs w:val="24"/>
    </w:rPr>
  </w:style>
  <w:style w:type="paragraph" w:customStyle="1" w:styleId="Style3">
    <w:name w:val="Style3"/>
    <w:basedOn w:val="Normal"/>
    <w:qFormat/>
    <w:rsid w:val="00FB1B9C"/>
    <w:pPr>
      <w:numPr>
        <w:ilvl w:val="2"/>
        <w:numId w:val="5"/>
      </w:numPr>
      <w:contextualSpacing/>
    </w:pPr>
    <w:rPr>
      <w:rFonts w:ascii="Arial" w:eastAsia="Calibri" w:hAnsi="Arial" w:cs="Arial"/>
      <w:b/>
      <w:noProof w:val="0"/>
      <w:sz w:val="22"/>
      <w:szCs w:val="22"/>
      <w:lang w:eastAsia="en-US"/>
    </w:rPr>
  </w:style>
  <w:style w:type="paragraph" w:customStyle="1" w:styleId="Style4">
    <w:name w:val="Style4"/>
    <w:basedOn w:val="Style3"/>
    <w:qFormat/>
    <w:rsid w:val="00FB1B9C"/>
    <w:pPr>
      <w:numPr>
        <w:ilvl w:val="3"/>
      </w:numPr>
    </w:pPr>
    <w:rPr>
      <w:i/>
    </w:rPr>
  </w:style>
  <w:style w:type="character" w:styleId="Numrodepage">
    <w:name w:val="page number"/>
    <w:qFormat/>
    <w:rsid w:val="00FB1B9C"/>
  </w:style>
  <w:style w:type="paragraph" w:styleId="Textedebulles">
    <w:name w:val="Balloon Text"/>
    <w:basedOn w:val="Normal"/>
    <w:link w:val="TextedebullesCar"/>
    <w:uiPriority w:val="99"/>
    <w:semiHidden/>
    <w:unhideWhenUsed/>
    <w:qFormat/>
    <w:rsid w:val="00FB1B9C"/>
    <w:rPr>
      <w:rFonts w:ascii="Tahoma" w:hAnsi="Tahoma" w:cs="Tahoma"/>
      <w:sz w:val="16"/>
      <w:szCs w:val="16"/>
    </w:rPr>
  </w:style>
  <w:style w:type="character" w:customStyle="1" w:styleId="TextedebullesCar">
    <w:name w:val="Texte de bulles Car"/>
    <w:basedOn w:val="Policepardfaut"/>
    <w:link w:val="Textedebulles"/>
    <w:uiPriority w:val="99"/>
    <w:semiHidden/>
    <w:qFormat/>
    <w:rsid w:val="00FB1B9C"/>
    <w:rPr>
      <w:rFonts w:ascii="Tahoma" w:eastAsia="Times New Roman" w:hAnsi="Tahoma" w:cs="Tahoma"/>
      <w:noProof/>
      <w:sz w:val="16"/>
      <w:szCs w:val="16"/>
      <w:lang w:eastAsia="fr-FR"/>
    </w:rPr>
  </w:style>
  <w:style w:type="character" w:customStyle="1" w:styleId="titreheader1">
    <w:name w:val="titreheader1"/>
    <w:qFormat/>
    <w:rsid w:val="00FB1B9C"/>
    <w:rPr>
      <w:rFonts w:ascii="Verdana" w:hAnsi="Verdana" w:hint="default"/>
      <w:b/>
      <w:bCs/>
      <w:sz w:val="38"/>
      <w:szCs w:val="38"/>
    </w:rPr>
  </w:style>
  <w:style w:type="paragraph" w:customStyle="1" w:styleId="textetitre">
    <w:name w:val="texte_titre"/>
    <w:basedOn w:val="Normal"/>
    <w:qFormat/>
    <w:rsid w:val="00FB1B9C"/>
    <w:pPr>
      <w:spacing w:before="100" w:beforeAutospacing="1" w:after="100" w:afterAutospacing="1"/>
      <w:jc w:val="left"/>
    </w:pPr>
    <w:rPr>
      <w:rFonts w:ascii="Times New Roman" w:hAnsi="Times New Roman"/>
      <w:noProof w:val="0"/>
    </w:rPr>
  </w:style>
  <w:style w:type="character" w:customStyle="1" w:styleId="information1">
    <w:name w:val="information1"/>
    <w:qFormat/>
    <w:rsid w:val="00FB1B9C"/>
    <w:rPr>
      <w:rFonts w:ascii="Verdana" w:hAnsi="Verdana" w:hint="default"/>
      <w:sz w:val="18"/>
      <w:szCs w:val="18"/>
      <w:bdr w:val="none" w:sz="0" w:space="0" w:color="auto" w:frame="1"/>
    </w:rPr>
  </w:style>
  <w:style w:type="character" w:customStyle="1" w:styleId="titreonglet1">
    <w:name w:val="titreonglet1"/>
    <w:qFormat/>
    <w:rsid w:val="00FB1B9C"/>
    <w:rPr>
      <w:rFonts w:ascii="Verdana" w:hAnsi="Verdana" w:hint="default"/>
      <w:b/>
      <w:bCs/>
      <w:sz w:val="22"/>
      <w:szCs w:val="22"/>
    </w:rPr>
  </w:style>
  <w:style w:type="character" w:customStyle="1" w:styleId="information2">
    <w:name w:val="information2"/>
    <w:qFormat/>
    <w:rsid w:val="00FB1B9C"/>
    <w:rPr>
      <w:rFonts w:ascii="Verdana" w:hAnsi="Verdana" w:hint="default"/>
      <w:sz w:val="18"/>
      <w:szCs w:val="18"/>
      <w:bdr w:val="none" w:sz="0" w:space="0" w:color="auto" w:frame="1"/>
    </w:rPr>
  </w:style>
  <w:style w:type="character" w:customStyle="1" w:styleId="information7">
    <w:name w:val="information7"/>
    <w:qFormat/>
    <w:rsid w:val="00FB1B9C"/>
    <w:rPr>
      <w:rFonts w:ascii="Verdana" w:hAnsi="Verdana" w:hint="default"/>
      <w:sz w:val="18"/>
      <w:szCs w:val="18"/>
      <w:bdr w:val="none" w:sz="0" w:space="0" w:color="auto" w:frame="1"/>
    </w:rPr>
  </w:style>
  <w:style w:type="character" w:customStyle="1" w:styleId="information8">
    <w:name w:val="information8"/>
    <w:qFormat/>
    <w:rsid w:val="00FB1B9C"/>
    <w:rPr>
      <w:rFonts w:ascii="Verdana" w:hAnsi="Verdana" w:hint="default"/>
      <w:sz w:val="18"/>
      <w:szCs w:val="18"/>
      <w:bdr w:val="none" w:sz="0" w:space="0" w:color="auto" w:frame="1"/>
    </w:rPr>
  </w:style>
  <w:style w:type="character" w:customStyle="1" w:styleId="information14">
    <w:name w:val="information14"/>
    <w:qFormat/>
    <w:rsid w:val="00FB1B9C"/>
    <w:rPr>
      <w:rFonts w:ascii="Verdana" w:hAnsi="Verdana" w:hint="default"/>
      <w:sz w:val="18"/>
      <w:szCs w:val="18"/>
      <w:bdr w:val="none" w:sz="0" w:space="0" w:color="auto" w:frame="1"/>
    </w:rPr>
  </w:style>
  <w:style w:type="character" w:customStyle="1" w:styleId="information20">
    <w:name w:val="information20"/>
    <w:qFormat/>
    <w:rsid w:val="00FB1B9C"/>
    <w:rPr>
      <w:rFonts w:ascii="Verdana" w:hAnsi="Verdana" w:hint="default"/>
      <w:sz w:val="18"/>
      <w:szCs w:val="18"/>
      <w:bdr w:val="none" w:sz="0" w:space="0" w:color="auto" w:frame="1"/>
    </w:rPr>
  </w:style>
  <w:style w:type="character" w:customStyle="1" w:styleId="information26">
    <w:name w:val="information26"/>
    <w:qFormat/>
    <w:rsid w:val="00FB1B9C"/>
    <w:rPr>
      <w:rFonts w:ascii="Verdana" w:hAnsi="Verdana" w:hint="default"/>
      <w:sz w:val="18"/>
      <w:szCs w:val="18"/>
      <w:bdr w:val="none" w:sz="0" w:space="0" w:color="auto" w:frame="1"/>
    </w:rPr>
  </w:style>
  <w:style w:type="character" w:customStyle="1" w:styleId="information33">
    <w:name w:val="information33"/>
    <w:qFormat/>
    <w:rsid w:val="00FB1B9C"/>
    <w:rPr>
      <w:rFonts w:ascii="Verdana" w:hAnsi="Verdana" w:hint="default"/>
      <w:sz w:val="18"/>
      <w:szCs w:val="18"/>
      <w:bdr w:val="none" w:sz="0" w:space="0" w:color="auto" w:frame="1"/>
    </w:rPr>
  </w:style>
  <w:style w:type="character" w:customStyle="1" w:styleId="information35">
    <w:name w:val="information35"/>
    <w:qFormat/>
    <w:rsid w:val="00FB1B9C"/>
    <w:rPr>
      <w:rFonts w:ascii="Verdana" w:hAnsi="Verdana" w:hint="default"/>
      <w:sz w:val="18"/>
      <w:szCs w:val="18"/>
      <w:bdr w:val="none" w:sz="0" w:space="0" w:color="auto" w:frame="1"/>
    </w:rPr>
  </w:style>
  <w:style w:type="character" w:customStyle="1" w:styleId="information38">
    <w:name w:val="information38"/>
    <w:qFormat/>
    <w:rsid w:val="00FB1B9C"/>
    <w:rPr>
      <w:rFonts w:ascii="Verdana" w:hAnsi="Verdana" w:hint="default"/>
      <w:sz w:val="18"/>
      <w:szCs w:val="18"/>
      <w:bdr w:val="none" w:sz="0" w:space="0" w:color="auto" w:frame="1"/>
    </w:rPr>
  </w:style>
  <w:style w:type="character" w:customStyle="1" w:styleId="information47">
    <w:name w:val="information47"/>
    <w:qFormat/>
    <w:rsid w:val="00FB1B9C"/>
    <w:rPr>
      <w:rFonts w:ascii="Verdana" w:hAnsi="Verdana" w:hint="default"/>
      <w:sz w:val="18"/>
      <w:szCs w:val="18"/>
      <w:bdr w:val="none" w:sz="0" w:space="0" w:color="auto" w:frame="1"/>
    </w:rPr>
  </w:style>
  <w:style w:type="character" w:customStyle="1" w:styleId="information53">
    <w:name w:val="information53"/>
    <w:qFormat/>
    <w:rsid w:val="00FB1B9C"/>
    <w:rPr>
      <w:rFonts w:ascii="Verdana" w:hAnsi="Verdana" w:hint="default"/>
      <w:sz w:val="18"/>
      <w:szCs w:val="18"/>
      <w:bdr w:val="none" w:sz="0" w:space="0" w:color="auto" w:frame="1"/>
    </w:rPr>
  </w:style>
  <w:style w:type="character" w:customStyle="1" w:styleId="information58">
    <w:name w:val="information58"/>
    <w:qFormat/>
    <w:rsid w:val="00FB1B9C"/>
    <w:rPr>
      <w:rFonts w:ascii="Verdana" w:hAnsi="Verdana" w:hint="default"/>
      <w:sz w:val="18"/>
      <w:szCs w:val="18"/>
      <w:bdr w:val="none" w:sz="0" w:space="0" w:color="auto" w:frame="1"/>
    </w:rPr>
  </w:style>
  <w:style w:type="character" w:customStyle="1" w:styleId="information60">
    <w:name w:val="information60"/>
    <w:qFormat/>
    <w:rsid w:val="00FB1B9C"/>
    <w:rPr>
      <w:rFonts w:ascii="Verdana" w:hAnsi="Verdana" w:hint="default"/>
      <w:sz w:val="18"/>
      <w:szCs w:val="18"/>
      <w:bdr w:val="none" w:sz="0" w:space="0" w:color="auto" w:frame="1"/>
    </w:rPr>
  </w:style>
  <w:style w:type="character" w:customStyle="1" w:styleId="information62">
    <w:name w:val="information62"/>
    <w:qFormat/>
    <w:rsid w:val="00FB1B9C"/>
    <w:rPr>
      <w:rFonts w:ascii="Verdana" w:hAnsi="Verdana" w:hint="default"/>
      <w:sz w:val="18"/>
      <w:szCs w:val="18"/>
      <w:bdr w:val="none" w:sz="0" w:space="0" w:color="auto" w:frame="1"/>
    </w:rPr>
  </w:style>
  <w:style w:type="character" w:customStyle="1" w:styleId="information65">
    <w:name w:val="information65"/>
    <w:qFormat/>
    <w:rsid w:val="00FB1B9C"/>
    <w:rPr>
      <w:rFonts w:ascii="Verdana" w:hAnsi="Verdana" w:hint="default"/>
      <w:sz w:val="18"/>
      <w:szCs w:val="18"/>
      <w:bdr w:val="none" w:sz="0" w:space="0" w:color="auto" w:frame="1"/>
    </w:rPr>
  </w:style>
  <w:style w:type="character" w:customStyle="1" w:styleId="information67">
    <w:name w:val="information67"/>
    <w:qFormat/>
    <w:rsid w:val="00FB1B9C"/>
    <w:rPr>
      <w:rFonts w:ascii="Verdana" w:hAnsi="Verdana" w:hint="default"/>
      <w:sz w:val="18"/>
      <w:szCs w:val="18"/>
      <w:bdr w:val="none" w:sz="0" w:space="0" w:color="auto" w:frame="1"/>
    </w:rPr>
  </w:style>
  <w:style w:type="character" w:customStyle="1" w:styleId="information75">
    <w:name w:val="information75"/>
    <w:qFormat/>
    <w:rsid w:val="00FB1B9C"/>
    <w:rPr>
      <w:rFonts w:ascii="Verdana" w:hAnsi="Verdana" w:hint="default"/>
      <w:sz w:val="18"/>
      <w:szCs w:val="18"/>
      <w:bdr w:val="none" w:sz="0" w:space="0" w:color="auto" w:frame="1"/>
    </w:rPr>
  </w:style>
  <w:style w:type="character" w:customStyle="1" w:styleId="information77">
    <w:name w:val="information77"/>
    <w:qFormat/>
    <w:rsid w:val="00FB1B9C"/>
    <w:rPr>
      <w:rFonts w:ascii="Verdana" w:hAnsi="Verdana" w:hint="default"/>
      <w:sz w:val="18"/>
      <w:szCs w:val="18"/>
      <w:bdr w:val="none" w:sz="0" w:space="0" w:color="auto" w:frame="1"/>
    </w:rPr>
  </w:style>
  <w:style w:type="character" w:customStyle="1" w:styleId="information80">
    <w:name w:val="information80"/>
    <w:qFormat/>
    <w:rsid w:val="00FB1B9C"/>
    <w:rPr>
      <w:rFonts w:ascii="Verdana" w:hAnsi="Verdana" w:hint="default"/>
      <w:sz w:val="18"/>
      <w:szCs w:val="18"/>
      <w:bdr w:val="none" w:sz="0" w:space="0" w:color="auto" w:frame="1"/>
    </w:rPr>
  </w:style>
  <w:style w:type="character" w:customStyle="1" w:styleId="information83">
    <w:name w:val="information83"/>
    <w:qFormat/>
    <w:rsid w:val="00FB1B9C"/>
    <w:rPr>
      <w:rFonts w:ascii="Verdana" w:hAnsi="Verdana" w:hint="default"/>
      <w:sz w:val="18"/>
      <w:szCs w:val="18"/>
      <w:bdr w:val="none" w:sz="0" w:space="0" w:color="auto" w:frame="1"/>
    </w:rPr>
  </w:style>
  <w:style w:type="character" w:customStyle="1" w:styleId="information86">
    <w:name w:val="information86"/>
    <w:qFormat/>
    <w:rsid w:val="00FB1B9C"/>
    <w:rPr>
      <w:rFonts w:ascii="Verdana" w:hAnsi="Verdana" w:hint="default"/>
      <w:sz w:val="18"/>
      <w:szCs w:val="18"/>
      <w:bdr w:val="none" w:sz="0" w:space="0" w:color="auto" w:frame="1"/>
    </w:rPr>
  </w:style>
  <w:style w:type="character" w:customStyle="1" w:styleId="information103">
    <w:name w:val="information103"/>
    <w:qFormat/>
    <w:rsid w:val="00FB1B9C"/>
    <w:rPr>
      <w:rFonts w:ascii="Verdana" w:hAnsi="Verdana" w:hint="default"/>
      <w:sz w:val="18"/>
      <w:szCs w:val="18"/>
      <w:bdr w:val="none" w:sz="0" w:space="0" w:color="auto" w:frame="1"/>
    </w:rPr>
  </w:style>
  <w:style w:type="character" w:customStyle="1" w:styleId="information106">
    <w:name w:val="information106"/>
    <w:qFormat/>
    <w:rsid w:val="00FB1B9C"/>
    <w:rPr>
      <w:rFonts w:ascii="Verdana" w:hAnsi="Verdana" w:hint="default"/>
      <w:sz w:val="18"/>
      <w:szCs w:val="18"/>
      <w:bdr w:val="none" w:sz="0" w:space="0" w:color="auto" w:frame="1"/>
    </w:rPr>
  </w:style>
  <w:style w:type="character" w:customStyle="1" w:styleId="information109">
    <w:name w:val="information109"/>
    <w:qFormat/>
    <w:rsid w:val="00FB1B9C"/>
    <w:rPr>
      <w:rFonts w:ascii="Verdana" w:hAnsi="Verdana" w:hint="default"/>
      <w:sz w:val="18"/>
      <w:szCs w:val="18"/>
      <w:bdr w:val="none" w:sz="0" w:space="0" w:color="auto" w:frame="1"/>
    </w:rPr>
  </w:style>
  <w:style w:type="character" w:customStyle="1" w:styleId="information114">
    <w:name w:val="information114"/>
    <w:qFormat/>
    <w:rsid w:val="00FB1B9C"/>
    <w:rPr>
      <w:rFonts w:ascii="Verdana" w:hAnsi="Verdana" w:hint="default"/>
      <w:sz w:val="18"/>
      <w:szCs w:val="18"/>
      <w:bdr w:val="none" w:sz="0" w:space="0" w:color="auto" w:frame="1"/>
    </w:rPr>
  </w:style>
  <w:style w:type="character" w:customStyle="1" w:styleId="information117">
    <w:name w:val="information117"/>
    <w:qFormat/>
    <w:rsid w:val="00FB1B9C"/>
    <w:rPr>
      <w:rFonts w:ascii="Verdana" w:hAnsi="Verdana" w:hint="default"/>
      <w:sz w:val="18"/>
      <w:szCs w:val="18"/>
      <w:bdr w:val="none" w:sz="0" w:space="0" w:color="auto" w:frame="1"/>
    </w:rPr>
  </w:style>
  <w:style w:type="character" w:customStyle="1" w:styleId="information119">
    <w:name w:val="information119"/>
    <w:qFormat/>
    <w:rsid w:val="00FB1B9C"/>
    <w:rPr>
      <w:rFonts w:ascii="Verdana" w:hAnsi="Verdana" w:hint="default"/>
      <w:sz w:val="18"/>
      <w:szCs w:val="18"/>
      <w:bdr w:val="none" w:sz="0" w:space="0" w:color="auto" w:frame="1"/>
    </w:rPr>
  </w:style>
  <w:style w:type="character" w:customStyle="1" w:styleId="information122">
    <w:name w:val="information122"/>
    <w:qFormat/>
    <w:rsid w:val="00FB1B9C"/>
    <w:rPr>
      <w:rFonts w:ascii="Verdana" w:hAnsi="Verdana" w:hint="default"/>
      <w:sz w:val="18"/>
      <w:szCs w:val="18"/>
      <w:bdr w:val="none" w:sz="0" w:space="0" w:color="auto" w:frame="1"/>
    </w:rPr>
  </w:style>
  <w:style w:type="character" w:customStyle="1" w:styleId="information124">
    <w:name w:val="information124"/>
    <w:qFormat/>
    <w:rsid w:val="00FB1B9C"/>
    <w:rPr>
      <w:rFonts w:ascii="Verdana" w:hAnsi="Verdana" w:hint="default"/>
      <w:sz w:val="18"/>
      <w:szCs w:val="18"/>
      <w:bdr w:val="none" w:sz="0" w:space="0" w:color="auto" w:frame="1"/>
    </w:rPr>
  </w:style>
  <w:style w:type="character" w:customStyle="1" w:styleId="information128">
    <w:name w:val="information128"/>
    <w:qFormat/>
    <w:rsid w:val="00FB1B9C"/>
    <w:rPr>
      <w:rFonts w:ascii="Verdana" w:hAnsi="Verdana" w:hint="default"/>
      <w:sz w:val="18"/>
      <w:szCs w:val="18"/>
      <w:bdr w:val="none" w:sz="0" w:space="0" w:color="auto" w:frame="1"/>
    </w:rPr>
  </w:style>
  <w:style w:type="character" w:customStyle="1" w:styleId="information135">
    <w:name w:val="information135"/>
    <w:qFormat/>
    <w:rsid w:val="00FB1B9C"/>
    <w:rPr>
      <w:rFonts w:ascii="Verdana" w:hAnsi="Verdana" w:hint="default"/>
      <w:sz w:val="18"/>
      <w:szCs w:val="18"/>
      <w:bdr w:val="none" w:sz="0" w:space="0" w:color="auto" w:frame="1"/>
    </w:rPr>
  </w:style>
  <w:style w:type="character" w:customStyle="1" w:styleId="information139">
    <w:name w:val="information139"/>
    <w:qFormat/>
    <w:rsid w:val="00FB1B9C"/>
    <w:rPr>
      <w:rFonts w:ascii="Verdana" w:hAnsi="Verdana" w:hint="default"/>
      <w:sz w:val="18"/>
      <w:szCs w:val="18"/>
      <w:bdr w:val="none" w:sz="0" w:space="0" w:color="auto" w:frame="1"/>
    </w:rPr>
  </w:style>
  <w:style w:type="character" w:customStyle="1" w:styleId="information141">
    <w:name w:val="information141"/>
    <w:qFormat/>
    <w:rsid w:val="00FB1B9C"/>
    <w:rPr>
      <w:rFonts w:ascii="Verdana" w:hAnsi="Verdana" w:hint="default"/>
      <w:sz w:val="18"/>
      <w:szCs w:val="18"/>
      <w:bdr w:val="none" w:sz="0" w:space="0" w:color="auto" w:frame="1"/>
    </w:rPr>
  </w:style>
  <w:style w:type="character" w:customStyle="1" w:styleId="information148">
    <w:name w:val="information148"/>
    <w:qFormat/>
    <w:rsid w:val="00FB1B9C"/>
    <w:rPr>
      <w:rFonts w:ascii="Verdana" w:hAnsi="Verdana" w:hint="default"/>
      <w:sz w:val="18"/>
      <w:szCs w:val="18"/>
      <w:bdr w:val="none" w:sz="0" w:space="0" w:color="auto" w:frame="1"/>
    </w:rPr>
  </w:style>
  <w:style w:type="character" w:customStyle="1" w:styleId="information150">
    <w:name w:val="information150"/>
    <w:qFormat/>
    <w:rsid w:val="00FB1B9C"/>
    <w:rPr>
      <w:rFonts w:ascii="Verdana" w:hAnsi="Verdana" w:hint="default"/>
      <w:sz w:val="18"/>
      <w:szCs w:val="18"/>
      <w:bdr w:val="none" w:sz="0" w:space="0" w:color="auto" w:frame="1"/>
    </w:rPr>
  </w:style>
  <w:style w:type="character" w:customStyle="1" w:styleId="information151">
    <w:name w:val="information151"/>
    <w:qFormat/>
    <w:rsid w:val="00FB1B9C"/>
    <w:rPr>
      <w:rFonts w:ascii="Verdana" w:hAnsi="Verdana" w:hint="default"/>
      <w:sz w:val="18"/>
      <w:szCs w:val="18"/>
      <w:bdr w:val="none" w:sz="0" w:space="0" w:color="auto" w:frame="1"/>
    </w:rPr>
  </w:style>
  <w:style w:type="character" w:customStyle="1" w:styleId="information156">
    <w:name w:val="information156"/>
    <w:qFormat/>
    <w:rsid w:val="00FB1B9C"/>
    <w:rPr>
      <w:rFonts w:ascii="Verdana" w:hAnsi="Verdana" w:hint="default"/>
      <w:sz w:val="18"/>
      <w:szCs w:val="18"/>
      <w:bdr w:val="none" w:sz="0" w:space="0" w:color="auto" w:frame="1"/>
    </w:rPr>
  </w:style>
  <w:style w:type="character" w:customStyle="1" w:styleId="information161">
    <w:name w:val="information161"/>
    <w:qFormat/>
    <w:rsid w:val="00FB1B9C"/>
    <w:rPr>
      <w:rFonts w:ascii="Verdana" w:hAnsi="Verdana" w:hint="default"/>
      <w:sz w:val="18"/>
      <w:szCs w:val="18"/>
      <w:bdr w:val="none" w:sz="0" w:space="0" w:color="auto" w:frame="1"/>
    </w:rPr>
  </w:style>
  <w:style w:type="character" w:customStyle="1" w:styleId="information162">
    <w:name w:val="information162"/>
    <w:qFormat/>
    <w:rsid w:val="00FB1B9C"/>
    <w:rPr>
      <w:rFonts w:ascii="Verdana" w:hAnsi="Verdana" w:hint="default"/>
      <w:sz w:val="18"/>
      <w:szCs w:val="18"/>
      <w:bdr w:val="none" w:sz="0" w:space="0" w:color="auto" w:frame="1"/>
    </w:rPr>
  </w:style>
  <w:style w:type="character" w:customStyle="1" w:styleId="information167">
    <w:name w:val="information167"/>
    <w:qFormat/>
    <w:rsid w:val="00FB1B9C"/>
    <w:rPr>
      <w:rFonts w:ascii="Verdana" w:hAnsi="Verdana" w:hint="default"/>
      <w:sz w:val="18"/>
      <w:szCs w:val="18"/>
      <w:bdr w:val="none" w:sz="0" w:space="0" w:color="auto" w:frame="1"/>
    </w:rPr>
  </w:style>
  <w:style w:type="character" w:customStyle="1" w:styleId="information176">
    <w:name w:val="information176"/>
    <w:qFormat/>
    <w:rsid w:val="00FB1B9C"/>
    <w:rPr>
      <w:rFonts w:ascii="Verdana" w:hAnsi="Verdana" w:hint="default"/>
      <w:sz w:val="18"/>
      <w:szCs w:val="18"/>
      <w:bdr w:val="none" w:sz="0" w:space="0" w:color="auto" w:frame="1"/>
    </w:rPr>
  </w:style>
  <w:style w:type="character" w:customStyle="1" w:styleId="information181">
    <w:name w:val="information181"/>
    <w:qFormat/>
    <w:rsid w:val="00FB1B9C"/>
    <w:rPr>
      <w:rFonts w:ascii="Verdana" w:hAnsi="Verdana" w:hint="default"/>
      <w:sz w:val="18"/>
      <w:szCs w:val="18"/>
      <w:bdr w:val="none" w:sz="0" w:space="0" w:color="auto" w:frame="1"/>
    </w:rPr>
  </w:style>
  <w:style w:type="character" w:customStyle="1" w:styleId="information182">
    <w:name w:val="information182"/>
    <w:qFormat/>
    <w:rsid w:val="00FB1B9C"/>
    <w:rPr>
      <w:rFonts w:ascii="Verdana" w:hAnsi="Verdana" w:hint="default"/>
      <w:sz w:val="18"/>
      <w:szCs w:val="18"/>
      <w:bdr w:val="none" w:sz="0" w:space="0" w:color="auto" w:frame="1"/>
    </w:rPr>
  </w:style>
  <w:style w:type="character" w:styleId="Appelnotedebasdep">
    <w:name w:val="footnote reference"/>
    <w:uiPriority w:val="99"/>
    <w:semiHidden/>
    <w:unhideWhenUsed/>
    <w:qFormat/>
    <w:rsid w:val="00FB1B9C"/>
    <w:rPr>
      <w:vertAlign w:val="superscript"/>
    </w:rPr>
  </w:style>
  <w:style w:type="character" w:styleId="Marquedecommentaire">
    <w:name w:val="annotation reference"/>
    <w:uiPriority w:val="99"/>
    <w:semiHidden/>
    <w:unhideWhenUsed/>
    <w:qFormat/>
    <w:rsid w:val="00FB1B9C"/>
    <w:rPr>
      <w:sz w:val="16"/>
      <w:szCs w:val="16"/>
    </w:rPr>
  </w:style>
  <w:style w:type="paragraph" w:styleId="Commentaire">
    <w:name w:val="annotation text"/>
    <w:basedOn w:val="Normal"/>
    <w:link w:val="CommentaireCar"/>
    <w:uiPriority w:val="99"/>
    <w:semiHidden/>
    <w:unhideWhenUsed/>
    <w:qFormat/>
    <w:rsid w:val="00FB1B9C"/>
    <w:rPr>
      <w:sz w:val="20"/>
      <w:szCs w:val="20"/>
    </w:rPr>
  </w:style>
  <w:style w:type="character" w:customStyle="1" w:styleId="CommentaireCar">
    <w:name w:val="Commentaire Car"/>
    <w:basedOn w:val="Policepardfaut"/>
    <w:link w:val="Commentaire"/>
    <w:uiPriority w:val="99"/>
    <w:semiHidden/>
    <w:qFormat/>
    <w:rsid w:val="00FB1B9C"/>
    <w:rPr>
      <w:rFonts w:ascii="Calibri" w:eastAsia="Times New Roman" w:hAnsi="Calibri" w:cs="Times New Roman"/>
      <w:noProof/>
      <w:sz w:val="20"/>
      <w:szCs w:val="20"/>
      <w:lang w:eastAsia="fr-FR"/>
    </w:rPr>
  </w:style>
  <w:style w:type="paragraph" w:styleId="Objetducommentaire">
    <w:name w:val="annotation subject"/>
    <w:basedOn w:val="Commentaire"/>
    <w:next w:val="Commentaire"/>
    <w:link w:val="ObjetducommentaireCar"/>
    <w:uiPriority w:val="99"/>
    <w:semiHidden/>
    <w:unhideWhenUsed/>
    <w:qFormat/>
    <w:rsid w:val="00FB1B9C"/>
    <w:rPr>
      <w:b/>
      <w:bCs/>
    </w:rPr>
  </w:style>
  <w:style w:type="character" w:customStyle="1" w:styleId="ObjetducommentaireCar">
    <w:name w:val="Objet du commentaire Car"/>
    <w:basedOn w:val="CommentaireCar"/>
    <w:link w:val="Objetducommentaire"/>
    <w:uiPriority w:val="99"/>
    <w:semiHidden/>
    <w:qFormat/>
    <w:rsid w:val="00FB1B9C"/>
    <w:rPr>
      <w:rFonts w:ascii="Calibri" w:eastAsia="Times New Roman" w:hAnsi="Calibri" w:cs="Times New Roman"/>
      <w:b/>
      <w:bCs/>
      <w:noProof/>
      <w:sz w:val="20"/>
      <w:szCs w:val="20"/>
      <w:lang w:eastAsia="fr-FR"/>
    </w:rPr>
  </w:style>
  <w:style w:type="paragraph" w:styleId="Lgende">
    <w:name w:val="caption"/>
    <w:aliases w:val="Figure"/>
    <w:next w:val="Normal"/>
    <w:link w:val="LgendeCar"/>
    <w:autoRedefine/>
    <w:uiPriority w:val="35"/>
    <w:qFormat/>
    <w:rsid w:val="009C0337"/>
    <w:pPr>
      <w:tabs>
        <w:tab w:val="left" w:pos="7938"/>
      </w:tabs>
      <w:spacing w:before="120" w:after="0" w:line="240" w:lineRule="auto"/>
      <w:jc w:val="center"/>
    </w:pPr>
    <w:rPr>
      <w:rFonts w:ascii="Arial" w:eastAsia="Times New Roman" w:hAnsi="Arial" w:cs="Arial"/>
      <w:i/>
      <w:iCs/>
      <w:sz w:val="20"/>
      <w:szCs w:val="20"/>
      <w:lang w:eastAsia="fr-FR"/>
    </w:rPr>
  </w:style>
  <w:style w:type="paragraph" w:styleId="Paragraphedeliste">
    <w:name w:val="List Paragraph"/>
    <w:basedOn w:val="Normal"/>
    <w:uiPriority w:val="34"/>
    <w:qFormat/>
    <w:rsid w:val="00FB1B9C"/>
    <w:pPr>
      <w:spacing w:after="200" w:line="276" w:lineRule="auto"/>
      <w:ind w:left="720"/>
      <w:contextualSpacing/>
    </w:pPr>
    <w:rPr>
      <w:rFonts w:ascii="Arial" w:eastAsia="Calibri" w:hAnsi="Arial"/>
      <w:noProof w:val="0"/>
      <w:sz w:val="22"/>
      <w:szCs w:val="22"/>
      <w:lang w:eastAsia="en-US"/>
    </w:rPr>
  </w:style>
  <w:style w:type="character" w:customStyle="1" w:styleId="LgendeCar">
    <w:name w:val="Légende Car"/>
    <w:aliases w:val="Figure Car"/>
    <w:basedOn w:val="Policepardfaut"/>
    <w:link w:val="Lgende"/>
    <w:uiPriority w:val="35"/>
    <w:qFormat/>
    <w:rsid w:val="009C0337"/>
    <w:rPr>
      <w:rFonts w:ascii="Arial" w:eastAsia="Times New Roman" w:hAnsi="Arial" w:cs="Arial"/>
      <w:i/>
      <w:iCs/>
      <w:sz w:val="20"/>
      <w:szCs w:val="20"/>
      <w:lang w:eastAsia="fr-FR"/>
    </w:rPr>
  </w:style>
  <w:style w:type="character" w:styleId="Textedelespacerserv">
    <w:name w:val="Placeholder Text"/>
    <w:basedOn w:val="Policepardfaut"/>
    <w:uiPriority w:val="99"/>
    <w:semiHidden/>
    <w:qFormat/>
    <w:rsid w:val="00FB1B9C"/>
    <w:rPr>
      <w:color w:val="808080"/>
    </w:rPr>
  </w:style>
  <w:style w:type="paragraph" w:customStyle="1" w:styleId="Paragraphestandard">
    <w:name w:val="[Paragraphe standard]"/>
    <w:basedOn w:val="Normal"/>
    <w:uiPriority w:val="99"/>
    <w:rsid w:val="00CA2811"/>
    <w:pPr>
      <w:widowControl w:val="0"/>
      <w:autoSpaceDE w:val="0"/>
      <w:autoSpaceDN w:val="0"/>
      <w:adjustRightInd w:val="0"/>
      <w:spacing w:line="288" w:lineRule="auto"/>
      <w:jc w:val="left"/>
      <w:textAlignment w:val="center"/>
    </w:pPr>
    <w:rPr>
      <w:rFonts w:ascii="MinionPro-Regular" w:eastAsia="MS Mincho" w:hAnsi="MinionPro-Regular" w:cs="MinionPro-Regular"/>
      <w:noProof w:val="0"/>
      <w:color w:val="000000"/>
    </w:rPr>
  </w:style>
  <w:style w:type="character" w:customStyle="1" w:styleId="LienInternet">
    <w:name w:val="Lien Internet"/>
    <w:uiPriority w:val="99"/>
    <w:unhideWhenUsed/>
    <w:rsid w:val="00566319"/>
    <w:rPr>
      <w:color w:val="0000FF"/>
      <w:u w:val="single"/>
    </w:rPr>
  </w:style>
  <w:style w:type="character" w:customStyle="1" w:styleId="ListLabel1">
    <w:name w:val="ListLabel 1"/>
    <w:qFormat/>
    <w:rsid w:val="00566319"/>
    <w:rPr>
      <w:b/>
      <w:color w:val="004A99"/>
      <w:sz w:val="28"/>
    </w:rPr>
  </w:style>
  <w:style w:type="character" w:customStyle="1" w:styleId="ListLabel2">
    <w:name w:val="ListLabel 2"/>
    <w:qFormat/>
    <w:rsid w:val="00566319"/>
    <w:rPr>
      <w:b/>
      <w:color w:val="004A99"/>
      <w:sz w:val="28"/>
    </w:rPr>
  </w:style>
  <w:style w:type="character" w:customStyle="1" w:styleId="ListLabel3">
    <w:name w:val="ListLabel 3"/>
    <w:qFormat/>
    <w:rsid w:val="00566319"/>
    <w:rPr>
      <w:rFonts w:eastAsia="Times New Roman" w:cs="Calibri"/>
    </w:rPr>
  </w:style>
  <w:style w:type="character" w:customStyle="1" w:styleId="ListLabel4">
    <w:name w:val="ListLabel 4"/>
    <w:qFormat/>
    <w:rsid w:val="00566319"/>
    <w:rPr>
      <w:rFonts w:cs="Courier New"/>
    </w:rPr>
  </w:style>
  <w:style w:type="character" w:customStyle="1" w:styleId="ListLabel5">
    <w:name w:val="ListLabel 5"/>
    <w:qFormat/>
    <w:rsid w:val="00566319"/>
    <w:rPr>
      <w:rFonts w:cs="Courier New"/>
    </w:rPr>
  </w:style>
  <w:style w:type="character" w:customStyle="1" w:styleId="ListLabel6">
    <w:name w:val="ListLabel 6"/>
    <w:qFormat/>
    <w:rsid w:val="00566319"/>
    <w:rPr>
      <w:rFonts w:cs="Courier New"/>
    </w:rPr>
  </w:style>
  <w:style w:type="character" w:customStyle="1" w:styleId="ListLabel7">
    <w:name w:val="ListLabel 7"/>
    <w:qFormat/>
    <w:rsid w:val="00566319"/>
    <w:rPr>
      <w:rFonts w:eastAsia="Times New Roman" w:cs="Calibri"/>
    </w:rPr>
  </w:style>
  <w:style w:type="character" w:customStyle="1" w:styleId="ListLabel8">
    <w:name w:val="ListLabel 8"/>
    <w:qFormat/>
    <w:rsid w:val="00566319"/>
    <w:rPr>
      <w:rFonts w:cs="Courier New"/>
    </w:rPr>
  </w:style>
  <w:style w:type="character" w:customStyle="1" w:styleId="ListLabel9">
    <w:name w:val="ListLabel 9"/>
    <w:qFormat/>
    <w:rsid w:val="00566319"/>
    <w:rPr>
      <w:rFonts w:cs="Courier New"/>
    </w:rPr>
  </w:style>
  <w:style w:type="character" w:customStyle="1" w:styleId="ListLabel10">
    <w:name w:val="ListLabel 10"/>
    <w:qFormat/>
    <w:rsid w:val="00566319"/>
    <w:rPr>
      <w:rFonts w:cs="Courier New"/>
    </w:rPr>
  </w:style>
  <w:style w:type="character" w:customStyle="1" w:styleId="ListLabel11">
    <w:name w:val="ListLabel 11"/>
    <w:qFormat/>
    <w:rsid w:val="00566319"/>
    <w:rPr>
      <w:rFonts w:eastAsia="Times New Roman" w:cs="Calibri"/>
    </w:rPr>
  </w:style>
  <w:style w:type="character" w:customStyle="1" w:styleId="ListLabel12">
    <w:name w:val="ListLabel 12"/>
    <w:qFormat/>
    <w:rsid w:val="00566319"/>
    <w:rPr>
      <w:rFonts w:cs="Courier New"/>
    </w:rPr>
  </w:style>
  <w:style w:type="character" w:customStyle="1" w:styleId="ListLabel13">
    <w:name w:val="ListLabel 13"/>
    <w:qFormat/>
    <w:rsid w:val="00566319"/>
    <w:rPr>
      <w:rFonts w:cs="Courier New"/>
    </w:rPr>
  </w:style>
  <w:style w:type="character" w:customStyle="1" w:styleId="ListLabel14">
    <w:name w:val="ListLabel 14"/>
    <w:qFormat/>
    <w:rsid w:val="00566319"/>
    <w:rPr>
      <w:rFonts w:cs="Courier New"/>
    </w:rPr>
  </w:style>
  <w:style w:type="character" w:customStyle="1" w:styleId="ListLabel15">
    <w:name w:val="ListLabel 15"/>
    <w:qFormat/>
    <w:rsid w:val="00566319"/>
    <w:rPr>
      <w:rFonts w:eastAsia="Times New Roman" w:cs="Calibri"/>
    </w:rPr>
  </w:style>
  <w:style w:type="character" w:customStyle="1" w:styleId="ListLabel16">
    <w:name w:val="ListLabel 16"/>
    <w:qFormat/>
    <w:rsid w:val="00566319"/>
    <w:rPr>
      <w:rFonts w:cs="Courier New"/>
    </w:rPr>
  </w:style>
  <w:style w:type="character" w:customStyle="1" w:styleId="ListLabel17">
    <w:name w:val="ListLabel 17"/>
    <w:qFormat/>
    <w:rsid w:val="00566319"/>
    <w:rPr>
      <w:rFonts w:cs="Courier New"/>
    </w:rPr>
  </w:style>
  <w:style w:type="character" w:customStyle="1" w:styleId="ListLabel18">
    <w:name w:val="ListLabel 18"/>
    <w:qFormat/>
    <w:rsid w:val="00566319"/>
    <w:rPr>
      <w:rFonts w:cs="Courier New"/>
    </w:rPr>
  </w:style>
  <w:style w:type="character" w:customStyle="1" w:styleId="ListLabel19">
    <w:name w:val="ListLabel 19"/>
    <w:qFormat/>
    <w:rsid w:val="00566319"/>
    <w:rPr>
      <w:rFonts w:eastAsia="Times New Roman" w:cs="Calibri"/>
    </w:rPr>
  </w:style>
  <w:style w:type="character" w:customStyle="1" w:styleId="ListLabel20">
    <w:name w:val="ListLabel 20"/>
    <w:qFormat/>
    <w:rsid w:val="00566319"/>
    <w:rPr>
      <w:rFonts w:cs="Courier New"/>
    </w:rPr>
  </w:style>
  <w:style w:type="character" w:customStyle="1" w:styleId="ListLabel21">
    <w:name w:val="ListLabel 21"/>
    <w:qFormat/>
    <w:rsid w:val="00566319"/>
    <w:rPr>
      <w:rFonts w:cs="Courier New"/>
    </w:rPr>
  </w:style>
  <w:style w:type="character" w:customStyle="1" w:styleId="ListLabel22">
    <w:name w:val="ListLabel 22"/>
    <w:qFormat/>
    <w:rsid w:val="00566319"/>
    <w:rPr>
      <w:rFonts w:cs="Courier New"/>
    </w:rPr>
  </w:style>
  <w:style w:type="character" w:customStyle="1" w:styleId="ListLabel23">
    <w:name w:val="ListLabel 23"/>
    <w:qFormat/>
    <w:rsid w:val="00566319"/>
    <w:rPr>
      <w:rFonts w:eastAsia="Times New Roman" w:cs="Calibri"/>
    </w:rPr>
  </w:style>
  <w:style w:type="character" w:customStyle="1" w:styleId="ListLabel24">
    <w:name w:val="ListLabel 24"/>
    <w:qFormat/>
    <w:rsid w:val="00566319"/>
    <w:rPr>
      <w:rFonts w:cs="Courier New"/>
    </w:rPr>
  </w:style>
  <w:style w:type="character" w:customStyle="1" w:styleId="ListLabel25">
    <w:name w:val="ListLabel 25"/>
    <w:qFormat/>
    <w:rsid w:val="00566319"/>
    <w:rPr>
      <w:rFonts w:cs="Courier New"/>
    </w:rPr>
  </w:style>
  <w:style w:type="character" w:customStyle="1" w:styleId="ListLabel26">
    <w:name w:val="ListLabel 26"/>
    <w:qFormat/>
    <w:rsid w:val="00566319"/>
    <w:rPr>
      <w:rFonts w:cs="Courier New"/>
    </w:rPr>
  </w:style>
  <w:style w:type="character" w:customStyle="1" w:styleId="ListLabel27">
    <w:name w:val="ListLabel 27"/>
    <w:qFormat/>
    <w:rsid w:val="00566319"/>
    <w:rPr>
      <w:rFonts w:eastAsia="Times New Roman" w:cs="Calibri"/>
    </w:rPr>
  </w:style>
  <w:style w:type="character" w:customStyle="1" w:styleId="ListLabel28">
    <w:name w:val="ListLabel 28"/>
    <w:qFormat/>
    <w:rsid w:val="00566319"/>
    <w:rPr>
      <w:rFonts w:cs="Courier New"/>
    </w:rPr>
  </w:style>
  <w:style w:type="character" w:customStyle="1" w:styleId="ListLabel29">
    <w:name w:val="ListLabel 29"/>
    <w:qFormat/>
    <w:rsid w:val="00566319"/>
    <w:rPr>
      <w:rFonts w:cs="Courier New"/>
    </w:rPr>
  </w:style>
  <w:style w:type="character" w:customStyle="1" w:styleId="ListLabel30">
    <w:name w:val="ListLabel 30"/>
    <w:qFormat/>
    <w:rsid w:val="00566319"/>
    <w:rPr>
      <w:rFonts w:cs="Courier New"/>
    </w:rPr>
  </w:style>
  <w:style w:type="character" w:customStyle="1" w:styleId="ListLabel31">
    <w:name w:val="ListLabel 31"/>
    <w:qFormat/>
    <w:rsid w:val="00566319"/>
    <w:rPr>
      <w:rFonts w:eastAsia="Times New Roman" w:cs="Calibri"/>
    </w:rPr>
  </w:style>
  <w:style w:type="character" w:customStyle="1" w:styleId="ListLabel32">
    <w:name w:val="ListLabel 32"/>
    <w:qFormat/>
    <w:rsid w:val="00566319"/>
    <w:rPr>
      <w:rFonts w:cs="Courier New"/>
    </w:rPr>
  </w:style>
  <w:style w:type="character" w:customStyle="1" w:styleId="ListLabel33">
    <w:name w:val="ListLabel 33"/>
    <w:qFormat/>
    <w:rsid w:val="00566319"/>
    <w:rPr>
      <w:rFonts w:cs="Courier New"/>
    </w:rPr>
  </w:style>
  <w:style w:type="character" w:customStyle="1" w:styleId="ListLabel34">
    <w:name w:val="ListLabel 34"/>
    <w:qFormat/>
    <w:rsid w:val="00566319"/>
    <w:rPr>
      <w:rFonts w:cs="Courier New"/>
    </w:rPr>
  </w:style>
  <w:style w:type="character" w:customStyle="1" w:styleId="ListLabel35">
    <w:name w:val="ListLabel 35"/>
    <w:qFormat/>
    <w:rsid w:val="00566319"/>
    <w:rPr>
      <w:rFonts w:eastAsia="Times New Roman" w:cs="Calibri"/>
    </w:rPr>
  </w:style>
  <w:style w:type="character" w:customStyle="1" w:styleId="ListLabel36">
    <w:name w:val="ListLabel 36"/>
    <w:qFormat/>
    <w:rsid w:val="00566319"/>
    <w:rPr>
      <w:rFonts w:cs="Courier New"/>
    </w:rPr>
  </w:style>
  <w:style w:type="character" w:customStyle="1" w:styleId="ListLabel37">
    <w:name w:val="ListLabel 37"/>
    <w:qFormat/>
    <w:rsid w:val="00566319"/>
    <w:rPr>
      <w:rFonts w:cs="Courier New"/>
    </w:rPr>
  </w:style>
  <w:style w:type="character" w:customStyle="1" w:styleId="ListLabel38">
    <w:name w:val="ListLabel 38"/>
    <w:qFormat/>
    <w:rsid w:val="00566319"/>
    <w:rPr>
      <w:rFonts w:cs="Courier New"/>
    </w:rPr>
  </w:style>
  <w:style w:type="character" w:customStyle="1" w:styleId="ListLabel39">
    <w:name w:val="ListLabel 39"/>
    <w:qFormat/>
    <w:rsid w:val="00566319"/>
    <w:rPr>
      <w:rFonts w:eastAsia="Times New Roman" w:cs="Calibri"/>
    </w:rPr>
  </w:style>
  <w:style w:type="character" w:customStyle="1" w:styleId="ListLabel40">
    <w:name w:val="ListLabel 40"/>
    <w:qFormat/>
    <w:rsid w:val="00566319"/>
    <w:rPr>
      <w:rFonts w:cs="Courier New"/>
    </w:rPr>
  </w:style>
  <w:style w:type="character" w:customStyle="1" w:styleId="ListLabel41">
    <w:name w:val="ListLabel 41"/>
    <w:qFormat/>
    <w:rsid w:val="00566319"/>
    <w:rPr>
      <w:rFonts w:cs="Courier New"/>
    </w:rPr>
  </w:style>
  <w:style w:type="character" w:customStyle="1" w:styleId="ListLabel42">
    <w:name w:val="ListLabel 42"/>
    <w:qFormat/>
    <w:rsid w:val="00566319"/>
    <w:rPr>
      <w:rFonts w:cs="Courier New"/>
    </w:rPr>
  </w:style>
  <w:style w:type="character" w:customStyle="1" w:styleId="ListLabel43">
    <w:name w:val="ListLabel 43"/>
    <w:qFormat/>
    <w:rsid w:val="00566319"/>
    <w:rPr>
      <w:rFonts w:eastAsia="Times New Roman" w:cs="Calibri"/>
    </w:rPr>
  </w:style>
  <w:style w:type="character" w:customStyle="1" w:styleId="ListLabel44">
    <w:name w:val="ListLabel 44"/>
    <w:qFormat/>
    <w:rsid w:val="00566319"/>
    <w:rPr>
      <w:rFonts w:cs="Courier New"/>
    </w:rPr>
  </w:style>
  <w:style w:type="character" w:customStyle="1" w:styleId="ListLabel45">
    <w:name w:val="ListLabel 45"/>
    <w:qFormat/>
    <w:rsid w:val="00566319"/>
    <w:rPr>
      <w:rFonts w:cs="Courier New"/>
    </w:rPr>
  </w:style>
  <w:style w:type="character" w:customStyle="1" w:styleId="ListLabel46">
    <w:name w:val="ListLabel 46"/>
    <w:qFormat/>
    <w:rsid w:val="00566319"/>
    <w:rPr>
      <w:rFonts w:cs="Courier New"/>
    </w:rPr>
  </w:style>
  <w:style w:type="character" w:customStyle="1" w:styleId="ListLabel47">
    <w:name w:val="ListLabel 47"/>
    <w:qFormat/>
    <w:rsid w:val="00566319"/>
    <w:rPr>
      <w:rFonts w:eastAsia="Times New Roman" w:cs="Calibri"/>
    </w:rPr>
  </w:style>
  <w:style w:type="character" w:customStyle="1" w:styleId="ListLabel48">
    <w:name w:val="ListLabel 48"/>
    <w:qFormat/>
    <w:rsid w:val="00566319"/>
    <w:rPr>
      <w:rFonts w:cs="Courier New"/>
    </w:rPr>
  </w:style>
  <w:style w:type="character" w:customStyle="1" w:styleId="ListLabel49">
    <w:name w:val="ListLabel 49"/>
    <w:qFormat/>
    <w:rsid w:val="00566319"/>
    <w:rPr>
      <w:rFonts w:cs="Courier New"/>
    </w:rPr>
  </w:style>
  <w:style w:type="character" w:customStyle="1" w:styleId="ListLabel50">
    <w:name w:val="ListLabel 50"/>
    <w:qFormat/>
    <w:rsid w:val="00566319"/>
    <w:rPr>
      <w:rFonts w:cs="Courier New"/>
    </w:rPr>
  </w:style>
  <w:style w:type="character" w:customStyle="1" w:styleId="ListLabel51">
    <w:name w:val="ListLabel 51"/>
    <w:qFormat/>
    <w:rsid w:val="00566319"/>
    <w:rPr>
      <w:rFonts w:eastAsia="Times New Roman" w:cs="Calibri"/>
    </w:rPr>
  </w:style>
  <w:style w:type="character" w:customStyle="1" w:styleId="ListLabel52">
    <w:name w:val="ListLabel 52"/>
    <w:qFormat/>
    <w:rsid w:val="00566319"/>
    <w:rPr>
      <w:rFonts w:eastAsia="Times New Roman" w:cs="Times New Roman"/>
    </w:rPr>
  </w:style>
  <w:style w:type="character" w:customStyle="1" w:styleId="ListLabel53">
    <w:name w:val="ListLabel 53"/>
    <w:qFormat/>
    <w:rsid w:val="00566319"/>
    <w:rPr>
      <w:rFonts w:cs="Courier New"/>
    </w:rPr>
  </w:style>
  <w:style w:type="character" w:customStyle="1" w:styleId="ListLabel54">
    <w:name w:val="ListLabel 54"/>
    <w:qFormat/>
    <w:rsid w:val="00566319"/>
    <w:rPr>
      <w:rFonts w:cs="Courier New"/>
    </w:rPr>
  </w:style>
  <w:style w:type="character" w:customStyle="1" w:styleId="ListLabel55">
    <w:name w:val="ListLabel 55"/>
    <w:qFormat/>
    <w:rsid w:val="00566319"/>
    <w:rPr>
      <w:rFonts w:eastAsia="Times New Roman" w:cs="Calibri"/>
    </w:rPr>
  </w:style>
  <w:style w:type="character" w:customStyle="1" w:styleId="ListLabel56">
    <w:name w:val="ListLabel 56"/>
    <w:qFormat/>
    <w:rsid w:val="00566319"/>
    <w:rPr>
      <w:rFonts w:cs="Courier New"/>
    </w:rPr>
  </w:style>
  <w:style w:type="character" w:customStyle="1" w:styleId="ListLabel57">
    <w:name w:val="ListLabel 57"/>
    <w:qFormat/>
    <w:rsid w:val="00566319"/>
    <w:rPr>
      <w:rFonts w:cs="Courier New"/>
    </w:rPr>
  </w:style>
  <w:style w:type="character" w:customStyle="1" w:styleId="ListLabel58">
    <w:name w:val="ListLabel 58"/>
    <w:qFormat/>
    <w:rsid w:val="00566319"/>
    <w:rPr>
      <w:rFonts w:cs="Courier New"/>
    </w:rPr>
  </w:style>
  <w:style w:type="character" w:customStyle="1" w:styleId="ListLabel59">
    <w:name w:val="ListLabel 59"/>
    <w:qFormat/>
    <w:rsid w:val="00566319"/>
    <w:rPr>
      <w:rFonts w:eastAsia="Times New Roman" w:cs="Calibri"/>
    </w:rPr>
  </w:style>
  <w:style w:type="character" w:customStyle="1" w:styleId="ListLabel60">
    <w:name w:val="ListLabel 60"/>
    <w:qFormat/>
    <w:rsid w:val="00566319"/>
    <w:rPr>
      <w:rFonts w:cs="Courier New"/>
    </w:rPr>
  </w:style>
  <w:style w:type="character" w:customStyle="1" w:styleId="ListLabel61">
    <w:name w:val="ListLabel 61"/>
    <w:qFormat/>
    <w:rsid w:val="00566319"/>
    <w:rPr>
      <w:rFonts w:cs="Courier New"/>
    </w:rPr>
  </w:style>
  <w:style w:type="character" w:customStyle="1" w:styleId="ListLabel62">
    <w:name w:val="ListLabel 62"/>
    <w:qFormat/>
    <w:rsid w:val="00566319"/>
    <w:rPr>
      <w:rFonts w:cs="Courier New"/>
    </w:rPr>
  </w:style>
  <w:style w:type="character" w:customStyle="1" w:styleId="ListLabel63">
    <w:name w:val="ListLabel 63"/>
    <w:qFormat/>
    <w:rsid w:val="00566319"/>
    <w:rPr>
      <w:rFonts w:eastAsia="Times New Roman" w:cs="Calibri"/>
    </w:rPr>
  </w:style>
  <w:style w:type="character" w:customStyle="1" w:styleId="ListLabel64">
    <w:name w:val="ListLabel 64"/>
    <w:qFormat/>
    <w:rsid w:val="00566319"/>
    <w:rPr>
      <w:rFonts w:cs="Courier New"/>
    </w:rPr>
  </w:style>
  <w:style w:type="character" w:customStyle="1" w:styleId="ListLabel65">
    <w:name w:val="ListLabel 65"/>
    <w:qFormat/>
    <w:rsid w:val="00566319"/>
    <w:rPr>
      <w:rFonts w:cs="Courier New"/>
    </w:rPr>
  </w:style>
  <w:style w:type="character" w:customStyle="1" w:styleId="ListLabel66">
    <w:name w:val="ListLabel 66"/>
    <w:qFormat/>
    <w:rsid w:val="00566319"/>
    <w:rPr>
      <w:rFonts w:cs="Courier New"/>
    </w:rPr>
  </w:style>
  <w:style w:type="character" w:customStyle="1" w:styleId="ListLabel67">
    <w:name w:val="ListLabel 67"/>
    <w:qFormat/>
    <w:rsid w:val="00566319"/>
    <w:rPr>
      <w:rFonts w:eastAsia="Times New Roman" w:cs="Calibri"/>
    </w:rPr>
  </w:style>
  <w:style w:type="character" w:customStyle="1" w:styleId="ListLabel68">
    <w:name w:val="ListLabel 68"/>
    <w:qFormat/>
    <w:rsid w:val="00566319"/>
    <w:rPr>
      <w:rFonts w:cs="Courier New"/>
    </w:rPr>
  </w:style>
  <w:style w:type="character" w:customStyle="1" w:styleId="ListLabel69">
    <w:name w:val="ListLabel 69"/>
    <w:qFormat/>
    <w:rsid w:val="00566319"/>
    <w:rPr>
      <w:rFonts w:cs="Courier New"/>
    </w:rPr>
  </w:style>
  <w:style w:type="character" w:customStyle="1" w:styleId="ListLabel70">
    <w:name w:val="ListLabel 70"/>
    <w:qFormat/>
    <w:rsid w:val="00566319"/>
    <w:rPr>
      <w:rFonts w:cs="Courier New"/>
    </w:rPr>
  </w:style>
  <w:style w:type="character" w:customStyle="1" w:styleId="ListLabel71">
    <w:name w:val="ListLabel 71"/>
    <w:qFormat/>
    <w:rsid w:val="00566319"/>
    <w:rPr>
      <w:rFonts w:eastAsia="Times New Roman" w:cs="Calibri"/>
    </w:rPr>
  </w:style>
  <w:style w:type="character" w:customStyle="1" w:styleId="ListLabel72">
    <w:name w:val="ListLabel 72"/>
    <w:qFormat/>
    <w:rsid w:val="00566319"/>
    <w:rPr>
      <w:rFonts w:cs="Courier New"/>
    </w:rPr>
  </w:style>
  <w:style w:type="character" w:customStyle="1" w:styleId="ListLabel73">
    <w:name w:val="ListLabel 73"/>
    <w:qFormat/>
    <w:rsid w:val="00566319"/>
    <w:rPr>
      <w:rFonts w:cs="Courier New"/>
    </w:rPr>
  </w:style>
  <w:style w:type="character" w:customStyle="1" w:styleId="ListLabel74">
    <w:name w:val="ListLabel 74"/>
    <w:qFormat/>
    <w:rsid w:val="00566319"/>
    <w:rPr>
      <w:rFonts w:cs="Courier New"/>
    </w:rPr>
  </w:style>
  <w:style w:type="character" w:customStyle="1" w:styleId="ListLabel75">
    <w:name w:val="ListLabel 75"/>
    <w:qFormat/>
    <w:rsid w:val="00566319"/>
    <w:rPr>
      <w:rFonts w:eastAsia="Times New Roman" w:cs="Calibri"/>
    </w:rPr>
  </w:style>
  <w:style w:type="character" w:customStyle="1" w:styleId="ListLabel76">
    <w:name w:val="ListLabel 76"/>
    <w:qFormat/>
    <w:rsid w:val="00566319"/>
    <w:rPr>
      <w:rFonts w:cs="Courier New"/>
    </w:rPr>
  </w:style>
  <w:style w:type="character" w:customStyle="1" w:styleId="ListLabel77">
    <w:name w:val="ListLabel 77"/>
    <w:qFormat/>
    <w:rsid w:val="00566319"/>
    <w:rPr>
      <w:rFonts w:cs="Courier New"/>
    </w:rPr>
  </w:style>
  <w:style w:type="character" w:customStyle="1" w:styleId="ListLabel78">
    <w:name w:val="ListLabel 78"/>
    <w:qFormat/>
    <w:rsid w:val="00566319"/>
    <w:rPr>
      <w:rFonts w:cs="Courier New"/>
    </w:rPr>
  </w:style>
  <w:style w:type="character" w:customStyle="1" w:styleId="ListLabel79">
    <w:name w:val="ListLabel 79"/>
    <w:qFormat/>
    <w:rsid w:val="00566319"/>
    <w:rPr>
      <w:rFonts w:eastAsia="Times New Roman" w:cs="Calibri"/>
    </w:rPr>
  </w:style>
  <w:style w:type="character" w:customStyle="1" w:styleId="ListLabel80">
    <w:name w:val="ListLabel 80"/>
    <w:qFormat/>
    <w:rsid w:val="00566319"/>
    <w:rPr>
      <w:rFonts w:cs="Courier New"/>
    </w:rPr>
  </w:style>
  <w:style w:type="character" w:customStyle="1" w:styleId="ListLabel81">
    <w:name w:val="ListLabel 81"/>
    <w:qFormat/>
    <w:rsid w:val="00566319"/>
    <w:rPr>
      <w:rFonts w:cs="Courier New"/>
    </w:rPr>
  </w:style>
  <w:style w:type="character" w:customStyle="1" w:styleId="ListLabel82">
    <w:name w:val="ListLabel 82"/>
    <w:qFormat/>
    <w:rsid w:val="00566319"/>
    <w:rPr>
      <w:rFonts w:cs="Courier New"/>
    </w:rPr>
  </w:style>
  <w:style w:type="character" w:customStyle="1" w:styleId="ListLabel83">
    <w:name w:val="ListLabel 83"/>
    <w:qFormat/>
    <w:rsid w:val="00566319"/>
    <w:rPr>
      <w:rFonts w:eastAsia="Times New Roman" w:cs="Calibri"/>
    </w:rPr>
  </w:style>
  <w:style w:type="character" w:customStyle="1" w:styleId="ListLabel84">
    <w:name w:val="ListLabel 84"/>
    <w:qFormat/>
    <w:rsid w:val="00566319"/>
    <w:rPr>
      <w:rFonts w:cs="Courier New"/>
    </w:rPr>
  </w:style>
  <w:style w:type="character" w:customStyle="1" w:styleId="ListLabel85">
    <w:name w:val="ListLabel 85"/>
    <w:qFormat/>
    <w:rsid w:val="00566319"/>
    <w:rPr>
      <w:rFonts w:cs="Courier New"/>
    </w:rPr>
  </w:style>
  <w:style w:type="character" w:customStyle="1" w:styleId="ListLabel86">
    <w:name w:val="ListLabel 86"/>
    <w:qFormat/>
    <w:rsid w:val="00566319"/>
    <w:rPr>
      <w:rFonts w:cs="Courier New"/>
    </w:rPr>
  </w:style>
  <w:style w:type="character" w:customStyle="1" w:styleId="ListLabel87">
    <w:name w:val="ListLabel 87"/>
    <w:qFormat/>
    <w:rsid w:val="00566319"/>
    <w:rPr>
      <w:rFonts w:eastAsia="Times New Roman" w:cs="Calibri"/>
    </w:rPr>
  </w:style>
  <w:style w:type="character" w:customStyle="1" w:styleId="ListLabel88">
    <w:name w:val="ListLabel 88"/>
    <w:qFormat/>
    <w:rsid w:val="00566319"/>
    <w:rPr>
      <w:rFonts w:cs="Courier New"/>
    </w:rPr>
  </w:style>
  <w:style w:type="character" w:customStyle="1" w:styleId="ListLabel89">
    <w:name w:val="ListLabel 89"/>
    <w:qFormat/>
    <w:rsid w:val="00566319"/>
    <w:rPr>
      <w:rFonts w:cs="Courier New"/>
    </w:rPr>
  </w:style>
  <w:style w:type="character" w:customStyle="1" w:styleId="ListLabel90">
    <w:name w:val="ListLabel 90"/>
    <w:qFormat/>
    <w:rsid w:val="00566319"/>
    <w:rPr>
      <w:rFonts w:cs="Courier New"/>
    </w:rPr>
  </w:style>
  <w:style w:type="character" w:customStyle="1" w:styleId="ListLabel91">
    <w:name w:val="ListLabel 91"/>
    <w:qFormat/>
    <w:rsid w:val="00566319"/>
    <w:rPr>
      <w:rFonts w:eastAsia="Times New Roman" w:cs="Calibri"/>
    </w:rPr>
  </w:style>
  <w:style w:type="character" w:customStyle="1" w:styleId="ListLabel92">
    <w:name w:val="ListLabel 92"/>
    <w:qFormat/>
    <w:rsid w:val="00566319"/>
    <w:rPr>
      <w:rFonts w:cs="Courier New"/>
    </w:rPr>
  </w:style>
  <w:style w:type="character" w:customStyle="1" w:styleId="ListLabel93">
    <w:name w:val="ListLabel 93"/>
    <w:qFormat/>
    <w:rsid w:val="00566319"/>
    <w:rPr>
      <w:rFonts w:cs="Courier New"/>
    </w:rPr>
  </w:style>
  <w:style w:type="character" w:customStyle="1" w:styleId="ListLabel94">
    <w:name w:val="ListLabel 94"/>
    <w:qFormat/>
    <w:rsid w:val="00566319"/>
    <w:rPr>
      <w:rFonts w:cs="Courier New"/>
    </w:rPr>
  </w:style>
  <w:style w:type="character" w:customStyle="1" w:styleId="ListLabel95">
    <w:name w:val="ListLabel 95"/>
    <w:qFormat/>
    <w:rsid w:val="00566319"/>
    <w:rPr>
      <w:rFonts w:eastAsia="Times New Roman" w:cs="Calibri"/>
    </w:rPr>
  </w:style>
  <w:style w:type="character" w:customStyle="1" w:styleId="ListLabel96">
    <w:name w:val="ListLabel 96"/>
    <w:qFormat/>
    <w:rsid w:val="00566319"/>
    <w:rPr>
      <w:rFonts w:cs="Courier New"/>
    </w:rPr>
  </w:style>
  <w:style w:type="character" w:customStyle="1" w:styleId="ListLabel97">
    <w:name w:val="ListLabel 97"/>
    <w:qFormat/>
    <w:rsid w:val="00566319"/>
    <w:rPr>
      <w:rFonts w:cs="Courier New"/>
    </w:rPr>
  </w:style>
  <w:style w:type="character" w:customStyle="1" w:styleId="ListLabel98">
    <w:name w:val="ListLabel 98"/>
    <w:qFormat/>
    <w:rsid w:val="00566319"/>
    <w:rPr>
      <w:rFonts w:cs="Courier New"/>
    </w:rPr>
  </w:style>
  <w:style w:type="character" w:customStyle="1" w:styleId="ListLabel99">
    <w:name w:val="ListLabel 99"/>
    <w:qFormat/>
    <w:rsid w:val="00566319"/>
    <w:rPr>
      <w:rFonts w:eastAsia="Times New Roman" w:cs="Arial"/>
      <w:sz w:val="24"/>
    </w:rPr>
  </w:style>
  <w:style w:type="character" w:customStyle="1" w:styleId="ListLabel100">
    <w:name w:val="ListLabel 100"/>
    <w:qFormat/>
    <w:rsid w:val="00566319"/>
    <w:rPr>
      <w:rFonts w:cs="Courier New"/>
    </w:rPr>
  </w:style>
  <w:style w:type="character" w:customStyle="1" w:styleId="ListLabel101">
    <w:name w:val="ListLabel 101"/>
    <w:qFormat/>
    <w:rsid w:val="00566319"/>
    <w:rPr>
      <w:rFonts w:cs="Courier New"/>
    </w:rPr>
  </w:style>
  <w:style w:type="character" w:customStyle="1" w:styleId="ListLabel102">
    <w:name w:val="ListLabel 102"/>
    <w:qFormat/>
    <w:rsid w:val="00566319"/>
    <w:rPr>
      <w:rFonts w:cs="Courier New"/>
    </w:rPr>
  </w:style>
  <w:style w:type="character" w:customStyle="1" w:styleId="Sautdindex">
    <w:name w:val="Saut d'index"/>
    <w:qFormat/>
    <w:rsid w:val="00566319"/>
  </w:style>
  <w:style w:type="character" w:customStyle="1" w:styleId="Caractresdenotedebasdepage">
    <w:name w:val="Caractères de note de bas de page"/>
    <w:qFormat/>
    <w:rsid w:val="00566319"/>
  </w:style>
  <w:style w:type="character" w:customStyle="1" w:styleId="Ancredenotedebasdepage">
    <w:name w:val="Ancre de note de bas de page"/>
    <w:rsid w:val="00566319"/>
    <w:rPr>
      <w:vertAlign w:val="superscript"/>
    </w:rPr>
  </w:style>
  <w:style w:type="character" w:customStyle="1" w:styleId="Ancredenotedefin">
    <w:name w:val="Ancre de note de fin"/>
    <w:rsid w:val="00566319"/>
    <w:rPr>
      <w:vertAlign w:val="superscript"/>
    </w:rPr>
  </w:style>
  <w:style w:type="character" w:customStyle="1" w:styleId="Caractresdenotedefin">
    <w:name w:val="Caractères de note de fin"/>
    <w:qFormat/>
    <w:rsid w:val="00566319"/>
  </w:style>
  <w:style w:type="paragraph" w:styleId="Titre">
    <w:name w:val="Title"/>
    <w:basedOn w:val="Normal"/>
    <w:next w:val="Corpsdetexte"/>
    <w:link w:val="TitreCar"/>
    <w:qFormat/>
    <w:rsid w:val="00566319"/>
    <w:pPr>
      <w:keepNext/>
      <w:spacing w:before="240" w:after="120"/>
    </w:pPr>
    <w:rPr>
      <w:rFonts w:ascii="Liberation Sans" w:eastAsia="Arial Unicode MS" w:hAnsi="Liberation Sans" w:cs="Arial Unicode MS"/>
      <w:noProof w:val="0"/>
      <w:sz w:val="28"/>
      <w:szCs w:val="28"/>
    </w:rPr>
  </w:style>
  <w:style w:type="character" w:customStyle="1" w:styleId="TitreCar">
    <w:name w:val="Titre Car"/>
    <w:basedOn w:val="Policepardfaut"/>
    <w:link w:val="Titre"/>
    <w:rsid w:val="00566319"/>
    <w:rPr>
      <w:rFonts w:ascii="Liberation Sans" w:eastAsia="Arial Unicode MS" w:hAnsi="Liberation Sans" w:cs="Arial Unicode MS"/>
      <w:sz w:val="28"/>
      <w:szCs w:val="28"/>
      <w:lang w:eastAsia="fr-FR"/>
    </w:rPr>
  </w:style>
  <w:style w:type="paragraph" w:styleId="Corpsdetexte">
    <w:name w:val="Body Text"/>
    <w:basedOn w:val="Normal"/>
    <w:link w:val="CorpsdetexteCar"/>
    <w:rsid w:val="00566319"/>
    <w:pPr>
      <w:spacing w:after="140" w:line="288" w:lineRule="auto"/>
    </w:pPr>
    <w:rPr>
      <w:rFonts w:asciiTheme="minorHAnsi" w:hAnsiTheme="minorHAnsi"/>
      <w:noProof w:val="0"/>
    </w:rPr>
  </w:style>
  <w:style w:type="character" w:customStyle="1" w:styleId="CorpsdetexteCar">
    <w:name w:val="Corps de texte Car"/>
    <w:basedOn w:val="Policepardfaut"/>
    <w:link w:val="Corpsdetexte"/>
    <w:rsid w:val="00566319"/>
    <w:rPr>
      <w:rFonts w:eastAsia="Times New Roman" w:cs="Times New Roman"/>
      <w:sz w:val="24"/>
      <w:szCs w:val="24"/>
      <w:lang w:eastAsia="fr-FR"/>
    </w:rPr>
  </w:style>
  <w:style w:type="paragraph" w:styleId="Liste">
    <w:name w:val="List"/>
    <w:basedOn w:val="Corpsdetexte"/>
    <w:rsid w:val="00566319"/>
  </w:style>
  <w:style w:type="paragraph" w:customStyle="1" w:styleId="Index">
    <w:name w:val="Index"/>
    <w:basedOn w:val="Normal"/>
    <w:qFormat/>
    <w:rsid w:val="00566319"/>
    <w:pPr>
      <w:suppressLineNumbers/>
    </w:pPr>
    <w:rPr>
      <w:rFonts w:asciiTheme="minorHAnsi" w:hAnsiTheme="minorHAnsi"/>
      <w:noProof w:val="0"/>
    </w:rPr>
  </w:style>
  <w:style w:type="paragraph" w:customStyle="1" w:styleId="Contenudecadre">
    <w:name w:val="Contenu de cadre"/>
    <w:basedOn w:val="Normal"/>
    <w:qFormat/>
    <w:rsid w:val="00566319"/>
    <w:rPr>
      <w:rFonts w:asciiTheme="minorHAnsi" w:hAnsiTheme="minorHAnsi"/>
      <w:noProof w:val="0"/>
    </w:rPr>
  </w:style>
  <w:style w:type="character" w:styleId="Mentionnonrsolue">
    <w:name w:val="Unresolved Mention"/>
    <w:basedOn w:val="Policepardfaut"/>
    <w:uiPriority w:val="99"/>
    <w:semiHidden/>
    <w:unhideWhenUsed/>
    <w:rsid w:val="00EB5C93"/>
    <w:rPr>
      <w:color w:val="605E5C"/>
      <w:shd w:val="clear" w:color="auto" w:fill="E1DFDD"/>
    </w:rPr>
  </w:style>
  <w:style w:type="character" w:styleId="Lienhypertextesuivivisit">
    <w:name w:val="FollowedHyperlink"/>
    <w:basedOn w:val="Policepardfaut"/>
    <w:uiPriority w:val="99"/>
    <w:semiHidden/>
    <w:unhideWhenUsed/>
    <w:rsid w:val="00EB5C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97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irpourlatransition.ademe.fr/" TargetMode="External"/><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geothermies.fr"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adem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eme.fr/mediatheque" TargetMode="External"/><Relationship Id="rId24" Type="http://schemas.openxmlformats.org/officeDocument/2006/relationships/footer" Target="footer2.xm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www.ademe.fr"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twitter.com/ade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www.ademe.fr/" TargetMode="External"/><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37EA9-2D38-4BE4-8EB7-84380B2E0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24</Pages>
  <Words>6384</Words>
  <Characters>35118</Characters>
  <Application>Microsoft Office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CAHIER DES CHARGES - REALISATION D’UN TEST DE REPONSE THERMIQUE DE TERRAIN (TRT)</vt:lpstr>
    </vt:vector>
  </TitlesOfParts>
  <Manager>Maragna Charles</Manager>
  <Company>BRGM</Company>
  <LinksUpToDate>false</LinksUpToDate>
  <CharactersWithSpaces>41420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DES CHARGES - REALISATION D’UN TEST DE REPONSE THERMIQUE DE TERRAIN (TRT)</dc:title>
  <dc:subject>Pour la réalisation d’une opération de PAC sur champ de sondes géothermiques verticales (CSGV) dans les secteurs résidentiel collectif, tertiaire ou industriel</dc:subject>
  <dc:creator>ADEME</dc:creator>
  <cp:keywords>PAC - Pompe à chaleur - géothermie - energie -chauffage</cp:keywords>
  <dc:description>Ce cahier des charges est destiné aux porteurs de projets qui envisagent la réalisation d’une opération de PAC sur champ de sondes géothermiques verticales (CSGV) dans les secteurs résidentiel collectif, tertiaire ou industriel.</dc:description>
  <cp:lastModifiedBy>DUCOURTIEUX Claire</cp:lastModifiedBy>
  <cp:revision>5</cp:revision>
  <cp:lastPrinted>2019-07-16T15:29:00Z</cp:lastPrinted>
  <dcterms:created xsi:type="dcterms:W3CDTF">2020-02-24T15:35:00Z</dcterms:created>
  <dcterms:modified xsi:type="dcterms:W3CDTF">2022-05-20T14:06:00Z</dcterms:modified>
  <cp:category>CAHIER DES CHARGES- Aide a la decision - Guide</cp:category>
</cp:coreProperties>
</file>